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部门整体支出绩效自评表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（</w:t>
      </w:r>
      <w:r>
        <w:rPr>
          <w:rFonts w:hint="eastAsia" w:eastAsia="仿宋_GB2312" w:cs="Times New Roman"/>
          <w:color w:val="auto"/>
          <w:kern w:val="0"/>
          <w:szCs w:val="21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年度）</w:t>
      </w:r>
    </w:p>
    <w:tbl>
      <w:tblPr>
        <w:tblStyle w:val="3"/>
        <w:tblW w:w="94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55"/>
        <w:gridCol w:w="905"/>
        <w:gridCol w:w="1368"/>
        <w:gridCol w:w="91"/>
        <w:gridCol w:w="1283"/>
        <w:gridCol w:w="1338"/>
        <w:gridCol w:w="742"/>
        <w:gridCol w:w="904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预算部门名称</w:t>
            </w:r>
          </w:p>
        </w:tc>
        <w:tc>
          <w:tcPr>
            <w:tcW w:w="878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石鼓区角山镇人民政府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年度预算申请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预算数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全年预算数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3396.99万元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8233.07万元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8508.53万元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10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103.35%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按收入性质分：</w:t>
            </w:r>
          </w:p>
        </w:tc>
        <w:tc>
          <w:tcPr>
            <w:tcW w:w="37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3928.67万元</w:t>
            </w:r>
          </w:p>
        </w:tc>
        <w:tc>
          <w:tcPr>
            <w:tcW w:w="37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其中：基本支出：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1639.83万元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4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政府性基金拨款：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4304.4万元</w:t>
            </w:r>
          </w:p>
        </w:tc>
        <w:tc>
          <w:tcPr>
            <w:tcW w:w="37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项目支出：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6593.24万元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70" w:firstLineChars="7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其他资金：</w:t>
            </w:r>
          </w:p>
        </w:tc>
        <w:tc>
          <w:tcPr>
            <w:tcW w:w="37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50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37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保障在职人员正常办公、生活秩序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保障组织部各项工作顺利开展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　</w:t>
            </w:r>
          </w:p>
        </w:tc>
        <w:tc>
          <w:tcPr>
            <w:tcW w:w="37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>在职人员控制率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u w:val="none"/>
                <w:shd w:val="clear"/>
                <w:lang w:val="en-US" w:eastAsia="zh-CN" w:bidi="ar-SA"/>
              </w:rPr>
              <w:t>100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u w:val="none"/>
                <w:shd w:val="clear"/>
                <w:lang w:val="en-US" w:eastAsia="zh-CN" w:bidi="ar-SA"/>
              </w:rPr>
              <w:t>%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108.62%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>“三公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>经费变动率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u w:val="none"/>
                <w:shd w:val="clear"/>
                <w:lang w:val="en-US" w:eastAsia="zh-CN" w:bidi="ar-SA"/>
              </w:rPr>
              <w:t>0%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-0.03%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>预算控制率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u w:val="none"/>
                <w:shd w:val="clear"/>
                <w:lang w:val="en-US" w:eastAsia="en-US" w:bidi="ar-SA"/>
              </w:rPr>
              <w:t>100%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>公用经费控制率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u w:val="none"/>
                <w:shd w:val="clear"/>
                <w:lang w:val="en-US" w:eastAsia="en-US" w:bidi="ar-SA"/>
              </w:rPr>
              <w:t>100%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>“三公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>经费 控制率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en-US"/>
              </w:rPr>
              <w:t>100%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目标管理绩效考核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良好以上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良好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>预决算信息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lang w:val="en-US" w:eastAsia="zh-CN"/>
              </w:rPr>
              <w:t>公开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lang w:val="en-US" w:eastAsia="zh-CN"/>
              </w:rPr>
              <w:t>公开内容完整性、时效性、真实性、准确性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  <w:t>按时公开，内容真实、完整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成本控制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（30分）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促进辖区经济发展，完成各项经济指标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优秀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优秀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民众满意度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＞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454" w:right="1800" w:bottom="45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94ED6"/>
    <w:rsid w:val="00415F53"/>
    <w:rsid w:val="1D400E47"/>
    <w:rsid w:val="1F016E7C"/>
    <w:rsid w:val="5C294ED6"/>
    <w:rsid w:val="6206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spacing w:line="302" w:lineRule="exact"/>
    </w:pPr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2020-08-07T09:20:00Z</dcterms:created>
  <dc:creator>My  way</dc:creator>
  <cp:lastModifiedBy>Administrator</cp:lastModifiedBy>
  <dcterms:modified xsi:type="dcterms:W3CDTF">2021-06-02T10:44:29Z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