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93"/>
          <w:tab w:val="left" w:pos="6493"/>
        </w:tabs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t>部门整体支出绩效目标申报表</w:t>
      </w:r>
    </w:p>
    <w:bookmarkEnd w:id="0"/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（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填报单位（盖章）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ab/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石鼓区文化旅游体育局</w:t>
            </w:r>
            <w:r>
              <w:rPr>
                <w:rFonts w:hint="default" w:ascii="仿宋" w:hAnsi="仿宋" w:eastAsia="仿宋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年度预算申请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</w:rPr>
              <w:t>资金总额：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</w:rPr>
              <w:t>其中：        公共财政拨款：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193.69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政府性基金拨款：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</w:rPr>
              <w:t>其中：基本支出：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193.69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项目支出：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根据《中共衡阳市委办公室衡阳市人民政府办公室关于印发〈石鼓区机构改革方案〉的通知》（衡办﹝2019﹞12号），制定本规定。</w:t>
            </w:r>
            <w:r>
              <w:rPr>
                <w:rFonts w:hint="eastAsia" w:ascii="仿宋" w:hAnsi="仿宋" w:eastAsia="仿宋"/>
                <w:bCs/>
                <w:szCs w:val="21"/>
              </w:rPr>
              <w:t>石鼓区文化旅游体育局（以下简称区文旅体局）</w:t>
            </w:r>
            <w:r>
              <w:rPr>
                <w:rFonts w:hint="eastAsia" w:ascii="仿宋" w:hAnsi="仿宋" w:eastAsia="仿宋"/>
                <w:szCs w:val="21"/>
              </w:rPr>
              <w:t>是区政府工作部门，为正科级，对外使用石鼓区文物局名称。</w:t>
            </w:r>
            <w:r>
              <w:rPr>
                <w:rFonts w:hint="eastAsia" w:ascii="仿宋" w:hAnsi="仿宋" w:eastAsia="仿宋"/>
                <w:bCs/>
                <w:szCs w:val="21"/>
              </w:rPr>
              <w:t>区文旅体局</w:t>
            </w:r>
            <w:r>
              <w:rPr>
                <w:rFonts w:hint="eastAsia" w:ascii="仿宋" w:hAnsi="仿宋" w:eastAsia="仿宋"/>
                <w:szCs w:val="21"/>
              </w:rPr>
              <w:t>贯彻落实党中央关于文化（文物）、旅游、体育工作的方针政策和决策部署，全面贯彻落实省委、市委、区委关于文化（文物）、旅游、体育工作的部署要求，在履行职责过程中坚持和加强党对文化（文物）、旅游、体育工作的集中统一领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目标1：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把政治建设摆在首位，引导广大党员干部进一步牢固树立“四个意识”，坚定“四个自信”，做到“两个坚决维护”。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目标2：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用习近平新时代中国特色社会主义思想武装党员干部，自觉践行新时代党的组织路线。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目标3：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通过预算执行，保障在职人员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人、离退休人员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人及临聘人员3人的正常办公、生活秩序。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指标1：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在职人员控制率。编制数23人，在职人员数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人，在职人员控制率约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%。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指标2：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信息公开性：在有关网站按时完整公开预决算信息，年度绩效目标，上年度绩效自评报告。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指标3：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保障文旅体局在职人员正常办公、生活秩序，保障组织部各项工作顺利开展。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指标1：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年度考核目标：优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指标2：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社会公众服务对象满意度：100%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指标3：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通过项目的实施，一是突出加强政治建设；二是用习近平新时代中国特色社会主义思想武装党员干部。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财政部门预算股审核意见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填表人（签名）：</w:t>
      </w:r>
      <w:r>
        <w:rPr>
          <w:rFonts w:hint="eastAsia" w:cs="Times New Roman"/>
          <w:color w:val="auto"/>
          <w:kern w:val="0"/>
          <w:sz w:val="24"/>
          <w:lang w:eastAsia="zh-CN"/>
        </w:rPr>
        <w:t>唐颖怡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联系电话：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8177730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填表日期：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2022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年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月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13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日 </w:t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409B7"/>
    <w:rsid w:val="05947E91"/>
    <w:rsid w:val="09EC485B"/>
    <w:rsid w:val="0F8409B7"/>
    <w:rsid w:val="1C8E5197"/>
    <w:rsid w:val="2CF15A5D"/>
    <w:rsid w:val="3919629F"/>
    <w:rsid w:val="3EE26A00"/>
    <w:rsid w:val="451864A5"/>
    <w:rsid w:val="57137851"/>
    <w:rsid w:val="595B01E1"/>
    <w:rsid w:val="5F671862"/>
    <w:rsid w:val="60F626C2"/>
    <w:rsid w:val="63FF4787"/>
    <w:rsid w:val="69C54545"/>
    <w:rsid w:val="72E6342D"/>
    <w:rsid w:val="7EB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1575</Words>
  <Characters>1634</Characters>
  <Lines>0</Lines>
  <Paragraphs>0</Paragraphs>
  <TotalTime>25</TotalTime>
  <ScaleCrop>false</ScaleCrop>
  <LinksUpToDate>false</LinksUpToDate>
  <CharactersWithSpaces>2328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2022-01-25T00:59:00Z</dcterms:created>
  <dc:creator>围</dc:creator>
  <cp:lastModifiedBy>WPS_1490333802</cp:lastModifiedBy>
  <cp:lastPrinted>2022-04-13T08:35:00Z</cp:lastPrinted>
  <dcterms:modified xsi:type="dcterms:W3CDTF">2022-04-14T02:40:43Z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09D4B9EC505E4E3B90BE57F645C7F6A2</vt:lpwstr>
  </property>
</Properties>
</file>