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</w:p>
    <w:p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 xml:space="preserve">（  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2022</w:t>
      </w:r>
      <w:r>
        <w:rPr>
          <w:rFonts w:eastAsia="楷体_GB2312"/>
          <w:kern w:val="0"/>
          <w:sz w:val="32"/>
          <w:szCs w:val="32"/>
        </w:rPr>
        <w:t xml:space="preserve">  </w:t>
      </w:r>
      <w:r>
        <w:rPr>
          <w:kern w:val="0"/>
          <w:sz w:val="32"/>
          <w:szCs w:val="32"/>
        </w:rPr>
        <w:t>年度</w:t>
      </w:r>
      <w:r>
        <w:rPr>
          <w:rFonts w:eastAsia="Malgun Gothic Semilight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20"/>
        <w:gridCol w:w="120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无</w:t>
            </w:r>
            <w:bookmarkStart w:id="0" w:name="_GoBack"/>
            <w:bookmarkEnd w:id="0"/>
            <w:r>
              <w:rPr>
                <w:kern w:val="0"/>
                <w:szCs w:val="21"/>
              </w:rPr>
              <w:t>　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新增项目 □        延续项目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项目负责人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项目资金申请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资金总额：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一、财政拨款：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二、自有资金：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三、其他：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项目实施内容</w:t>
            </w: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开始时间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</w:t>
            </w: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</w:t>
            </w: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279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……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财政部门预算股审核意见</w:t>
            </w:r>
          </w:p>
        </w:tc>
        <w:tc>
          <w:tcPr>
            <w:tcW w:w="7230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  <w:noWrap w:val="0"/>
            <w:vAlign w:val="top"/>
          </w:tcPr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财政绩效管理股审核意见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ind w:firstLine="6090" w:firstLineChars="29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kern w:val="0"/>
          <w:szCs w:val="21"/>
        </w:rPr>
        <w:tab/>
      </w:r>
    </w:p>
    <w:p>
      <w:pPr>
        <w:spacing w:line="600" w:lineRule="exact"/>
        <w:ind w:firstLine="420" w:firstLineChars="200"/>
        <w:rPr>
          <w:rFonts w:eastAsia="黑体"/>
          <w:kern w:val="0"/>
          <w:sz w:val="32"/>
          <w:szCs w:val="32"/>
        </w:rPr>
      </w:pPr>
      <w:r>
        <w:rPr>
          <w:kern w:val="0"/>
          <w:szCs w:val="21"/>
        </w:rPr>
        <w:br w:type="page"/>
      </w:r>
      <w:r>
        <w:rPr>
          <w:rFonts w:eastAsia="黑体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</w:t>
      </w:r>
      <w:r>
        <w:rPr>
          <w:rFonts w:hint="eastAsia" w:eastAsia="楷体_GB2312"/>
          <w:bCs/>
          <w:kern w:val="0"/>
          <w:sz w:val="32"/>
          <w:szCs w:val="32"/>
        </w:rPr>
        <w:t>2022</w:t>
      </w:r>
      <w:r>
        <w:rPr>
          <w:bCs/>
          <w:kern w:val="0"/>
          <w:sz w:val="32"/>
          <w:szCs w:val="32"/>
        </w:rPr>
        <w:t>年度</w:t>
      </w:r>
      <w:r>
        <w:rPr>
          <w:rFonts w:eastAsia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石鼓区</w:t>
      </w:r>
      <w:r>
        <w:rPr>
          <w:rFonts w:hint="eastAsia"/>
          <w:kern w:val="0"/>
          <w:sz w:val="20"/>
          <w:szCs w:val="20"/>
          <w:lang w:eastAsia="zh-CN"/>
        </w:rPr>
        <w:t>演武坪</w:t>
      </w:r>
      <w:r>
        <w:rPr>
          <w:rFonts w:hint="eastAsia"/>
          <w:kern w:val="0"/>
          <w:sz w:val="20"/>
          <w:szCs w:val="20"/>
        </w:rPr>
        <w:t>小学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30"/>
        <w:gridCol w:w="55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学生饮水工程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延续专项□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石鼓区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演武坪</w:t>
            </w:r>
            <w:r>
              <w:rPr>
                <w:rFonts w:hint="eastAsia"/>
                <w:kern w:val="0"/>
                <w:sz w:val="20"/>
                <w:szCs w:val="20"/>
              </w:rPr>
              <w:t>小学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5.64</w:t>
            </w:r>
            <w:r>
              <w:rPr>
                <w:rFonts w:hint="eastAsia"/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全面贯彻教育方针，全面实施素质教育，严格执行教育行政法规，规范办学行为，维护教职工权益。以教职工和学生的生命幸福和生命质量为重点。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</w:rPr>
              <w:t>根据实际需要，经财政局、教育局核定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2022年1月1日</w:t>
            </w:r>
          </w:p>
        </w:tc>
        <w:tc>
          <w:tcPr>
            <w:tcW w:w="254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2022年12月31日</w:t>
            </w:r>
            <w:r>
              <w:rPr>
                <w:rFonts w:asci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通过预算执行，确实保障</w:t>
            </w: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演武坪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小学全</w:t>
            </w:r>
            <w:r>
              <w:rPr>
                <w:rFonts w:hint="eastAsia" w:ascii="宋体" w:hAnsi="宋体" w:cs="楷体_GB2312"/>
                <w:bCs/>
                <w:sz w:val="20"/>
                <w:szCs w:val="20"/>
              </w:rPr>
              <w:t>体师生用水安全、身体健康，喝上干净、卫生的水。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通过预算执行，保障</w:t>
            </w: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演武坪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小学全</w:t>
            </w:r>
            <w:r>
              <w:rPr>
                <w:rFonts w:hint="eastAsia" w:ascii="宋体" w:hAnsi="宋体" w:cs="楷体_GB2312"/>
                <w:bCs/>
                <w:sz w:val="20"/>
                <w:szCs w:val="20"/>
              </w:rPr>
              <w:t>体学生身体健康，在2022年度内喝上干净、卫生的水，努力在社会中树立良好的学校形象。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按生安排经费。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水达到饮用标准。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保证学生身心健康。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不超支。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专款专用。</w:t>
            </w:r>
            <w:r>
              <w:rPr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群众满意，家长满意。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学生节水的习惯。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福利工程，德政工程。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社会满意度达98%以上。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98%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sz w:val="24"/>
              </w:rPr>
              <w:t>为确保专项实施而制定的制度和措施</w:t>
            </w:r>
            <w:r>
              <w:rPr>
                <w:rFonts w:eastAsia="Malgun Gothic Semilight"/>
                <w:sz w:val="24"/>
              </w:rPr>
              <w:t>，</w:t>
            </w:r>
            <w:r>
              <w:rPr>
                <w:sz w:val="24"/>
              </w:rPr>
              <w:t>如成立的专门管理机构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资金管理办法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项目管理办法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工作措施</w:t>
            </w:r>
            <w:r>
              <w:rPr>
                <w:rFonts w:eastAsia="Malgun Gothic Semilight"/>
                <w:sz w:val="24"/>
              </w:rPr>
              <w:t>（</w:t>
            </w:r>
            <w:r>
              <w:rPr>
                <w:sz w:val="24"/>
              </w:rPr>
              <w:t>方案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规划</w:t>
            </w:r>
            <w:r>
              <w:rPr>
                <w:rFonts w:eastAsia="Malgun Gothic Semilight"/>
                <w:sz w:val="24"/>
              </w:rPr>
              <w:t>）</w:t>
            </w:r>
            <w:r>
              <w:rPr>
                <w:sz w:val="24"/>
              </w:rPr>
              <w:t>等</w:t>
            </w:r>
            <w:r>
              <w:rPr>
                <w:rFonts w:eastAsia="Malgun Gothic Semilight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8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1350"/>
          <w:tab w:val="left" w:pos="2565"/>
          <w:tab w:val="left" w:pos="6493"/>
        </w:tabs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  <w:lang w:eastAsia="zh-CN"/>
        </w:rPr>
        <w:t>陈玉国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  <w:lang w:val="en-US" w:eastAsia="zh-CN"/>
        </w:rPr>
        <w:t>8716237</w:t>
      </w:r>
      <w:r>
        <w:rPr>
          <w:rFonts w:hint="eastAsia"/>
          <w:kern w:val="0"/>
          <w:szCs w:val="21"/>
        </w:rPr>
        <w:t xml:space="preserve">          </w:t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 w:val="24"/>
        </w:rPr>
        <w:t>2022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</w:rPr>
        <w:t>14</w:t>
      </w:r>
      <w:r>
        <w:rPr>
          <w:kern w:val="0"/>
          <w:sz w:val="24"/>
        </w:rPr>
        <w:t xml:space="preserve"> 日</w:t>
      </w:r>
    </w:p>
    <w:p>
      <w:pPr>
        <w:widowControl/>
        <w:tabs>
          <w:tab w:val="left" w:pos="3093"/>
          <w:tab w:val="left" w:pos="6493"/>
        </w:tabs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3093"/>
          <w:tab w:val="left" w:pos="6493"/>
        </w:tabs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</w:p>
    <w:p>
      <w:pPr>
        <w:spacing w:before="120" w:beforeLines="50"/>
        <w:jc w:val="center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部门整体支出绩效目标申报表</w:t>
      </w:r>
    </w:p>
    <w:p>
      <w:pPr>
        <w:spacing w:before="120" w:beforeLines="50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 xml:space="preserve">（ </w:t>
      </w:r>
      <w:r>
        <w:rPr>
          <w:rFonts w:hint="eastAsia"/>
          <w:kern w:val="0"/>
          <w:sz w:val="32"/>
          <w:szCs w:val="32"/>
        </w:rPr>
        <w:t>2022</w:t>
      </w:r>
      <w:r>
        <w:rPr>
          <w:kern w:val="0"/>
          <w:sz w:val="32"/>
          <w:szCs w:val="32"/>
        </w:rPr>
        <w:t xml:space="preserve"> 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eastAsia="zh-CN"/>
        </w:rPr>
      </w:pPr>
      <w:r>
        <w:rPr>
          <w:kern w:val="0"/>
          <w:sz w:val="24"/>
        </w:rPr>
        <w:t>填报单位（盖章）</w:t>
      </w:r>
      <w:r>
        <w:rPr>
          <w:rFonts w:eastAsia="黑体"/>
          <w:kern w:val="0"/>
          <w:sz w:val="24"/>
        </w:rPr>
        <w:t>：</w:t>
      </w:r>
      <w:r>
        <w:rPr>
          <w:rFonts w:hint="eastAsia" w:eastAsia="黑体"/>
          <w:kern w:val="0"/>
          <w:sz w:val="24"/>
        </w:rPr>
        <w:t>石鼓区</w:t>
      </w:r>
      <w:r>
        <w:rPr>
          <w:rFonts w:hint="eastAsia" w:eastAsia="黑体"/>
          <w:kern w:val="0"/>
          <w:sz w:val="24"/>
          <w:lang w:eastAsia="zh-CN"/>
        </w:rPr>
        <w:t>演武坪</w:t>
      </w:r>
      <w:r>
        <w:rPr>
          <w:rFonts w:hint="eastAsia" w:eastAsia="黑体"/>
          <w:kern w:val="0"/>
          <w:sz w:val="24"/>
        </w:rPr>
        <w:t>小学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</w:t>
      </w:r>
      <w:r>
        <w:rPr>
          <w:kern w:val="0"/>
          <w:sz w:val="24"/>
        </w:rPr>
        <w:t>单位负责人（签名）：</w:t>
      </w:r>
      <w:r>
        <w:rPr>
          <w:rFonts w:hint="eastAsia"/>
          <w:kern w:val="0"/>
          <w:sz w:val="24"/>
          <w:lang w:eastAsia="zh-CN"/>
        </w:rPr>
        <w:t>程华</w:t>
      </w:r>
    </w:p>
    <w:tbl>
      <w:tblPr>
        <w:tblStyle w:val="4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石鼓区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演武坪</w:t>
            </w:r>
            <w:r>
              <w:rPr>
                <w:rFonts w:hint="eastAsia" w:eastAsia="黑体"/>
                <w:kern w:val="0"/>
                <w:sz w:val="24"/>
              </w:rPr>
              <w:t>小学</w:t>
            </w: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年度预算申请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资金总额：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483.22</w:t>
            </w:r>
            <w:r>
              <w:rPr>
                <w:rFonts w:hint="eastAsia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其中：        公共财政拨款：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483.22</w:t>
            </w:r>
            <w:r>
              <w:rPr>
                <w:rFonts w:hint="eastAsia"/>
                <w:kern w:val="0"/>
                <w:sz w:val="24"/>
              </w:rPr>
              <w:t>万元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其中：基本支出：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477.58</w:t>
            </w:r>
            <w:r>
              <w:rPr>
                <w:rFonts w:hint="eastAsia"/>
                <w:kern w:val="0"/>
                <w:sz w:val="24"/>
              </w:rPr>
              <w:t>万元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项目支出：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5.64</w:t>
            </w:r>
            <w:r>
              <w:rPr>
                <w:rFonts w:hint="eastAsia"/>
                <w:kern w:val="0"/>
                <w:sz w:val="24"/>
              </w:rPr>
              <w:t>万元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1.实施义务教育促进基础教育发展</w:t>
            </w:r>
          </w:p>
          <w:p>
            <w:pPr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2.狠抓教育教学常规，建立健全常规管理制度，完善常规管理办法，确保教学质量稳步提高。</w:t>
            </w:r>
          </w:p>
          <w:p>
            <w:pPr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3.实施“双减”政策，落实绿色环保教育，积极开展校园文化建设。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4.促进义务教育均衡发展，做好控辍保学，教育扶贫工作，不让一个孩子因贫困而失学。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通过预算执行，保障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演武坪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小学在职人员</w:t>
            </w: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人、离退休人员</w:t>
            </w: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人及临聘人员</w:t>
            </w: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人的正常办公、生活秩序；保障</w:t>
            </w: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785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名小学生正常接受良好的教育。围绕各项教育工作的要求，不断强化内部管理，实施“以人为本”的人性化管理模式，以创建“敬业、团结、务实、创新”的和谐校园为宗旨为广大家长、学生服务，努力在社会中树立良好的学校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1.保障在职人员</w:t>
            </w: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人、离退休人员</w:t>
            </w: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人，临聘人员</w:t>
            </w: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人的正常办公、生活秩序，保障</w:t>
            </w: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785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名小学生人正常接受良好的教育。</w:t>
            </w:r>
          </w:p>
          <w:p>
            <w:pPr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2.在2022年度完成各项资金支出进度要求，保障学校各项工作顺利开展、工资薪金按时发放，薪酬标准不超过衡阳市标准。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3.总成本控制在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483.22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万元内，其中：工资福利支出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441.48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万元；一般商品服务支出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34.44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万元；对个人和家庭的补助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1.66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万元；项目支出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5.64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万元。退休工资从2017年10月起，在社保局发放。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1.做好教育公益事业。</w:t>
            </w:r>
          </w:p>
          <w:p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2.做好学科带头模范作用，保障初中教育。</w:t>
            </w:r>
          </w:p>
          <w:p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3.做好校园文化建设，为创建文明城市做出应有的贡献。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4.为教育事业探索科学方法，开拓小学教育新思路。通过全校员工的共同努力，力争使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社区满意度95%以上，家长满意度95%以上，学生满意度达到95%以上。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财政部门预算股审核意见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eastAsia="仿宋_GB2312"/>
          <w:sz w:val="32"/>
          <w:szCs w:val="32"/>
        </w:rPr>
      </w:pPr>
      <w:r>
        <w:rPr>
          <w:kern w:val="0"/>
          <w:sz w:val="24"/>
        </w:rPr>
        <w:t>填表人（签名）：</w:t>
      </w:r>
      <w:r>
        <w:rPr>
          <w:rFonts w:hint="eastAsia"/>
          <w:kern w:val="0"/>
          <w:sz w:val="24"/>
          <w:lang w:eastAsia="zh-CN"/>
        </w:rPr>
        <w:t>陈玉国</w:t>
      </w:r>
      <w:r>
        <w:rPr>
          <w:kern w:val="0"/>
          <w:sz w:val="24"/>
        </w:rPr>
        <w:t xml:space="preserve">   联系电话： </w:t>
      </w:r>
      <w:r>
        <w:rPr>
          <w:rFonts w:hint="eastAsia"/>
          <w:kern w:val="0"/>
          <w:sz w:val="24"/>
          <w:lang w:val="en-US" w:eastAsia="zh-CN"/>
        </w:rPr>
        <w:t>8716237</w:t>
      </w:r>
      <w:r>
        <w:rPr>
          <w:kern w:val="0"/>
          <w:sz w:val="24"/>
        </w:rPr>
        <w:t xml:space="preserve">   填表日期：</w:t>
      </w:r>
      <w:r>
        <w:rPr>
          <w:rFonts w:hint="eastAsia"/>
          <w:kern w:val="0"/>
          <w:sz w:val="24"/>
        </w:rPr>
        <w:t>2022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</w:rPr>
        <w:t>14</w:t>
      </w:r>
      <w:r>
        <w:rPr>
          <w:kern w:val="0"/>
          <w:sz w:val="24"/>
        </w:rPr>
        <w:t xml:space="preserve"> 日 </w:t>
      </w:r>
    </w:p>
    <w:p/>
    <w:sectPr>
      <w:headerReference r:id="rId3" w:type="default"/>
      <w:footerReference r:id="rId4" w:type="default"/>
      <w:footerReference r:id="rId5" w:type="even"/>
      <w:pgSz w:w="11905" w:h="16837"/>
      <w:pgMar w:top="820" w:right="1644" w:bottom="1440" w:left="1797" w:header="720" w:footer="1077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eastAsia="仿宋_GB2312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eastAsia="仿宋_GB2312"/>
                        <w:sz w:val="28"/>
                        <w:szCs w:val="28"/>
                      </w:rPr>
                      <w:t>8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6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10C9"/>
    <w:rsid w:val="0360025C"/>
    <w:rsid w:val="191E5715"/>
    <w:rsid w:val="31757FE6"/>
    <w:rsid w:val="327A16BC"/>
    <w:rsid w:val="3D8F5744"/>
    <w:rsid w:val="484A28F7"/>
    <w:rsid w:val="48B23078"/>
    <w:rsid w:val="54FB7F44"/>
    <w:rsid w:val="5FCF787D"/>
    <w:rsid w:val="7EA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2022-04-14T00:24:00Z</dcterms:created>
  <dc:creator>秋</dc:creator>
  <cp:lastModifiedBy>Administrator</cp:lastModifiedBy>
  <cp:lastPrinted>2022-04-15T02:48:20Z</cp:lastPrinted>
  <dcterms:modified xsi:type="dcterms:W3CDTF">2022-04-15T02:49:40Z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3C942440A9D44BCA8D456DBA32628A70</vt:lpwstr>
  </property>
</Properties>
</file>