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93"/>
          <w:tab w:val="left" w:pos="6493"/>
        </w:tabs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t>部门整体支出绩效目标申报表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填报单位（盖章）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>：</w:t>
      </w:r>
      <w:r>
        <w:rPr>
          <w:rFonts w:hint="eastAsia" w:ascii="Times New Roman" w:hAnsi="Times New Roman" w:eastAsia="黑体" w:cs="Times New Roman"/>
          <w:color w:val="auto"/>
          <w:kern w:val="0"/>
          <w:sz w:val="24"/>
          <w:lang w:eastAsia="zh-CN"/>
        </w:rPr>
        <w:t>石鼓区工商业联合会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 xml:space="preserve">       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石鼓区工商业联合会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年度预算申请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38.38万元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        公共财政拨款：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38.38万元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政府性基金拨款：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纳入专户管理的非税收入拨款：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0" w:firstLineChars="9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38.38万元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项目支出：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加强和改进非公有制经济人士思想政治工作；参与政治协商，发挥民主监督作用，积极参政议政；协助政府管理和服务非公有制经济；促进行业协会商会改革发展；参与协调劳动关系，协同社会治理，促进社会和谐稳定；引导非公有制企业和非公经济人士依法诚信经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目标1：部门日常工作运行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目标2：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引导非公有制经济人士自觉投身光彩事业，积极履行社会责任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目标3：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密切和会员的联系，维护非公有制经济人士的合法权益，反映他们的正确意见、要求和建议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指标1：在职人员控制率：编制数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6，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在职人员数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，在职人员控制率约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67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%；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指标2：保障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位在职人员正常办公、生活秩序，保障工商联各项工作顺利开展；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指标3：信息公开性：在有关网站按时完整公开预决算信息，年度绩效目标，上年度绩效自评报告；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指标1：年度考核目标：优秀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指标2：满意度指标：服务对象满意度率达95%以上。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指标3：充分发挥自身优势，为我区扩大对外开放、企业走向国际市场服务工作。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财政部门预算股审核意见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r>
        <w:rPr>
          <w:rFonts w:hint="default" w:ascii="Times New Roman" w:hAnsi="Times New Roman" w:cs="Times New Roman"/>
          <w:color w:val="auto"/>
          <w:kern w:val="0"/>
          <w:sz w:val="24"/>
        </w:rPr>
        <w:t>填表人（签名）：</w:t>
      </w:r>
      <w:r>
        <w:rPr>
          <w:rFonts w:hint="eastAsia" w:ascii="Times New Roman" w:hAnsi="Times New Roman" w:cs="Times New Roman"/>
          <w:color w:val="auto"/>
          <w:kern w:val="0"/>
          <w:sz w:val="24"/>
          <w:lang w:eastAsia="zh-CN"/>
        </w:rPr>
        <w:t>李瑶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联系电话：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 xml:space="preserve">18773456631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填表日期：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2022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03FF"/>
    <w:rsid w:val="11D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687</Characters>
  <Lines>0</Lines>
  <Paragraphs>0</Paragraphs>
  <TotalTime>3</TotalTime>
  <ScaleCrop>false</ScaleCrop>
  <LinksUpToDate>false</LinksUpToDate>
  <CharactersWithSpaces>747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2022-04-25T08:53:00Z</dcterms:created>
  <dc:creator>只愿长醉不愿醒</dc:creator>
  <cp:lastModifiedBy>只愿长醉不愿醒</cp:lastModifiedBy>
  <dcterms:modified xsi:type="dcterms:W3CDTF">2022-04-25T08:57:15Z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DE8781B002B640409F890761EEFDA7E6</vt:lpwstr>
  </property>
</Properties>
</file>