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2020年度石鼓区进步小学部门决算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第一部分 石鼓区进步小学概况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第二部分 2020年度部门决算表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color w:val="000000"/>
          <w:sz w:val="32"/>
          <w:szCs w:val="32"/>
        </w:rPr>
        <w:t>第三部分 2020年度部门决算情况说明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十四、关于2020年度预算绩效情况的说明</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color w:val="000000"/>
          <w:sz w:val="36"/>
          <w:szCs w:val="36"/>
        </w:rPr>
        <w:t>第一部分 石鼓区进步小学概况</w:t>
      </w:r>
      <w:r>
        <w:rPr>
          <w:b/>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（一）1、正确贯彻执行党和国家的教育方针、政策、法规。</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（二）2、维护学校的教学秩序，为学生创造良好的学习环境；</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 3、积极稳妥地推进教育改革，按教育规律办事，不断提高教育质量；</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 4、根据学校规模，设置学校管理机构，建立健全各项规章制度和岗位责任制。</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（五） 5、坚持教书育人，服务育人，环境育人方针，加强对学生的思想品德教育，使学生的德智体全面发展。</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（六）6、抓好教师队伍建设，使每个教师都热心于教育事业；</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（七） 7、做好安全防范，保证学生的人身安全。</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4"/>
        <w:spacing w:before="0" w:beforeAutospacing="0" w:after="2" w:afterAutospacing="0"/>
        <w:ind w:lef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石鼓区进步小学内设机构包括：有校长处，党支部，教学部门、总务处，德育处，大队部等</w:t>
      </w:r>
      <w:r>
        <w:rPr>
          <w:color w:val="000000"/>
          <w:sz w:val="27"/>
          <w:szCs w:val="27"/>
        </w:rPr>
        <w:t xml:space="preserve"> </w:t>
      </w:r>
      <w:r>
        <w:rPr>
          <w:rFonts w:hint="eastAsia"/>
          <w:color w:val="000000"/>
          <w:sz w:val="27"/>
          <w:szCs w:val="27"/>
          <w:lang w:eastAsia="zh-CN"/>
        </w:rPr>
        <w:t>。</w:t>
      </w:r>
      <w:r>
        <w:rPr>
          <w:rFonts w:hint="eastAsia" w:ascii="宋体" w:hAnsi="宋体" w:eastAsia="宋体" w:cs="宋体"/>
          <w:color w:val="000000"/>
          <w:sz w:val="32"/>
          <w:szCs w:val="32"/>
        </w:rPr>
        <w:t xml:space="preserve"> 石鼓区人力资源和社会保障局核定总编制29名，其中：专业技术人员编制25名。</w:t>
      </w:r>
      <w:r>
        <w:rPr>
          <w:rFonts w:hint="eastAsia" w:ascii="宋体" w:hAnsi="宋体" w:eastAsia="宋体" w:cs="宋体"/>
          <w:color w:val="000000"/>
          <w:sz w:val="32"/>
          <w:szCs w:val="32"/>
          <w:lang w:val="en-US" w:eastAsia="zh-CN"/>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石鼓区进步小学2020年部门决算汇总公开单位构成包括：纳入202</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年部门</w:t>
      </w:r>
      <w:r>
        <w:rPr>
          <w:rFonts w:hint="eastAsia" w:ascii="宋体" w:hAnsi="宋体" w:eastAsia="宋体" w:cs="宋体"/>
          <w:color w:val="000000"/>
          <w:sz w:val="32"/>
          <w:szCs w:val="32"/>
          <w:lang w:val="en-US" w:eastAsia="zh-CN"/>
        </w:rPr>
        <w:t>决算</w:t>
      </w:r>
      <w:r>
        <w:rPr>
          <w:rFonts w:hint="eastAsia" w:ascii="宋体" w:hAnsi="宋体" w:eastAsia="宋体" w:cs="宋体"/>
          <w:color w:val="000000"/>
          <w:sz w:val="32"/>
          <w:szCs w:val="32"/>
        </w:rPr>
        <w:t>编制范围的预算单位为</w:t>
      </w:r>
      <w:r>
        <w:rPr>
          <w:rFonts w:hint="eastAsia" w:ascii="宋体" w:hAnsi="宋体" w:eastAsia="宋体" w:cs="宋体"/>
          <w:color w:val="000000"/>
          <w:sz w:val="32"/>
          <w:szCs w:val="32"/>
          <w:lang w:val="en-US" w:eastAsia="zh-CN"/>
        </w:rPr>
        <w:t>校本级，无下属事业单位</w:t>
      </w:r>
      <w:r>
        <w:rPr>
          <w:rFonts w:hint="eastAsia" w:ascii="宋体" w:hAnsi="宋体" w:eastAsia="宋体" w:cs="宋体"/>
          <w:color w:val="000000"/>
          <w:sz w:val="32"/>
          <w:szCs w:val="32"/>
        </w:rPr>
        <w:t>。</w:t>
      </w:r>
      <w:r>
        <w:rPr>
          <w:color w:val="000000"/>
          <w:sz w:val="27"/>
          <w:szCs w:val="27"/>
        </w:rPr>
        <w:t xml:space="preserve"> </w:t>
      </w:r>
    </w:p>
    <w:p/>
    <w:p>
      <w:pPr>
        <w:rPr>
          <w:color w:val="000000"/>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sz w:val="21"/>
          <w:szCs w:val="21"/>
        </w:rPr>
      </w:pPr>
      <w:r>
        <w:rPr>
          <w:rFonts w:hint="eastAsia" w:ascii="宋体" w:hAnsi="宋体" w:eastAsia="宋体" w:cs="宋体"/>
          <w:b/>
          <w:color w:val="000000"/>
          <w:sz w:val="36"/>
          <w:szCs w:val="36"/>
        </w:rPr>
        <w:t>第二部分 2020年度部门决算表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shd w:val="clear" w:color="auto" w:fill="auto"/>
            <w:vAlign w:val="center"/>
          </w:tcPr>
          <w:p>
            <w:pPr>
              <w:pStyle w:val="9"/>
              <w:keepNext w:val="0"/>
              <w:keepLines w:val="0"/>
              <w:widowControl/>
              <w:suppressLineNumbers w:val="0"/>
            </w:pPr>
          </w:p>
        </w:tc>
        <w:tc>
          <w:tcPr>
            <w:tcW w:w="202" w:type="pct"/>
            <w:shd w:val="clear" w:color="auto" w:fill="auto"/>
            <w:vAlign w:val="center"/>
          </w:tcPr>
          <w:p>
            <w:pPr>
              <w:pStyle w:val="9"/>
              <w:keepNext w:val="0"/>
              <w:keepLines w:val="0"/>
              <w:widowControl/>
              <w:suppressLineNumbers w:val="0"/>
            </w:pPr>
          </w:p>
        </w:tc>
        <w:tc>
          <w:tcPr>
            <w:tcW w:w="799" w:type="pct"/>
            <w:shd w:val="clear" w:color="auto" w:fill="auto"/>
            <w:vAlign w:val="center"/>
          </w:tcPr>
          <w:p>
            <w:pPr>
              <w:pStyle w:val="9"/>
              <w:keepNext w:val="0"/>
              <w:keepLines w:val="0"/>
              <w:widowControl/>
              <w:suppressLineNumbers w:val="0"/>
            </w:pPr>
          </w:p>
        </w:tc>
        <w:tc>
          <w:tcPr>
            <w:tcW w:w="1497" w:type="pct"/>
            <w:shd w:val="clear" w:color="auto" w:fill="auto"/>
            <w:vAlign w:val="center"/>
          </w:tcPr>
          <w:p>
            <w:pPr>
              <w:pStyle w:val="9"/>
              <w:keepNext w:val="0"/>
              <w:keepLines w:val="0"/>
              <w:widowControl/>
              <w:suppressLineNumbers w:val="0"/>
            </w:pP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995" w:type="pct"/>
            <w:shd w:val="clear" w:color="auto" w:fill="auto"/>
            <w:vAlign w:val="center"/>
          </w:tcPr>
          <w:p>
            <w:pPr>
              <w:pStyle w:val="9"/>
              <w:keepNext w:val="0"/>
              <w:keepLines w:val="0"/>
              <w:widowControl/>
              <w:suppressLineNumbers w:val="0"/>
            </w:pPr>
          </w:p>
        </w:tc>
        <w:tc>
          <w:tcPr>
            <w:tcW w:w="678"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教育支出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普通教育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2050202 </w:t>
            </w:r>
          </w:p>
        </w:tc>
        <w:tc>
          <w:tcPr>
            <w:tcW w:w="99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小学教育 </w:t>
            </w:r>
          </w:p>
        </w:tc>
        <w:tc>
          <w:tcPr>
            <w:tcW w:w="67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105" w:type="pct"/>
            <w:shd w:val="clear" w:color="auto" w:fill="auto"/>
            <w:vAlign w:val="center"/>
          </w:tcPr>
          <w:p>
            <w:pPr>
              <w:pStyle w:val="9"/>
              <w:keepNext w:val="0"/>
              <w:keepLines w:val="0"/>
              <w:widowControl/>
              <w:suppressLineNumbers w:val="0"/>
            </w:pPr>
          </w:p>
        </w:tc>
        <w:tc>
          <w:tcPr>
            <w:tcW w:w="753"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教育支出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普通教育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2050202 </w:t>
            </w:r>
          </w:p>
        </w:tc>
        <w:tc>
          <w:tcPr>
            <w:tcW w:w="110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小学教育 </w:t>
            </w:r>
          </w:p>
        </w:tc>
        <w:tc>
          <w:tcPr>
            <w:tcW w:w="7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486" w:type="pct"/>
            <w:shd w:val="clear" w:color="auto" w:fill="auto"/>
            <w:vAlign w:val="center"/>
          </w:tcPr>
          <w:p>
            <w:pPr>
              <w:pStyle w:val="9"/>
              <w:keepNext w:val="0"/>
              <w:keepLines w:val="0"/>
              <w:widowControl/>
              <w:suppressLineNumbers w:val="0"/>
            </w:pPr>
          </w:p>
        </w:tc>
        <w:tc>
          <w:tcPr>
            <w:tcW w:w="1151"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664" w:type="pct"/>
            <w:shd w:val="clear" w:color="auto" w:fill="auto"/>
            <w:vAlign w:val="center"/>
          </w:tcPr>
          <w:p>
            <w:pPr>
              <w:pStyle w:val="9"/>
              <w:keepNext w:val="0"/>
              <w:keepLines w:val="0"/>
              <w:widowControl/>
              <w:suppressLineNumbers w:val="0"/>
            </w:pPr>
          </w:p>
        </w:tc>
        <w:tc>
          <w:tcPr>
            <w:tcW w:w="456" w:type="pct"/>
            <w:shd w:val="clear" w:color="auto" w:fill="auto"/>
            <w:vAlign w:val="center"/>
          </w:tcPr>
          <w:p>
            <w:pPr>
              <w:pStyle w:val="9"/>
              <w:keepNext w:val="0"/>
              <w:keepLines w:val="0"/>
              <w:widowControl/>
              <w:suppressLineNumbers w:val="0"/>
            </w:pP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1151"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683" w:type="pct"/>
            <w:shd w:val="clear" w:color="auto" w:fill="auto"/>
            <w:vAlign w:val="center"/>
          </w:tcPr>
          <w:p>
            <w:pPr>
              <w:pStyle w:val="9"/>
              <w:keepNext w:val="0"/>
              <w:keepLines w:val="0"/>
              <w:widowControl/>
              <w:suppressLineNumbers w:val="0"/>
            </w:pPr>
          </w:p>
        </w:tc>
        <w:tc>
          <w:tcPr>
            <w:tcW w:w="964" w:type="pct"/>
            <w:shd w:val="clear" w:color="auto" w:fill="auto"/>
            <w:vAlign w:val="center"/>
          </w:tcPr>
          <w:p>
            <w:pPr>
              <w:pStyle w:val="9"/>
              <w:keepNext w:val="0"/>
              <w:keepLines w:val="0"/>
              <w:widowControl/>
              <w:suppressLineNumbers w:val="0"/>
            </w:pP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教育支出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普通教育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2050202 </w:t>
            </w:r>
          </w:p>
        </w:tc>
        <w:tc>
          <w:tcPr>
            <w:tcW w:w="168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小学教育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491.42 </w:t>
            </w:r>
          </w:p>
        </w:tc>
        <w:tc>
          <w:tcPr>
            <w:tcW w:w="96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一般公共预算财政拨款基本支出决算表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shd w:val="clear" w:color="auto" w:fill="auto"/>
            <w:vAlign w:val="center"/>
          </w:tcPr>
          <w:p>
            <w:pPr>
              <w:pStyle w:val="9"/>
              <w:keepNext w:val="0"/>
              <w:keepLines w:val="0"/>
              <w:widowControl/>
              <w:suppressLineNumbers w:val="0"/>
            </w:pPr>
          </w:p>
        </w:tc>
        <w:tc>
          <w:tcPr>
            <w:tcW w:w="1053"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829"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397.33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92.43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133.86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1.46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1.36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1.57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66.80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43.16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1.75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50.49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1.86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7.97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22.02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0.11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48.47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31.87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23.08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2.16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1.66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0.22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0.14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4.99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1.60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17.34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0.39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0.99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0.06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val="0"/>
                <w:sz w:val="22"/>
                <w:szCs w:val="22"/>
              </w:rPr>
              <w:t xml:space="preserve">27.70 </w:t>
            </w:r>
          </w:p>
        </w:tc>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398.99 </w:t>
            </w:r>
          </w:p>
        </w:tc>
        <w:tc>
          <w:tcPr>
            <w:tcW w:w="2645" w:type="pct"/>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r>
              <w:rPr>
                <w:rFonts w:ascii="宋体" w:hAnsi="宋体" w:eastAsia="宋体" w:cs="宋体"/>
                <w:b/>
                <w:sz w:val="22"/>
                <w:szCs w:val="22"/>
              </w:rPr>
              <w:t xml:space="preserve">92.43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78" w:type="pct"/>
            <w:shd w:val="clear" w:color="auto" w:fill="auto"/>
            <w:vAlign w:val="center"/>
          </w:tcPr>
          <w:p>
            <w:pPr>
              <w:pStyle w:val="9"/>
              <w:keepNext w:val="0"/>
              <w:keepLines w:val="0"/>
              <w:widowControl/>
              <w:suppressLineNumbers w:val="0"/>
            </w:pPr>
          </w:p>
        </w:tc>
        <w:tc>
          <w:tcPr>
            <w:tcW w:w="368" w:type="pct"/>
            <w:shd w:val="clear" w:color="auto" w:fill="auto"/>
            <w:vAlign w:val="center"/>
          </w:tcPr>
          <w:p>
            <w:pPr>
              <w:pStyle w:val="9"/>
              <w:keepNext w:val="0"/>
              <w:keepLines w:val="0"/>
              <w:widowControl/>
              <w:suppressLineNumbers w:val="0"/>
            </w:pPr>
          </w:p>
        </w:tc>
        <w:tc>
          <w:tcPr>
            <w:tcW w:w="614" w:type="pct"/>
            <w:shd w:val="clear" w:color="auto" w:fill="auto"/>
            <w:vAlign w:val="center"/>
          </w:tcPr>
          <w:p>
            <w:pPr>
              <w:pStyle w:val="9"/>
              <w:keepNext w:val="0"/>
              <w:keepLines w:val="0"/>
              <w:widowControl/>
              <w:suppressLineNumbers w:val="0"/>
            </w:pPr>
          </w:p>
        </w:tc>
        <w:tc>
          <w:tcPr>
            <w:tcW w:w="335" w:type="pct"/>
            <w:shd w:val="clear" w:color="auto" w:fill="auto"/>
            <w:vAlign w:val="center"/>
          </w:tcPr>
          <w:p>
            <w:pPr>
              <w:pStyle w:val="9"/>
              <w:keepNext w:val="0"/>
              <w:keepLines w:val="0"/>
              <w:widowControl/>
              <w:suppressLineNumbers w:val="0"/>
            </w:pPr>
          </w:p>
        </w:tc>
        <w:tc>
          <w:tcPr>
            <w:tcW w:w="473" w:type="pct"/>
            <w:shd w:val="clear" w:color="auto" w:fill="auto"/>
            <w:vAlign w:val="center"/>
          </w:tcPr>
          <w:p>
            <w:pPr>
              <w:pStyle w:val="9"/>
              <w:keepNext w:val="0"/>
              <w:keepLines w:val="0"/>
              <w:widowControl/>
              <w:suppressLineNumbers w:val="0"/>
            </w:pP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注：本表反映部门本年度政府性基金预算财政拨款收入、支出及结转和结余情况。本单位没有政府性基金收入，也没有使用政府性基金安排的支出，故本表无数据。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972" w:type="pct"/>
            <w:shd w:val="clear" w:color="auto" w:fill="auto"/>
            <w:vAlign w:val="center"/>
          </w:tcPr>
          <w:p>
            <w:pPr>
              <w:pStyle w:val="9"/>
              <w:keepNext w:val="0"/>
              <w:keepLines w:val="0"/>
              <w:widowControl/>
              <w:suppressLineNumbers w:val="0"/>
            </w:pPr>
          </w:p>
        </w:tc>
        <w:tc>
          <w:tcPr>
            <w:tcW w:w="843" w:type="pct"/>
            <w:shd w:val="clear" w:color="auto" w:fill="auto"/>
            <w:vAlign w:val="center"/>
          </w:tcPr>
          <w:p>
            <w:pPr>
              <w:pStyle w:val="9"/>
              <w:keepNext w:val="0"/>
              <w:keepLines w:val="0"/>
              <w:widowControl/>
              <w:suppressLineNumbers w:val="0"/>
            </w:pP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部门：石鼓区进步小学 </w:t>
            </w: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eastAsia" w:ascii="宋体" w:hAnsi="宋体" w:eastAsia="宋体" w:cs="宋体"/>
                <w:b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center"/>
            </w:pPr>
            <w:r>
              <w:rPr>
                <w:rFonts w:ascii="宋体" w:hAnsi="宋体" w:eastAsia="宋体" w:cs="宋体"/>
                <w:b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sz w:val="22"/>
                <w:szCs w:val="22"/>
              </w:rPr>
              <w:t xml:space="preserve">注：本表反映部门本年度国有资本经营预算财政拨款支出情况。本单位没有国有资本经营预算财政拨款收入，也没有使用国有资本经营预算财政拨款安排的支出，故本表无数据。 </w:t>
            </w:r>
          </w:p>
        </w:tc>
      </w:tr>
    </w:tbl>
    <w:p>
      <w:pPr>
        <w:pStyle w:val="9"/>
        <w:keepNext w:val="0"/>
        <w:keepLines w:val="0"/>
        <w:widowControl/>
        <w:suppressLineNumbers w:val="0"/>
      </w:pPr>
    </w:p>
    <w:p>
      <w:pPr>
        <w:rPr>
          <w:color w:val="000000"/>
        </w:rPr>
        <w:sectPr>
          <w:pgSz w:w="16838" w:h="11906"/>
          <w:pgMar w:top="1080" w:right="400" w:bottom="1080" w:left="400" w:header="851" w:footer="992" w:gutter="0"/>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color w:val="000000"/>
          <w:sz w:val="36"/>
          <w:szCs w:val="36"/>
        </w:rPr>
        <w:t>第三部分 2020年度部门决算情况说明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2020年度收、支总计491.42万元。与上一年度相比，收、支总计各增加491.42万元，增长100%。主要是因为原是黄沙湾中心校下属村小，2020年开始独立核算，无上年数据比较。</w:t>
      </w:r>
      <w:bookmarkStart w:id="0" w:name="_GoBack"/>
      <w:bookmarkEnd w:id="0"/>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2020年度收入合计491.42万元，其中：财政拨款收入491.42万元，占100%；上级补助收入0万元，占0%；事业收入0万元，占0%；经营收入0万元，占0%；附属单位上缴收入0万元，占0%；其他收入0万元，占0%。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2020年度支出合计491.42万元，其中：基本支出491.42万元，占100%；项目支出0万元，占0%；上缴上级支出0万元，占0%；经营支出0万元，占0%；对附属单位补助支出0万元，占0%。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2020年度财政拨款收、支总计491.42万元。与上一年度相比，财政拨款收、支总计各增加491.42万元，增长100%。主要是因为原是黄沙湾中心校下属村小，2020年开始独立核算，无上年数据比较。。</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2020年度财政拨款支出491.42万元，占本年支出合计的100%。与上一年度相比，财政拨款支出增加491.42万元，增长100%。主要是因为原是黄沙湾中心校下属村小，2020年开始独立核算，无上年数据比较。。</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2020年度财政拨款支出491.42万元，主要用于以下方面：教育支出491.42万元，占100%。</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2020年度财政拨款支出年初预算数为322.94万元，支出决算数为491.42万元，完成年初预算的152.17%，其中：</w:t>
      </w:r>
      <w:r>
        <w:rPr>
          <w:color w:val="000000"/>
          <w:sz w:val="27"/>
          <w:szCs w:val="27"/>
        </w:rPr>
        <w:t xml:space="preserve"> </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1、教育支出（类）普通教育（款）小学教育（项）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322.94万元，支出决算为491.42万元，完成年初预算的152.17%。决算数大于年初预算数的主要原因是：要是部门为完成特定行政工作任务或事业发展目标而发生的支出，包括有关事业发展专项、专项业务费、基本建设支出等，其中支出学生饮水工程经费2.85万元，主要用于支付学生饮用水等方面。。</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420"/>
        <w:rPr>
          <w:sz w:val="27"/>
          <w:szCs w:val="27"/>
        </w:rPr>
      </w:pPr>
      <w:r>
        <w:rPr>
          <w:rFonts w:hint="eastAsia" w:ascii="宋体" w:hAnsi="宋体" w:eastAsia="宋体" w:cs="宋体"/>
          <w:color w:val="000000"/>
          <w:sz w:val="32"/>
          <w:szCs w:val="32"/>
        </w:rPr>
        <w:t> 2020年度财政拨款基本支出491.42万元，其中：人员经费398.99万元，占基本支出的81.19%，主要包括：基本工资、津贴补贴、奖金、绩效工资、机关事业单位基本养老保险缴费、职业年金缴费、职工基本医疗保险缴费、公务员医疗补助缴费、住房公积金、其他工资福利支出、医疗费补助、其他对个人和家庭的补助。公用经费92.43万元，占基本支出的18.81%，主要包括：办公费、印刷费、水费、电费、维修（护）费、租赁费、培训费、专用材料费、劳务费、工会经费、福利费、其他交通费用、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2020年度“三公”经费财政拨款支出预算为0万元，支出决算为0万元，完成预算的100%，其中：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公务接待费支出预算为0万元，支出决算为0万元，决算数与预算数一致，我单位严格按预算执行决算，公务接待费支出与上年持平。</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公务用车购置费及运行维护费支出预算为0万元，支出决算为0万元，决算数与预算数一致，我单位严格按预算执行决算，公务用车购置费及运行维护费支出与上年持平。</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2020年度“三公”经费财政拨款支出决算中，公务接待费支出决算0万元，占0%，因公出国（境）费支出决算0万元，占0%，公务用车购置费及运行维护费支出决算0万元，占0%。其中：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2、公务接待费支出决算为0万元，全年共接待来访团组0个、来宾0人次，我单位2020年度无公务接待费支出。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2020年12月31日，我单位开支财政拨款的公务用车保有量为0辆。我单位2020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石鼓区进步小学2020年度没有政府性基金收入，也没有使用政府性基金安排的支出，并已公开空表。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九、国有资本经营预算财政拨款支出决算情况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石鼓区进步小学2020年度没有国有资本经营预算财政拨款收入，也没有使用国有资本经营预算财政拨款安排的支出，并已公开空表。 </w:t>
      </w:r>
    </w:p>
    <w:p>
      <w:pPr>
        <w:pStyle w:val="14"/>
        <w:spacing w:before="0" w:beforeAutospacing="0" w:after="2" w:afterAutospacing="0"/>
        <w:ind w:left="0" w:firstLine="640"/>
        <w:rPr>
          <w:sz w:val="27"/>
          <w:szCs w:val="27"/>
        </w:rPr>
      </w:pPr>
      <w:r>
        <w:rPr>
          <w:rFonts w:hint="eastAsia" w:ascii="宋体" w:hAnsi="宋体" w:eastAsia="宋体" w:cs="宋体"/>
          <w:b/>
          <w:color w:val="000000"/>
          <w:sz w:val="32"/>
          <w:szCs w:val="32"/>
        </w:rPr>
        <w:t>十、关于机关运行经费支出说明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石鼓区进步小学为非参公事业单位，未纳入机关运行经费统计范围，无机关运行经费。</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color w:val="000000"/>
          <w:sz w:val="32"/>
          <w:szCs w:val="32"/>
        </w:rPr>
        <w:t>十一、一般性支出情况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石鼓区进步小学一般性支出46.87万元，其中：会议费0万元，我单位2020年度无会议费支出；开支培训费0.22万元，内容为教育教学研究，党务工作等；拟举办“庆六一”运动会等节庆活动，经费预算2万元。；内容为教育教学研究，党务工作等；拟举办“庆六一”运动会等节庆活动，经费预算2万元。；办公费1.46万元；印刷费1.57万元；咨询费0万元；水费1.75万元；电费1.86万元；邮电费0万元；取暖费0万元；物业管理费0万元；差旅费0万元；因公出国（境）费用0万元；维修（护）费31.87万元；租赁费2.16万元；公务接待费0万元；被装购置费0万元；劳务费4.99万元；委托业务费0万元；公务用车运行维护费0万元；其他交通费用0.99万元；房屋建筑物购建0万元；办公设备购置0万元；公务用车购置0万元；其他交通工具购置0万元。</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color w:val="000000"/>
          <w:sz w:val="32"/>
          <w:szCs w:val="32"/>
        </w:rPr>
        <w:t>十二、关于政府采购支出说明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石鼓区进步小学2020年度政府采购支出总额14.28万元，其中：政府采购货物支出0万元、政府采购工程支出14.28万元、政府采购服务支出0万元。授予中小企业合同金额0万元，占政府采购支出总额的0%，其中：授予小微企业合同金额0万元，占政府采购支出总额的0%。 </w:t>
      </w:r>
    </w:p>
    <w:p>
      <w:pPr>
        <w:pStyle w:val="14"/>
        <w:spacing w:before="0" w:beforeAutospacing="0" w:after="2" w:afterAutospacing="0"/>
        <w:ind w:left="0" w:firstLine="640"/>
        <w:rPr>
          <w:sz w:val="27"/>
          <w:szCs w:val="27"/>
        </w:rPr>
      </w:pPr>
      <w:r>
        <w:rPr>
          <w:rFonts w:hint="eastAsia" w:ascii="宋体" w:hAnsi="宋体" w:eastAsia="宋体" w:cs="宋体"/>
          <w:b/>
          <w:color w:val="000000"/>
          <w:sz w:val="32"/>
          <w:szCs w:val="32"/>
        </w:rPr>
        <w:t>十三、关于国有资产占用情况说明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2020年12月31日，石鼓区进步小学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color w:val="000000"/>
          <w:sz w:val="32"/>
          <w:szCs w:val="32"/>
        </w:rPr>
        <w:t>十四、关于2020年度预算绩效情况说明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本部门所有支出实行绩效目标管理。纳入2020年部门整体支出绩效目标的金额为322.94万元，其中，基本支出320.09万元，项目支出2.85万元，具体绩效目标详见报表。</w:t>
      </w:r>
      <w:r>
        <w:rPr>
          <w:color w:val="000000"/>
          <w:sz w:val="27"/>
          <w:szCs w:val="27"/>
        </w:rPr>
        <w:t xml:space="preserve"> </w:t>
      </w: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color w:val="000000"/>
          <w:sz w:val="36"/>
          <w:szCs w:val="36"/>
        </w:rPr>
        <w:t>第四部分</w:t>
      </w:r>
      <w:r>
        <w:rPr>
          <w:rFonts w:hint="eastAsia" w:ascii="宋体" w:hAnsi="宋体" w:eastAsia="宋体" w:cs="宋体"/>
          <w:b/>
          <w:color w:val="000000"/>
          <w:sz w:val="36"/>
          <w:szCs w:val="36"/>
        </w:rPr>
        <w:t xml:space="preserve"> </w:t>
      </w:r>
      <w:r>
        <w:rPr>
          <w:rFonts w:ascii="宋体" w:hAnsi="宋体" w:eastAsia="宋体" w:cs="宋体"/>
          <w:b/>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color w:val="000000"/>
          <w:sz w:val="36"/>
          <w:szCs w:val="36"/>
        </w:rPr>
        <w:t>第五部分</w:t>
      </w:r>
      <w:r>
        <w:rPr>
          <w:rFonts w:hint="eastAsia" w:ascii="宋体" w:hAnsi="宋体" w:eastAsia="宋体" w:cs="宋体"/>
          <w:b/>
          <w:color w:val="000000"/>
          <w:sz w:val="36"/>
          <w:szCs w:val="36"/>
        </w:rPr>
        <w:t xml:space="preserve"> </w:t>
      </w:r>
      <w:r>
        <w:rPr>
          <w:rFonts w:ascii="宋体" w:hAnsi="宋体" w:eastAsia="宋体" w:cs="宋体"/>
          <w:b/>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"http://10.105.94.22:9000/home/downloadAttachment?attachGUID=a8aab3d633ea40959bcf3fad5f6c197e"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2020年进步小学绩效评价报告.doc</w:t>
      </w:r>
      <w:r>
        <w:rPr>
          <w:rFonts w:ascii="宋体" w:hAnsi="宋体" w:eastAsia="宋体" w:cs="宋体"/>
          <w:sz w:val="28"/>
          <w:szCs w:val="28"/>
          <w:shd w:val="clear" w:fill="FFFFFF"/>
        </w:rPr>
        <w:fldChar w:fldCharType="end"/>
      </w:r>
      <w:r>
        <w:rPr>
          <w:rFonts w:ascii="宋体" w:hAnsi="宋体" w:eastAsia="宋体" w:cs="宋体"/>
          <w:color w:val="000000"/>
          <w:sz w:val="28"/>
          <w:szCs w:val="28"/>
          <w:shd w:val="clear" w:fill="FFFFFF"/>
        </w:rPr>
        <w:br w:type="textWrapping"/>
      </w: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"http://10.105.94.22:9000/home/downloadAttachment?attachGUID=8e00b0ac987044249c4902bdcbcf8e64"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专项资金绩效目标申报表.doc</w:t>
      </w:r>
      <w:r>
        <w:rPr>
          <w:rFonts w:ascii="宋体" w:hAnsi="宋体" w:eastAsia="宋体" w:cs="宋体"/>
          <w:sz w:val="28"/>
          <w:szCs w:val="28"/>
          <w:shd w:val="clear"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jY1OWVmMTAxMmExNjUxYTk5NjQ5NTc3NDU5YmQifQ=="/>
  </w:docVars>
  <w:rsids>
    <w:rsidRoot w:val="00000000"/>
    <w:rsid w:val="4D423C14"/>
    <w:rsid w:val="53086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7386</Words>
  <Characters>8775</Characters>
  <TotalTime>4</TotalTime>
  <ScaleCrop>false</ScaleCrop>
  <LinksUpToDate>false</LinksUpToDate>
  <CharactersWithSpaces>9655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2021-10-21T01:20:00Z</dcterms:created>
  <dc:creator>Administrator</dc:creator>
  <cp:lastModifiedBy>夏日雨霖</cp:lastModifiedBy>
  <dcterms:modified xsi:type="dcterms:W3CDTF">2022-09-06T01:23:31Z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B5A0E6C7A4E542F0998EDE1F5C96FC08</vt:lpwstr>
  </property>
</Properties>
</file>