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31B0" w14:textId="06B3B5E1" w:rsidR="00753D25" w:rsidRDefault="00000000">
      <w:pPr>
        <w:widowControl/>
        <w:spacing w:line="48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2021年度</w:t>
      </w:r>
      <w:r w:rsidR="002C497F">
        <w:rPr>
          <w:rFonts w:ascii="方正小标宋简体" w:eastAsia="方正小标宋简体" w:hAnsi="仿宋" w:cs="宋体" w:hint="eastAsia"/>
          <w:sz w:val="44"/>
          <w:szCs w:val="44"/>
        </w:rPr>
        <w:t>石鼓区商务局</w:t>
      </w:r>
      <w:r>
        <w:rPr>
          <w:rFonts w:ascii="方正小标宋简体" w:eastAsia="方正小标宋简体" w:hAnsi="仿宋" w:cs="宋体" w:hint="eastAsia"/>
          <w:sz w:val="44"/>
          <w:szCs w:val="44"/>
        </w:rPr>
        <w:t>部门整体支出绩效自评报告</w:t>
      </w:r>
    </w:p>
    <w:p w14:paraId="0B481DB5" w14:textId="77777777" w:rsidR="00753D25" w:rsidRDefault="00753D25">
      <w:pPr>
        <w:spacing w:line="480" w:lineRule="exact"/>
        <w:rPr>
          <w:rFonts w:ascii="方正小标宋简体" w:eastAsia="方正小标宋简体" w:hAnsi="仿宋" w:cs="宋体"/>
          <w:sz w:val="44"/>
          <w:szCs w:val="44"/>
        </w:rPr>
      </w:pPr>
    </w:p>
    <w:p w14:paraId="68A86A64" w14:textId="77777777" w:rsidR="00753D25" w:rsidRDefault="00000000">
      <w:pPr>
        <w:spacing w:line="48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一、部门基本情况</w:t>
      </w:r>
    </w:p>
    <w:p w14:paraId="20065CAA" w14:textId="77777777" w:rsidR="00753D25" w:rsidRDefault="00000000">
      <w:pPr>
        <w:spacing w:line="48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（一）部门职责</w:t>
      </w:r>
    </w:p>
    <w:p w14:paraId="18E4B099" w14:textId="195C0BBB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 w:rsidRPr="002C497F">
        <w:rPr>
          <w:rFonts w:ascii="仿宋" w:eastAsia="仿宋" w:hAnsi="仿宋" w:cs="宋体" w:hint="eastAsia"/>
          <w:sz w:val="32"/>
          <w:szCs w:val="32"/>
        </w:rPr>
        <w:t>贯彻执行有关国内外贸易、国际经济合作、区域经济合作的发展战略、政策，拟订全区国内外贸易、招商引资、承接产业转移、对外援助、对外投资和对外经济合作的中长期规划、政策措施和实施办法。</w:t>
      </w:r>
    </w:p>
    <w:p w14:paraId="1857A8F6" w14:textId="47738071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Pr="002C497F">
        <w:rPr>
          <w:rFonts w:ascii="仿宋" w:eastAsia="仿宋" w:hAnsi="仿宋" w:cs="宋体" w:hint="eastAsia"/>
          <w:sz w:val="32"/>
          <w:szCs w:val="32"/>
        </w:rPr>
        <w:t>推进流通产业结构调整，促进商贸服务业、社区商业发展，研究提出促进商贸中小企业发展的政策建议，推动流通标准化和连锁经营、商业特许经营、物流配送、电子商务等现代流通方式的发展。</w:t>
      </w:r>
    </w:p>
    <w:p w14:paraId="75F9B4DD" w14:textId="5229E2E6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 w:rsidRPr="002C497F">
        <w:rPr>
          <w:rFonts w:ascii="仿宋" w:eastAsia="仿宋" w:hAnsi="仿宋" w:cs="宋体" w:hint="eastAsia"/>
          <w:sz w:val="32"/>
          <w:szCs w:val="32"/>
        </w:rPr>
        <w:t>推进全区城乡市场发展，研究提出引导资金投向市场体系建设的政策建议，负责商业网点规划、商业体系建设工作，推进农村市场体系建设，组织实施农村现代流通网络工程。</w:t>
      </w:r>
    </w:p>
    <w:p w14:paraId="079C77C7" w14:textId="712CC637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 w:rsidRPr="002C497F">
        <w:rPr>
          <w:rFonts w:ascii="仿宋" w:eastAsia="仿宋" w:hAnsi="仿宋" w:cs="宋体" w:hint="eastAsia"/>
          <w:sz w:val="32"/>
          <w:szCs w:val="32"/>
        </w:rPr>
        <w:t>负责指导全区重要消费品储备管理和市场调控工作,承担重要生产资料流通管理的责任，负责建立健全生活必需品市场运行监测和供应应急管理机制。</w:t>
      </w:r>
    </w:p>
    <w:p w14:paraId="18ABB994" w14:textId="34C6E99E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r w:rsidRPr="002C497F">
        <w:rPr>
          <w:rFonts w:ascii="仿宋" w:eastAsia="仿宋" w:hAnsi="仿宋" w:cs="宋体" w:hint="eastAsia"/>
          <w:sz w:val="32"/>
          <w:szCs w:val="32"/>
        </w:rPr>
        <w:t>贯彻执行国家进出口贸易相关政策。拟订促进全区出口的规划、政策并组织实施；拟订促进全区外贸增长方式转变的政策措施；指导全区对外贸易促进活动和对外贸易促进体系建设；协调反倾销反补贴等进出口公平贸易相关的工作；指导全区各类进出口企业的贸易业务。</w:t>
      </w:r>
    </w:p>
    <w:p w14:paraId="0EFB23A8" w14:textId="4DEA2A49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</w:t>
      </w:r>
      <w:r w:rsidRPr="002C497F">
        <w:rPr>
          <w:rFonts w:ascii="仿宋" w:eastAsia="仿宋" w:hAnsi="仿宋" w:cs="宋体" w:hint="eastAsia"/>
          <w:sz w:val="32"/>
          <w:szCs w:val="32"/>
        </w:rPr>
        <w:t>负责组织参与商务部、省政府、市政府举办的内外贸易促销活动和招商引资、对外经济技术合作活动；负责组织、指导、协调以石鼓区名义在境内外举办的各种内外贸易交易</w:t>
      </w:r>
      <w:r w:rsidRPr="002C497F">
        <w:rPr>
          <w:rFonts w:ascii="仿宋" w:eastAsia="仿宋" w:hAnsi="仿宋" w:cs="宋体" w:hint="eastAsia"/>
          <w:sz w:val="32"/>
          <w:szCs w:val="32"/>
        </w:rPr>
        <w:lastRenderedPageBreak/>
        <w:t>会、展览会、展销会和招商引资等商务活动。</w:t>
      </w:r>
    </w:p>
    <w:p w14:paraId="5393A30C" w14:textId="17FD36F1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</w:t>
      </w:r>
      <w:r w:rsidRPr="002C497F">
        <w:rPr>
          <w:rFonts w:ascii="仿宋" w:eastAsia="仿宋" w:hAnsi="仿宋" w:cs="宋体" w:hint="eastAsia"/>
          <w:sz w:val="32"/>
          <w:szCs w:val="32"/>
        </w:rPr>
        <w:t>负责全区对外经济合作工作，拟订并组织实施全市区外经济合作的政策措施和管理办法；指导对外承包工程、对外劳务合作等对外经济合作业务；负责牵头外派劳务和境外就业人员的权益保护工作。</w:t>
      </w:r>
    </w:p>
    <w:p w14:paraId="61E2D3FB" w14:textId="08B8F5C6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</w:t>
      </w:r>
      <w:r w:rsidRPr="002C497F">
        <w:rPr>
          <w:rFonts w:ascii="仿宋" w:eastAsia="仿宋" w:hAnsi="仿宋" w:cs="宋体" w:hint="eastAsia"/>
          <w:sz w:val="32"/>
          <w:szCs w:val="32"/>
        </w:rPr>
        <w:t>承担全区商务系统统计及其信息发布工作，提供信息咨询服务，指导全区流通领域信息网络和电子商务建设。</w:t>
      </w:r>
    </w:p>
    <w:p w14:paraId="55EB2F1B" w14:textId="004BB070" w:rsidR="002C497F" w:rsidRP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</w:t>
      </w:r>
      <w:r w:rsidRPr="002C497F">
        <w:rPr>
          <w:rFonts w:ascii="仿宋" w:eastAsia="仿宋" w:hAnsi="仿宋" w:cs="宋体" w:hint="eastAsia"/>
          <w:sz w:val="32"/>
          <w:szCs w:val="32"/>
        </w:rPr>
        <w:t>负责职责范围内对有关行业、领域的安全生产工作实施监督管理。</w:t>
      </w:r>
    </w:p>
    <w:p w14:paraId="262CBB41" w14:textId="77777777" w:rsidR="002C497F" w:rsidRDefault="002C497F" w:rsidP="002C497F">
      <w:pPr>
        <w:spacing w:line="48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2C497F">
        <w:rPr>
          <w:rFonts w:ascii="仿宋" w:eastAsia="仿宋" w:hAnsi="仿宋" w:cs="宋体" w:hint="eastAsia"/>
          <w:sz w:val="32"/>
          <w:szCs w:val="32"/>
        </w:rPr>
        <w:t>承办区人民政府交办的其他事项。</w:t>
      </w:r>
    </w:p>
    <w:p w14:paraId="4F270217" w14:textId="5460F1E5" w:rsidR="00753D25" w:rsidRDefault="00000000" w:rsidP="002C497F">
      <w:pPr>
        <w:spacing w:line="48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（二）机构设置情况</w:t>
      </w:r>
    </w:p>
    <w:p w14:paraId="2687FCFB" w14:textId="25DF1566" w:rsidR="00753D25" w:rsidRDefault="002C497F">
      <w:pPr>
        <w:spacing w:line="4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单位</w:t>
      </w:r>
      <w:r w:rsidR="00000000">
        <w:rPr>
          <w:rFonts w:ascii="仿宋" w:eastAsia="仿宋" w:hAnsi="仿宋" w:cs="宋体" w:hint="eastAsia"/>
          <w:sz w:val="32"/>
          <w:szCs w:val="32"/>
        </w:rPr>
        <w:t>内设机构</w:t>
      </w:r>
      <w:r>
        <w:rPr>
          <w:rFonts w:ascii="仿宋" w:eastAsia="仿宋" w:hAnsi="仿宋" w:cs="宋体"/>
          <w:sz w:val="32"/>
          <w:szCs w:val="32"/>
        </w:rPr>
        <w:t>4</w:t>
      </w:r>
      <w:r w:rsidR="00000000">
        <w:rPr>
          <w:rFonts w:ascii="仿宋" w:eastAsia="仿宋" w:hAnsi="仿宋" w:cs="宋体" w:hint="eastAsia"/>
          <w:sz w:val="32"/>
          <w:szCs w:val="32"/>
        </w:rPr>
        <w:t>个（</w:t>
      </w:r>
      <w:r w:rsidRPr="002C497F">
        <w:rPr>
          <w:rFonts w:ascii="仿宋" w:eastAsia="仿宋" w:hAnsi="仿宋" w:cs="宋体" w:hint="eastAsia"/>
          <w:sz w:val="32"/>
          <w:szCs w:val="32"/>
        </w:rPr>
        <w:t>办公室、财务室、招商联络股、商贸流通股</w:t>
      </w:r>
      <w:r w:rsidR="00000000">
        <w:rPr>
          <w:rFonts w:ascii="仿宋" w:eastAsia="仿宋" w:hAnsi="仿宋" w:cs="宋体" w:hint="eastAsia"/>
          <w:sz w:val="32"/>
          <w:szCs w:val="32"/>
        </w:rPr>
        <w:t>）。</w:t>
      </w:r>
    </w:p>
    <w:p w14:paraId="4A00EDBE" w14:textId="77777777" w:rsidR="00753D25" w:rsidRDefault="00000000">
      <w:pPr>
        <w:spacing w:line="4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（三）人员编制情况</w:t>
      </w:r>
    </w:p>
    <w:p w14:paraId="20AD7395" w14:textId="1F309E29" w:rsidR="00753D25" w:rsidRDefault="002C497F">
      <w:pPr>
        <w:spacing w:line="4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C497F">
        <w:rPr>
          <w:rFonts w:ascii="仿宋" w:eastAsia="仿宋" w:hAnsi="仿宋" w:cs="宋体" w:hint="eastAsia"/>
          <w:sz w:val="32"/>
          <w:szCs w:val="32"/>
        </w:rPr>
        <w:t>在职人员9名，其中3名行政人员，6名参照公务员法管理事业人员。</w:t>
      </w:r>
    </w:p>
    <w:p w14:paraId="3937E1A3" w14:textId="77777777" w:rsidR="00753D25" w:rsidRDefault="00000000">
      <w:pPr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二、部门整体支出管理及使用情况</w:t>
      </w:r>
    </w:p>
    <w:p w14:paraId="2FD80122" w14:textId="77777777" w:rsidR="00753D25" w:rsidRDefault="00000000">
      <w:pPr>
        <w:spacing w:line="48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（一）部门收支情况</w:t>
      </w:r>
    </w:p>
    <w:p w14:paraId="75DA0553" w14:textId="77777777" w:rsidR="00970B34" w:rsidRDefault="002C497F" w:rsidP="002C497F">
      <w:pPr>
        <w:widowControl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497F">
        <w:rPr>
          <w:rFonts w:ascii="仿宋" w:eastAsia="仿宋" w:hAnsi="仿宋" w:hint="eastAsia"/>
          <w:sz w:val="32"/>
          <w:szCs w:val="32"/>
        </w:rPr>
        <w:t>2021年度财政拨款收、支总计471.69万元，与上年相比，减少232.83万元,减少49.36%，主要是因为缩减开支。</w:t>
      </w:r>
      <w:r w:rsidR="00970B34">
        <w:rPr>
          <w:rFonts w:ascii="仿宋" w:eastAsia="仿宋" w:hAnsi="仿宋" w:hint="eastAsia"/>
          <w:sz w:val="32"/>
          <w:szCs w:val="32"/>
        </w:rPr>
        <w:t xml:space="preserve"> </w:t>
      </w:r>
      <w:r w:rsidR="00970B34">
        <w:rPr>
          <w:rFonts w:ascii="仿宋" w:eastAsia="仿宋" w:hAnsi="仿宋"/>
          <w:sz w:val="32"/>
          <w:szCs w:val="32"/>
        </w:rPr>
        <w:t xml:space="preserve">  </w:t>
      </w:r>
    </w:p>
    <w:p w14:paraId="6125F021" w14:textId="738669D7" w:rsidR="00753D25" w:rsidRDefault="00000000" w:rsidP="00970B34">
      <w:pPr>
        <w:widowControl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（二）项目支出情况</w:t>
      </w:r>
    </w:p>
    <w:p w14:paraId="07848CFB" w14:textId="00AFA672" w:rsidR="002C497F" w:rsidRDefault="00000000" w:rsidP="002C497F">
      <w:pPr>
        <w:spacing w:line="48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proofErr w:type="gramStart"/>
      <w:r w:rsidR="002C497F" w:rsidRPr="002C497F">
        <w:rPr>
          <w:rFonts w:ascii="仿宋" w:eastAsia="仿宋" w:hAnsi="仿宋" w:hint="eastAsia"/>
          <w:sz w:val="32"/>
          <w:szCs w:val="32"/>
        </w:rPr>
        <w:t>一级项目</w:t>
      </w:r>
      <w:proofErr w:type="gramEnd"/>
      <w:r w:rsidR="002C497F" w:rsidRPr="002C497F">
        <w:rPr>
          <w:rFonts w:ascii="仿宋" w:eastAsia="仿宋" w:hAnsi="仿宋" w:hint="eastAsia"/>
          <w:sz w:val="32"/>
          <w:szCs w:val="32"/>
        </w:rPr>
        <w:t xml:space="preserve">0个，二级项目5 </w:t>
      </w:r>
      <w:proofErr w:type="gramStart"/>
      <w:r w:rsidR="002C497F" w:rsidRPr="002C497F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2C497F" w:rsidRPr="002C497F">
        <w:rPr>
          <w:rFonts w:ascii="仿宋" w:eastAsia="仿宋" w:hAnsi="仿宋" w:hint="eastAsia"/>
          <w:sz w:val="32"/>
          <w:szCs w:val="32"/>
        </w:rPr>
        <w:t>，</w:t>
      </w:r>
      <w:r w:rsidR="002C497F">
        <w:rPr>
          <w:rFonts w:ascii="仿宋" w:eastAsia="仿宋" w:hAnsi="仿宋" w:hint="eastAsia"/>
          <w:sz w:val="32"/>
          <w:szCs w:val="32"/>
        </w:rPr>
        <w:t>分别为</w:t>
      </w:r>
      <w:r w:rsidR="002C497F" w:rsidRPr="002C497F">
        <w:rPr>
          <w:rFonts w:ascii="仿宋" w:eastAsia="仿宋" w:hAnsi="仿宋" w:hint="eastAsia"/>
          <w:sz w:val="32"/>
          <w:szCs w:val="32"/>
        </w:rPr>
        <w:t>争先创优奖励经费等项目经费</w:t>
      </w:r>
      <w:r w:rsidR="002C497F" w:rsidRPr="002C497F">
        <w:rPr>
          <w:rFonts w:ascii="仿宋" w:eastAsia="仿宋" w:hAnsi="仿宋"/>
          <w:sz w:val="32"/>
          <w:szCs w:val="32"/>
        </w:rPr>
        <w:t>6.19</w:t>
      </w:r>
      <w:r w:rsidR="002C497F">
        <w:rPr>
          <w:rFonts w:ascii="仿宋" w:eastAsia="仿宋" w:hAnsi="仿宋" w:hint="eastAsia"/>
          <w:sz w:val="32"/>
          <w:szCs w:val="32"/>
        </w:rPr>
        <w:t>万元；</w:t>
      </w:r>
      <w:proofErr w:type="gramStart"/>
      <w:r w:rsidR="002C497F" w:rsidRPr="002C497F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2C497F" w:rsidRPr="002C497F">
        <w:rPr>
          <w:rFonts w:ascii="仿宋" w:eastAsia="仿宋" w:hAnsi="仿宋" w:hint="eastAsia"/>
          <w:sz w:val="32"/>
          <w:szCs w:val="32"/>
        </w:rPr>
        <w:t>转企，小升</w:t>
      </w:r>
      <w:proofErr w:type="gramStart"/>
      <w:r w:rsidR="002C497F" w:rsidRPr="002C497F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="002C497F" w:rsidRPr="002C497F">
        <w:rPr>
          <w:rFonts w:ascii="仿宋" w:eastAsia="仿宋" w:hAnsi="仿宋" w:hint="eastAsia"/>
          <w:sz w:val="32"/>
          <w:szCs w:val="32"/>
        </w:rPr>
        <w:t>工作奖励经费</w:t>
      </w:r>
      <w:r w:rsidR="002C497F" w:rsidRPr="002C497F">
        <w:rPr>
          <w:rFonts w:ascii="仿宋" w:eastAsia="仿宋" w:hAnsi="仿宋"/>
          <w:sz w:val="32"/>
          <w:szCs w:val="32"/>
        </w:rPr>
        <w:t>5.00</w:t>
      </w:r>
      <w:r w:rsidR="002C497F">
        <w:rPr>
          <w:rFonts w:ascii="仿宋" w:eastAsia="仿宋" w:hAnsi="仿宋" w:hint="eastAsia"/>
          <w:sz w:val="32"/>
          <w:szCs w:val="32"/>
        </w:rPr>
        <w:t>万元</w:t>
      </w:r>
      <w:r w:rsidR="002C497F">
        <w:rPr>
          <w:rFonts w:ascii="仿宋" w:eastAsia="仿宋" w:hAnsi="仿宋" w:hint="eastAsia"/>
          <w:sz w:val="32"/>
          <w:szCs w:val="32"/>
        </w:rPr>
        <w:t>；</w:t>
      </w:r>
      <w:r w:rsidR="002C497F" w:rsidRPr="002C497F">
        <w:rPr>
          <w:rFonts w:ascii="仿宋" w:eastAsia="仿宋" w:hAnsi="仿宋" w:hint="eastAsia"/>
          <w:sz w:val="32"/>
          <w:szCs w:val="32"/>
        </w:rPr>
        <w:t>招商引资专项经费</w:t>
      </w:r>
      <w:r w:rsidR="002C497F" w:rsidRPr="002C497F">
        <w:rPr>
          <w:rFonts w:ascii="仿宋" w:eastAsia="仿宋" w:hAnsi="仿宋"/>
          <w:sz w:val="32"/>
          <w:szCs w:val="32"/>
        </w:rPr>
        <w:t>4.19</w:t>
      </w:r>
      <w:r w:rsidR="002C497F">
        <w:rPr>
          <w:rFonts w:ascii="仿宋" w:eastAsia="仿宋" w:hAnsi="仿宋" w:hint="eastAsia"/>
          <w:sz w:val="32"/>
          <w:szCs w:val="32"/>
        </w:rPr>
        <w:t>万元</w:t>
      </w:r>
      <w:r w:rsidR="002C497F">
        <w:rPr>
          <w:rFonts w:ascii="仿宋" w:eastAsia="仿宋" w:hAnsi="仿宋" w:hint="eastAsia"/>
          <w:sz w:val="32"/>
          <w:szCs w:val="32"/>
        </w:rPr>
        <w:t>；</w:t>
      </w:r>
      <w:r w:rsidR="002C497F" w:rsidRPr="002C497F">
        <w:rPr>
          <w:rFonts w:ascii="仿宋" w:eastAsia="仿宋" w:hAnsi="仿宋" w:hint="eastAsia"/>
          <w:sz w:val="32"/>
          <w:szCs w:val="32"/>
        </w:rPr>
        <w:t>招商引资、农贸市场改造等经费</w:t>
      </w:r>
      <w:r w:rsidR="002C497F" w:rsidRPr="002C497F">
        <w:rPr>
          <w:rFonts w:ascii="仿宋" w:eastAsia="仿宋" w:hAnsi="仿宋"/>
          <w:sz w:val="32"/>
          <w:szCs w:val="32"/>
        </w:rPr>
        <w:t>260.48</w:t>
      </w:r>
      <w:r w:rsidR="002C497F">
        <w:rPr>
          <w:rFonts w:ascii="仿宋" w:eastAsia="仿宋" w:hAnsi="仿宋" w:hint="eastAsia"/>
          <w:sz w:val="32"/>
          <w:szCs w:val="32"/>
        </w:rPr>
        <w:t>万元</w:t>
      </w:r>
      <w:r w:rsidR="002C497F">
        <w:rPr>
          <w:rFonts w:ascii="仿宋" w:eastAsia="仿宋" w:hAnsi="仿宋" w:hint="eastAsia"/>
          <w:sz w:val="32"/>
          <w:szCs w:val="32"/>
        </w:rPr>
        <w:t>；</w:t>
      </w:r>
      <w:r w:rsidR="002C497F" w:rsidRPr="002C497F">
        <w:rPr>
          <w:rFonts w:ascii="仿宋" w:eastAsia="仿宋" w:hAnsi="仿宋" w:hint="eastAsia"/>
          <w:sz w:val="32"/>
          <w:szCs w:val="32"/>
        </w:rPr>
        <w:t>招商引资专项经费</w:t>
      </w:r>
      <w:r w:rsidR="002C497F">
        <w:rPr>
          <w:rFonts w:ascii="仿宋" w:eastAsia="仿宋" w:hAnsi="仿宋" w:hint="eastAsia"/>
          <w:sz w:val="32"/>
          <w:szCs w:val="32"/>
        </w:rPr>
        <w:t>8</w:t>
      </w:r>
      <w:r w:rsidR="002C497F">
        <w:rPr>
          <w:rFonts w:ascii="仿宋" w:eastAsia="仿宋" w:hAnsi="仿宋" w:hint="eastAsia"/>
          <w:sz w:val="32"/>
          <w:szCs w:val="32"/>
        </w:rPr>
        <w:t>万元</w:t>
      </w:r>
      <w:r w:rsidR="002C497F">
        <w:rPr>
          <w:rFonts w:ascii="仿宋" w:eastAsia="仿宋" w:hAnsi="仿宋" w:hint="eastAsia"/>
          <w:sz w:val="32"/>
          <w:szCs w:val="32"/>
        </w:rPr>
        <w:t>；</w:t>
      </w:r>
      <w:r w:rsidR="002C497F" w:rsidRPr="002C497F">
        <w:rPr>
          <w:rFonts w:ascii="仿宋" w:eastAsia="仿宋" w:hAnsi="仿宋" w:hint="eastAsia"/>
          <w:sz w:val="32"/>
          <w:szCs w:val="32"/>
        </w:rPr>
        <w:t>共涉及资金283.86万元，占一般公共预算项目支出总额的100%。组织对2021年度招商引资、农贸市场改造等经费项目支出开展绩效自评，共涉及资金260.48万元，占一</w:t>
      </w:r>
      <w:r w:rsidR="002C497F" w:rsidRPr="002C497F">
        <w:rPr>
          <w:rFonts w:ascii="仿宋" w:eastAsia="仿宋" w:hAnsi="仿宋" w:hint="eastAsia"/>
          <w:sz w:val="32"/>
          <w:szCs w:val="32"/>
        </w:rPr>
        <w:lastRenderedPageBreak/>
        <w:t>般公共预算项目支出总额的92%。</w:t>
      </w:r>
    </w:p>
    <w:p w14:paraId="1341CC9E" w14:textId="6D911B75" w:rsidR="00753D25" w:rsidRDefault="00000000" w:rsidP="002C497F">
      <w:pPr>
        <w:spacing w:line="48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（三）“三公”经费情况</w:t>
      </w:r>
    </w:p>
    <w:p w14:paraId="1DDBE668" w14:textId="77777777" w:rsidR="00970B34" w:rsidRPr="00970B34" w:rsidRDefault="00970B34" w:rsidP="00970B34">
      <w:pPr>
        <w:spacing w:line="480" w:lineRule="exact"/>
        <w:ind w:firstLineChars="200" w:firstLine="640"/>
        <w:contextualSpacing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2021年度“三公”经费财政拨款支出决算中，公务接待费支出决算2.33万元，占100%,因公出国（境）费支出决算0万元，占0%,公务用车购置费及运行维护费支出决算0万元，占0%。其中：</w:t>
      </w:r>
    </w:p>
    <w:p w14:paraId="1822D77C" w14:textId="77777777" w:rsidR="00970B34" w:rsidRPr="00970B34" w:rsidRDefault="00970B34" w:rsidP="00970B34">
      <w:pPr>
        <w:spacing w:line="480" w:lineRule="exact"/>
        <w:ind w:firstLineChars="200" w:firstLine="640"/>
        <w:contextualSpacing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1、因公出国（境）费支出决算为0万元，全年安排因公出国（境）团组0个。</w:t>
      </w:r>
    </w:p>
    <w:p w14:paraId="0BB17044" w14:textId="77777777" w:rsidR="00970B34" w:rsidRPr="00970B34" w:rsidRDefault="00970B34" w:rsidP="00970B34">
      <w:pPr>
        <w:spacing w:line="480" w:lineRule="exact"/>
        <w:ind w:firstLineChars="200" w:firstLine="640"/>
        <w:contextualSpacing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2、公务接待费支出决算为2.33万元，全年共接待来访团组35个、来宾180人次，主要是招商引资发生的接待支出。</w:t>
      </w:r>
    </w:p>
    <w:p w14:paraId="72D7529C" w14:textId="312C875E" w:rsidR="002C497F" w:rsidRDefault="00970B34" w:rsidP="00970B34">
      <w:pPr>
        <w:spacing w:line="480" w:lineRule="exact"/>
        <w:ind w:firstLineChars="200" w:firstLine="640"/>
        <w:contextualSpacing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3、公务用车购置费及运行维护费支出决算为0万元，其中：公务用车购置费0万元。公务用车运行维护费0万元，截至2020年12月31日，我单位开支财政拨款的公务用车保有量为0辆。我单位2020年度无公务用车购置费及运行维护费支出。</w:t>
      </w:r>
    </w:p>
    <w:p w14:paraId="45885C6D" w14:textId="77777777" w:rsidR="00753D25" w:rsidRDefault="00000000">
      <w:pPr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三、部门整体支出绩效评价情况</w:t>
      </w:r>
    </w:p>
    <w:p w14:paraId="45872F0D" w14:textId="06262C5B" w:rsidR="00970B34" w:rsidRPr="00970B34" w:rsidRDefault="00970B34" w:rsidP="00970B34">
      <w:pPr>
        <w:spacing w:line="480" w:lineRule="exact"/>
        <w:ind w:firstLineChars="200" w:firstLine="600"/>
        <w:rPr>
          <w:rFonts w:eastAsia="仿宋" w:hint="eastAsia"/>
          <w:sz w:val="30"/>
          <w:szCs w:val="30"/>
        </w:rPr>
      </w:pPr>
      <w:r w:rsidRPr="00970B34">
        <w:rPr>
          <w:rFonts w:eastAsia="仿宋" w:hint="eastAsia"/>
          <w:sz w:val="30"/>
          <w:szCs w:val="30"/>
        </w:rPr>
        <w:t>202</w:t>
      </w:r>
      <w:r>
        <w:rPr>
          <w:rFonts w:eastAsia="仿宋"/>
          <w:sz w:val="30"/>
          <w:szCs w:val="30"/>
        </w:rPr>
        <w:t>1</w:t>
      </w:r>
      <w:r w:rsidRPr="00970B34">
        <w:rPr>
          <w:rFonts w:eastAsia="仿宋" w:hint="eastAsia"/>
          <w:sz w:val="30"/>
          <w:szCs w:val="30"/>
        </w:rPr>
        <w:t>年，我单位积极履职，强化管理，较好的完成了年度工作目标。通过加强预算收支管理，不断建立健全内部管理制度，梳理内部管理流程，部门整体支出管理水平得到提升。</w:t>
      </w:r>
    </w:p>
    <w:p w14:paraId="7A20B2E7" w14:textId="6E771ED7" w:rsidR="00753D25" w:rsidRDefault="00000000" w:rsidP="00970B34">
      <w:pPr>
        <w:spacing w:line="48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我单位高度重视绩效评价结果的应用工作，积极探索和建立一套与预算管理相结合、多渠道应用评价结果的有效机制，着力提高绩效意识和财政资金使用效益。同时，将</w:t>
      </w:r>
      <w:r>
        <w:rPr>
          <w:rFonts w:eastAsia="仿宋" w:hint="eastAsia"/>
          <w:sz w:val="30"/>
          <w:szCs w:val="30"/>
        </w:rPr>
        <w:t>2021</w:t>
      </w:r>
      <w:r>
        <w:rPr>
          <w:rFonts w:eastAsia="仿宋" w:hint="eastAsia"/>
          <w:sz w:val="30"/>
          <w:szCs w:val="30"/>
        </w:rPr>
        <w:t>年度</w:t>
      </w:r>
      <w:r w:rsidR="002C497F">
        <w:rPr>
          <w:rFonts w:eastAsia="仿宋" w:hint="eastAsia"/>
          <w:sz w:val="30"/>
          <w:szCs w:val="30"/>
        </w:rPr>
        <w:t>石鼓区商务局</w:t>
      </w:r>
      <w:r>
        <w:rPr>
          <w:rFonts w:eastAsia="仿宋" w:hint="eastAsia"/>
          <w:sz w:val="30"/>
          <w:szCs w:val="30"/>
        </w:rPr>
        <w:t>整体支出绩效自评报告在石鼓区党政门户网站上进行公开，广泛接受社会监督。</w:t>
      </w:r>
    </w:p>
    <w:p w14:paraId="537C505D" w14:textId="77777777" w:rsidR="00753D25" w:rsidRDefault="00000000">
      <w:pPr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四、存在的主要问题</w:t>
      </w:r>
    </w:p>
    <w:p w14:paraId="0A4481A3" w14:textId="77612E5A" w:rsidR="00970B34" w:rsidRPr="00970B34" w:rsidRDefault="00970B34" w:rsidP="00970B3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1、存在部分支出进度较慢、预算资金结转结余较多，预算完成率绩效评价设计不合理，造成预算完成率较差情况。</w:t>
      </w:r>
    </w:p>
    <w:p w14:paraId="5C4AA265" w14:textId="0AE1114B" w:rsidR="00970B34" w:rsidRPr="00970B34" w:rsidRDefault="00970B34" w:rsidP="00970B3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lastRenderedPageBreak/>
        <w:t>2、未对项目实施可行性研究分析，未针对项目设定绩效目标、产出指标。未对项目实施前期可行性研究分析，无法得出实施项目后的预期效果，无法证明实施项目的必要性；在实施项目时，未设定项目资金使用绩效目标和产出指标，未结合项目实施分年度、分阶段对指标进一步细化和量化，无法清晰衡量指标的明确性及合理性。</w:t>
      </w:r>
    </w:p>
    <w:p w14:paraId="2F1D4BDB" w14:textId="77777777" w:rsidR="00970B34" w:rsidRDefault="00970B34" w:rsidP="00970B3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3、资金预算管理工作没有做到位，需要加强资金预算管理，做好公用经费控制率。避免后期追加资金。</w:t>
      </w:r>
    </w:p>
    <w:p w14:paraId="72355739" w14:textId="663C372B" w:rsidR="00753D25" w:rsidRDefault="00000000" w:rsidP="00970B34">
      <w:pPr>
        <w:spacing w:line="4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五、改进措施及建议</w:t>
      </w:r>
    </w:p>
    <w:p w14:paraId="38EBA3AC" w14:textId="12C2DEF0" w:rsidR="00970B34" w:rsidRPr="00970B34" w:rsidRDefault="00970B34" w:rsidP="00970B3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1、细化预算编制工作，认真做好预算的编制。</w:t>
      </w:r>
    </w:p>
    <w:p w14:paraId="79ED94CE" w14:textId="58EF5934" w:rsidR="00970B34" w:rsidRPr="00970B34" w:rsidRDefault="00970B34" w:rsidP="00970B3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2、加强财务管理，严格财务审核。在费用报账支付时，按照预算规定的费用项目和用途进行资金使用审核、列报支付、财务核算，杜绝超支现象的发生。</w:t>
      </w:r>
    </w:p>
    <w:p w14:paraId="0708B4DF" w14:textId="713E0CAF" w:rsidR="00970B34" w:rsidRPr="00970B34" w:rsidRDefault="00970B34" w:rsidP="00970B3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B34">
        <w:rPr>
          <w:rFonts w:ascii="仿宋" w:eastAsia="仿宋" w:hAnsi="仿宋" w:hint="eastAsia"/>
          <w:sz w:val="32"/>
          <w:szCs w:val="32"/>
        </w:rPr>
        <w:t>3、按照财政支出绩效管理的要求，建立科学的财政资金效益考评制度体系，不断提高财政资金使用管理的水平和效率。</w:t>
      </w:r>
    </w:p>
    <w:p w14:paraId="03602769" w14:textId="74798BE2" w:rsidR="00753D25" w:rsidRDefault="00753D25" w:rsidP="00970B3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sectPr w:rsidR="00753D25">
      <w:footerReference w:type="default" r:id="rId7"/>
      <w:pgSz w:w="11906" w:h="16838"/>
      <w:pgMar w:top="156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05CB" w14:textId="77777777" w:rsidR="00A31567" w:rsidRDefault="00A31567">
      <w:r>
        <w:separator/>
      </w:r>
    </w:p>
  </w:endnote>
  <w:endnote w:type="continuationSeparator" w:id="0">
    <w:p w14:paraId="065781FB" w14:textId="77777777" w:rsidR="00A31567" w:rsidRDefault="00A3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7674"/>
    </w:sdtPr>
    <w:sdtContent>
      <w:p w14:paraId="094551BD" w14:textId="77777777" w:rsidR="00753D25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435D6307" w14:textId="77777777" w:rsidR="00753D25" w:rsidRDefault="00753D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7042" w14:textId="77777777" w:rsidR="00A31567" w:rsidRDefault="00A31567">
      <w:r>
        <w:separator/>
      </w:r>
    </w:p>
  </w:footnote>
  <w:footnote w:type="continuationSeparator" w:id="0">
    <w:p w14:paraId="24F63D0F" w14:textId="77777777" w:rsidR="00A31567" w:rsidRDefault="00A3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RmNDcxYjEzMjMxMGMyMjU1ZTE2YzYyYjgyOTE3NWYifQ=="/>
  </w:docVars>
  <w:rsids>
    <w:rsidRoot w:val="00B7388F"/>
    <w:rsid w:val="0002179A"/>
    <w:rsid w:val="00037CB1"/>
    <w:rsid w:val="000811E3"/>
    <w:rsid w:val="00087EEE"/>
    <w:rsid w:val="00094D25"/>
    <w:rsid w:val="000B56C4"/>
    <w:rsid w:val="000F4388"/>
    <w:rsid w:val="001210A6"/>
    <w:rsid w:val="00132D52"/>
    <w:rsid w:val="00183032"/>
    <w:rsid w:val="00197C85"/>
    <w:rsid w:val="001B62DD"/>
    <w:rsid w:val="001B65B0"/>
    <w:rsid w:val="001E4C5D"/>
    <w:rsid w:val="00243315"/>
    <w:rsid w:val="00257E44"/>
    <w:rsid w:val="0026144E"/>
    <w:rsid w:val="002A3842"/>
    <w:rsid w:val="002B6619"/>
    <w:rsid w:val="002C3DEB"/>
    <w:rsid w:val="002C497F"/>
    <w:rsid w:val="002C5955"/>
    <w:rsid w:val="002C6268"/>
    <w:rsid w:val="002D2C99"/>
    <w:rsid w:val="00334921"/>
    <w:rsid w:val="003444DB"/>
    <w:rsid w:val="00353C01"/>
    <w:rsid w:val="00385002"/>
    <w:rsid w:val="003872E2"/>
    <w:rsid w:val="00396F90"/>
    <w:rsid w:val="003A32EF"/>
    <w:rsid w:val="003E5588"/>
    <w:rsid w:val="004002E7"/>
    <w:rsid w:val="00415066"/>
    <w:rsid w:val="004164D5"/>
    <w:rsid w:val="00460CB8"/>
    <w:rsid w:val="00480C95"/>
    <w:rsid w:val="004A04ED"/>
    <w:rsid w:val="004B049E"/>
    <w:rsid w:val="004E49FD"/>
    <w:rsid w:val="004F038D"/>
    <w:rsid w:val="004F32FD"/>
    <w:rsid w:val="00571117"/>
    <w:rsid w:val="00575CE1"/>
    <w:rsid w:val="005B7E91"/>
    <w:rsid w:val="005D5B9A"/>
    <w:rsid w:val="0061449C"/>
    <w:rsid w:val="00642C69"/>
    <w:rsid w:val="006654A9"/>
    <w:rsid w:val="006848B7"/>
    <w:rsid w:val="006C32A0"/>
    <w:rsid w:val="00723AF4"/>
    <w:rsid w:val="00727D7A"/>
    <w:rsid w:val="00753D25"/>
    <w:rsid w:val="00764773"/>
    <w:rsid w:val="00831BB6"/>
    <w:rsid w:val="00860A4F"/>
    <w:rsid w:val="0086381A"/>
    <w:rsid w:val="008830E8"/>
    <w:rsid w:val="00885050"/>
    <w:rsid w:val="008A486C"/>
    <w:rsid w:val="008C7DB6"/>
    <w:rsid w:val="008E05A5"/>
    <w:rsid w:val="0090722C"/>
    <w:rsid w:val="00926CCD"/>
    <w:rsid w:val="00944D14"/>
    <w:rsid w:val="0094721D"/>
    <w:rsid w:val="00947C5D"/>
    <w:rsid w:val="00951608"/>
    <w:rsid w:val="00970B34"/>
    <w:rsid w:val="00977438"/>
    <w:rsid w:val="00993AC5"/>
    <w:rsid w:val="00A31567"/>
    <w:rsid w:val="00A543A7"/>
    <w:rsid w:val="00A82B85"/>
    <w:rsid w:val="00A91892"/>
    <w:rsid w:val="00A9795E"/>
    <w:rsid w:val="00AD46A9"/>
    <w:rsid w:val="00B00E47"/>
    <w:rsid w:val="00B1694D"/>
    <w:rsid w:val="00B20E2D"/>
    <w:rsid w:val="00B42EE8"/>
    <w:rsid w:val="00B7114C"/>
    <w:rsid w:val="00B7388F"/>
    <w:rsid w:val="00B96667"/>
    <w:rsid w:val="00BC04E0"/>
    <w:rsid w:val="00BC188E"/>
    <w:rsid w:val="00BD53BE"/>
    <w:rsid w:val="00BF408B"/>
    <w:rsid w:val="00C02D64"/>
    <w:rsid w:val="00C215D1"/>
    <w:rsid w:val="00C22B65"/>
    <w:rsid w:val="00C22E58"/>
    <w:rsid w:val="00C3071C"/>
    <w:rsid w:val="00C445D8"/>
    <w:rsid w:val="00C77AE8"/>
    <w:rsid w:val="00C81CFD"/>
    <w:rsid w:val="00C834AB"/>
    <w:rsid w:val="00C92F17"/>
    <w:rsid w:val="00D14836"/>
    <w:rsid w:val="00D30C1D"/>
    <w:rsid w:val="00D627A9"/>
    <w:rsid w:val="00D86608"/>
    <w:rsid w:val="00DB02BE"/>
    <w:rsid w:val="00DC34E6"/>
    <w:rsid w:val="00DC42B0"/>
    <w:rsid w:val="00DF51CF"/>
    <w:rsid w:val="00E06C63"/>
    <w:rsid w:val="00E11532"/>
    <w:rsid w:val="00E16209"/>
    <w:rsid w:val="00E3507D"/>
    <w:rsid w:val="00E35649"/>
    <w:rsid w:val="00E36805"/>
    <w:rsid w:val="00E94CA9"/>
    <w:rsid w:val="00EB56F4"/>
    <w:rsid w:val="00EE351C"/>
    <w:rsid w:val="00EE41D2"/>
    <w:rsid w:val="00F02C63"/>
    <w:rsid w:val="00F126AE"/>
    <w:rsid w:val="00F1432E"/>
    <w:rsid w:val="00F27AC7"/>
    <w:rsid w:val="00F324FB"/>
    <w:rsid w:val="00F45DC5"/>
    <w:rsid w:val="00F56E6B"/>
    <w:rsid w:val="00FA38BF"/>
    <w:rsid w:val="00FA5754"/>
    <w:rsid w:val="1BF16D3F"/>
    <w:rsid w:val="53A67E78"/>
    <w:rsid w:val="5EFC517A"/>
    <w:rsid w:val="6D3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42AD"/>
  <w15:docId w15:val="{5A6B48BB-C192-418C-B5E2-74432EB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7448B-5A3A-4599-8542-A237D02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何 慧娟</cp:lastModifiedBy>
  <cp:revision>73</cp:revision>
  <cp:lastPrinted>2021-02-08T00:11:00Z</cp:lastPrinted>
  <dcterms:created xsi:type="dcterms:W3CDTF">2020-02-26T08:54:00Z</dcterms:created>
  <dcterms:modified xsi:type="dcterms:W3CDTF">2022-10-25T16:20:00Z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38EA14A617E8464C9FE15B22761BCC9B</vt:lpwstr>
  </property>
</Properties>
</file>