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2DA2">
      <w:pPr>
        <w:widowControl/>
        <w:spacing w:line="480" w:lineRule="exact"/>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202</w:t>
      </w:r>
      <w:r>
        <w:rPr>
          <w:rFonts w:hint="eastAsia" w:ascii="方正小标宋简体" w:hAnsi="仿宋" w:eastAsia="方正小标宋简体" w:cs="宋体"/>
          <w:sz w:val="44"/>
          <w:szCs w:val="44"/>
          <w:lang w:val="en-US" w:eastAsia="zh-CN"/>
        </w:rPr>
        <w:t>1</w:t>
      </w:r>
      <w:r>
        <w:rPr>
          <w:rFonts w:hint="eastAsia" w:ascii="方正小标宋简体" w:hAnsi="仿宋" w:eastAsia="方正小标宋简体" w:cs="宋体"/>
          <w:sz w:val="44"/>
          <w:szCs w:val="44"/>
        </w:rPr>
        <w:t>年度石鼓区退役军人事务局部门整体支出绩效自评报告</w:t>
      </w:r>
    </w:p>
    <w:p w14:paraId="21BB7174">
      <w:pPr>
        <w:spacing w:line="480" w:lineRule="exact"/>
        <w:rPr>
          <w:rFonts w:ascii="方正小标宋简体" w:hAnsi="仿宋" w:eastAsia="方正小标宋简体" w:cs="宋体"/>
          <w:sz w:val="44"/>
          <w:szCs w:val="44"/>
        </w:rPr>
      </w:pPr>
    </w:p>
    <w:p w14:paraId="2D5C7549">
      <w:pPr>
        <w:spacing w:line="480" w:lineRule="exact"/>
        <w:rPr>
          <w:rFonts w:ascii="黑体" w:hAnsi="黑体" w:eastAsia="黑体" w:cs="宋体"/>
          <w:sz w:val="32"/>
          <w:szCs w:val="32"/>
        </w:rPr>
      </w:pPr>
      <w:r>
        <w:rPr>
          <w:rFonts w:hint="eastAsia" w:ascii="黑体" w:hAnsi="黑体" w:eastAsia="黑体" w:cs="宋体"/>
          <w:sz w:val="32"/>
          <w:szCs w:val="32"/>
        </w:rPr>
        <w:t>一、部门基本情况</w:t>
      </w:r>
    </w:p>
    <w:p w14:paraId="356B6B11">
      <w:pPr>
        <w:spacing w:line="480" w:lineRule="exact"/>
        <w:ind w:firstLine="320" w:firstLineChars="100"/>
        <w:rPr>
          <w:rFonts w:ascii="仿宋" w:hAnsi="仿宋" w:eastAsia="仿宋" w:cs="宋体"/>
          <w:sz w:val="32"/>
          <w:szCs w:val="32"/>
        </w:rPr>
      </w:pPr>
      <w:r>
        <w:rPr>
          <w:rFonts w:hint="eastAsia" w:ascii="仿宋" w:hAnsi="仿宋" w:eastAsia="仿宋" w:cs="宋体"/>
          <w:sz w:val="32"/>
          <w:szCs w:val="32"/>
        </w:rPr>
        <w:t>（一）部门职责</w:t>
      </w:r>
    </w:p>
    <w:p w14:paraId="44F8C974">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1.贯彻执行党和国家关于退役军人思想政治、管理保障、安置优抚和就业创业等工作政策法规，拟定全区</w:t>
      </w:r>
      <w:bookmarkStart w:id="0" w:name="_GoBack"/>
      <w:bookmarkEnd w:id="0"/>
      <w:r>
        <w:rPr>
          <w:rFonts w:hint="eastAsia" w:ascii="仿宋" w:hAnsi="仿宋" w:eastAsia="仿宋" w:cs="宋体"/>
          <w:sz w:val="32"/>
          <w:szCs w:val="32"/>
        </w:rPr>
        <w:t>退役军人事务发展规划和政策，并组织实施；褒扬彰显退役军人为党、国家和人民牺牲奉献的精神风范和价值导向。</w:t>
      </w:r>
    </w:p>
    <w:p w14:paraId="2DC2BFBD">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2.承担全区军队转业干部、复员干部、离退休干部、退役士兵和无军籍退休退职职工的移交安置工作和自主择业、自主就业退役军人服务管理工作。</w:t>
      </w:r>
    </w:p>
    <w:p w14:paraId="0F56127D">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3.组织指导全区退役军人教育培训工作，协调扶持退役军人和随军随调家属就业创业。</w:t>
      </w:r>
    </w:p>
    <w:p w14:paraId="6E90F615">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4.会同有关部门贯彻落实国家、省、市关于退役军人的相关保障政策。</w:t>
      </w:r>
    </w:p>
    <w:p w14:paraId="510AB943">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5.组织协调落实全区移交地方的离休</w:t>
      </w:r>
      <w:r>
        <w:rPr>
          <w:rFonts w:hint="eastAsia" w:ascii="仿宋" w:hAnsi="仿宋" w:eastAsia="仿宋" w:cs="宋体"/>
          <w:sz w:val="32"/>
          <w:szCs w:val="32"/>
          <w:lang w:eastAsia="zh-CN"/>
        </w:rPr>
        <w:t>退伍军人</w:t>
      </w:r>
      <w:r>
        <w:rPr>
          <w:rFonts w:hint="eastAsia" w:ascii="仿宋" w:hAnsi="仿宋" w:eastAsia="仿宋" w:cs="宋体"/>
          <w:sz w:val="32"/>
          <w:szCs w:val="32"/>
        </w:rPr>
        <w:t>、符合条件的其他退役军人和无军籍退休退职职工的住房保障工作，以及退役军人医疗保障、社会保险等待遇保障工作。</w:t>
      </w:r>
    </w:p>
    <w:p w14:paraId="6184D24A">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6.组织指导全区伤病残退役军人服务管理和抚恤工作；贯彻落实有关退役军人医疗、疗养、养老等机构的规划政策并指导实施。承担全区不适宜继续服役的伤病残军人相关工作。组织指导全区军供服务保障工作。</w:t>
      </w:r>
    </w:p>
    <w:p w14:paraId="6EB737CF">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7.组织指导全区拥军优属工作。负责全区现役军人、退役军人、军队文职人员和军属优待、抚恤等工作；贯彻执行国家关于国民党抗战老兵等有关人员优待政策并指导实施。</w:t>
      </w:r>
    </w:p>
    <w:p w14:paraId="0B091733">
      <w:pPr>
        <w:widowControl/>
        <w:spacing w:line="480" w:lineRule="exact"/>
        <w:ind w:firstLine="640" w:firstLineChars="200"/>
        <w:rPr>
          <w:rFonts w:ascii="仿宋" w:hAnsi="仿宋" w:eastAsia="仿宋" w:cs="宋体"/>
          <w:sz w:val="28"/>
          <w:szCs w:val="28"/>
        </w:rPr>
      </w:pPr>
      <w:r>
        <w:rPr>
          <w:rFonts w:hint="eastAsia" w:ascii="仿宋" w:hAnsi="仿宋" w:eastAsia="仿宋" w:cs="宋体"/>
          <w:sz w:val="32"/>
          <w:szCs w:val="32"/>
        </w:rPr>
        <w:t>8.承担全区烈士及退役军人荣誉奖励、军人公墓管理维</w:t>
      </w:r>
    </w:p>
    <w:p w14:paraId="21B77DFF">
      <w:pPr>
        <w:widowControl/>
        <w:spacing w:line="480" w:lineRule="exact"/>
        <w:rPr>
          <w:rFonts w:hint="eastAsia" w:ascii="仿宋" w:hAnsi="仿宋" w:eastAsia="仿宋" w:cs="宋体"/>
          <w:sz w:val="32"/>
          <w:szCs w:val="32"/>
        </w:rPr>
      </w:pPr>
      <w:r>
        <w:rPr>
          <w:rFonts w:hint="eastAsia" w:ascii="仿宋" w:hAnsi="仿宋" w:eastAsia="仿宋" w:cs="宋体"/>
          <w:sz w:val="32"/>
          <w:szCs w:val="32"/>
        </w:rPr>
        <w:t>护、纪念活动等工作，依法承担英雄烈士保护相关工作，总</w:t>
      </w:r>
    </w:p>
    <w:p w14:paraId="5819B6B7">
      <w:pPr>
        <w:widowControl/>
        <w:spacing w:line="480" w:lineRule="exact"/>
        <w:rPr>
          <w:rFonts w:ascii="仿宋" w:hAnsi="仿宋" w:eastAsia="仿宋" w:cs="宋体"/>
          <w:sz w:val="32"/>
          <w:szCs w:val="32"/>
        </w:rPr>
      </w:pPr>
      <w:r>
        <w:rPr>
          <w:rFonts w:hint="eastAsia" w:ascii="仿宋" w:hAnsi="仿宋" w:eastAsia="仿宋" w:cs="宋体"/>
          <w:sz w:val="32"/>
          <w:szCs w:val="32"/>
        </w:rPr>
        <w:t>结表彰和宣扬退役军人、退役军人工作单位和个人先进典型事迹。</w:t>
      </w:r>
    </w:p>
    <w:p w14:paraId="1328BE50">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9.指导并监督检查退役军人相关法律法规和政策措施的落实；开展全区退役军人权益维护和有关人员的帮扶援助工作。</w:t>
      </w:r>
    </w:p>
    <w:p w14:paraId="21DEB621">
      <w:pPr>
        <w:widowControl/>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10.完成区委、区政府交办的其他任务。</w:t>
      </w:r>
    </w:p>
    <w:p w14:paraId="6A55864D">
      <w:pPr>
        <w:spacing w:line="480" w:lineRule="exact"/>
        <w:ind w:firstLine="320" w:firstLineChars="100"/>
        <w:rPr>
          <w:rFonts w:ascii="仿宋" w:hAnsi="仿宋" w:eastAsia="仿宋" w:cs="宋体"/>
          <w:sz w:val="32"/>
          <w:szCs w:val="32"/>
        </w:rPr>
      </w:pPr>
      <w:r>
        <w:rPr>
          <w:rFonts w:hint="eastAsia" w:ascii="仿宋" w:hAnsi="仿宋" w:eastAsia="仿宋" w:cs="宋体"/>
          <w:sz w:val="32"/>
          <w:szCs w:val="32"/>
        </w:rPr>
        <w:t>（二）机构设置情况</w:t>
      </w:r>
    </w:p>
    <w:p w14:paraId="7D5EFF6D">
      <w:pPr>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石鼓区退役军人事务局是石鼓区人民政府下设的正科级全额拨款行政单位，内设机构6个（办公室、思想政治和权益维护股、规划财务股、移交安置和就业创业股、拥军优抚股、军休服务管理股）股室和1个公益一类事业单位石鼓区退役军人服务中心。</w:t>
      </w:r>
    </w:p>
    <w:p w14:paraId="4A95286D">
      <w:pPr>
        <w:spacing w:line="480" w:lineRule="exact"/>
        <w:rPr>
          <w:rFonts w:ascii="仿宋" w:hAnsi="仿宋" w:eastAsia="仿宋" w:cs="宋体"/>
          <w:sz w:val="32"/>
          <w:szCs w:val="32"/>
        </w:rPr>
      </w:pPr>
      <w:r>
        <w:rPr>
          <w:rFonts w:hint="eastAsia" w:ascii="仿宋" w:hAnsi="仿宋" w:eastAsia="仿宋" w:cs="宋体"/>
          <w:sz w:val="32"/>
          <w:szCs w:val="32"/>
        </w:rPr>
        <w:t xml:space="preserve">   （三）人员编制情况</w:t>
      </w:r>
    </w:p>
    <w:p w14:paraId="5CBB68C9">
      <w:pPr>
        <w:spacing w:line="480" w:lineRule="exact"/>
        <w:ind w:firstLine="640" w:firstLineChars="200"/>
        <w:rPr>
          <w:rFonts w:ascii="仿宋" w:hAnsi="仿宋" w:eastAsia="仿宋" w:cs="宋体"/>
          <w:sz w:val="32"/>
          <w:szCs w:val="32"/>
        </w:rPr>
      </w:pPr>
      <w:r>
        <w:rPr>
          <w:rFonts w:hint="eastAsia" w:ascii="仿宋" w:hAnsi="仿宋" w:eastAsia="仿宋" w:cs="宋体"/>
          <w:sz w:val="32"/>
          <w:szCs w:val="32"/>
        </w:rPr>
        <w:t>局机关共有3名行政编，服务中心16名事业编制，至202</w:t>
      </w:r>
      <w:r>
        <w:rPr>
          <w:rFonts w:hint="eastAsia" w:ascii="仿宋" w:hAnsi="仿宋" w:eastAsia="仿宋" w:cs="宋体"/>
          <w:sz w:val="32"/>
          <w:szCs w:val="32"/>
          <w:lang w:val="en-US" w:eastAsia="zh-CN"/>
        </w:rPr>
        <w:t>1</w:t>
      </w:r>
      <w:r>
        <w:rPr>
          <w:rFonts w:hint="eastAsia" w:ascii="仿宋" w:hAnsi="仿宋" w:eastAsia="仿宋" w:cs="宋体"/>
          <w:sz w:val="32"/>
          <w:szCs w:val="32"/>
        </w:rPr>
        <w:t>年12月，共有财政全额拨款人员15人（其中在职15人，离退休0人）。</w:t>
      </w:r>
    </w:p>
    <w:p w14:paraId="0C895A4D">
      <w:pPr>
        <w:spacing w:line="480" w:lineRule="exact"/>
        <w:ind w:firstLine="640" w:firstLineChars="200"/>
        <w:rPr>
          <w:rFonts w:ascii="黑体" w:hAnsi="黑体" w:eastAsia="黑体" w:cs="宋体"/>
          <w:sz w:val="32"/>
          <w:szCs w:val="32"/>
        </w:rPr>
      </w:pPr>
      <w:r>
        <w:rPr>
          <w:rFonts w:hint="eastAsia" w:ascii="黑体" w:hAnsi="黑体" w:eastAsia="黑体" w:cs="宋体"/>
          <w:sz w:val="32"/>
          <w:szCs w:val="32"/>
        </w:rPr>
        <w:t>二、部门整体支出管理及使用情况</w:t>
      </w:r>
    </w:p>
    <w:p w14:paraId="31072435">
      <w:pPr>
        <w:spacing w:line="480" w:lineRule="exact"/>
        <w:ind w:firstLine="320" w:firstLineChars="100"/>
        <w:rPr>
          <w:rFonts w:ascii="仿宋" w:hAnsi="仿宋" w:eastAsia="仿宋" w:cs="宋体"/>
          <w:sz w:val="32"/>
          <w:szCs w:val="32"/>
        </w:rPr>
      </w:pPr>
      <w:r>
        <w:rPr>
          <w:rFonts w:hint="eastAsia" w:ascii="仿宋" w:hAnsi="仿宋" w:eastAsia="仿宋" w:cs="宋体"/>
          <w:sz w:val="32"/>
          <w:szCs w:val="32"/>
        </w:rPr>
        <w:t>（一）部门收支情况</w:t>
      </w:r>
    </w:p>
    <w:p w14:paraId="4D27DEA2">
      <w:pPr>
        <w:widowControl/>
        <w:spacing w:line="48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年基本支出</w:t>
      </w:r>
      <w:r>
        <w:rPr>
          <w:rFonts w:hint="eastAsia" w:ascii="仿宋" w:hAnsi="仿宋" w:eastAsia="仿宋"/>
          <w:sz w:val="32"/>
          <w:szCs w:val="32"/>
          <w:lang w:val="en-US" w:eastAsia="zh-CN"/>
        </w:rPr>
        <w:t>497.07</w:t>
      </w:r>
      <w:r>
        <w:rPr>
          <w:rFonts w:hint="eastAsia" w:ascii="仿宋" w:hAnsi="仿宋" w:eastAsia="仿宋"/>
          <w:sz w:val="32"/>
          <w:szCs w:val="32"/>
        </w:rPr>
        <w:t>万元，主要是为保障单位机构运转、完成日常工作任务而发生的各项支出，包括基本工资、津贴补贴等人员经费、办公费、劳务费、邮电费、办公设备购置费等日常公用经费。</w:t>
      </w:r>
    </w:p>
    <w:p w14:paraId="4DE3CBBA">
      <w:pPr>
        <w:widowControl/>
        <w:spacing w:line="480" w:lineRule="exact"/>
        <w:ind w:firstLine="320" w:firstLineChars="100"/>
        <w:rPr>
          <w:rFonts w:ascii="仿宋" w:hAnsi="仿宋" w:eastAsia="仿宋"/>
          <w:sz w:val="32"/>
          <w:szCs w:val="32"/>
        </w:rPr>
      </w:pPr>
      <w:r>
        <w:rPr>
          <w:rFonts w:hint="eastAsia" w:ascii="仿宋" w:hAnsi="仿宋" w:eastAsia="仿宋"/>
          <w:sz w:val="32"/>
          <w:szCs w:val="32"/>
        </w:rPr>
        <w:t>（二）项目支出情况</w:t>
      </w:r>
    </w:p>
    <w:p w14:paraId="06D17039">
      <w:pPr>
        <w:spacing w:line="48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年项目部门预算收入为</w:t>
      </w:r>
      <w:r>
        <w:rPr>
          <w:rFonts w:hint="eastAsia" w:ascii="仿宋" w:hAnsi="仿宋" w:eastAsia="仿宋"/>
          <w:sz w:val="32"/>
          <w:szCs w:val="32"/>
          <w:lang w:val="en-US" w:eastAsia="zh-CN"/>
        </w:rPr>
        <w:t>155.7</w:t>
      </w:r>
      <w:r>
        <w:rPr>
          <w:rFonts w:hint="eastAsia" w:ascii="仿宋" w:hAnsi="仿宋" w:eastAsia="仿宋"/>
          <w:sz w:val="32"/>
          <w:szCs w:val="32"/>
        </w:rPr>
        <w:t>万元，部门预算支出</w:t>
      </w:r>
      <w:r>
        <w:rPr>
          <w:rFonts w:hint="eastAsia" w:ascii="仿宋" w:hAnsi="仿宋" w:eastAsia="仿宋"/>
          <w:sz w:val="32"/>
          <w:szCs w:val="32"/>
          <w:lang w:val="en-US" w:eastAsia="zh-CN"/>
        </w:rPr>
        <w:t>155.7</w:t>
      </w:r>
      <w:r>
        <w:rPr>
          <w:rFonts w:hint="eastAsia" w:ascii="仿宋" w:hAnsi="仿宋" w:eastAsia="仿宋"/>
          <w:sz w:val="32"/>
          <w:szCs w:val="32"/>
        </w:rPr>
        <w:t>元。专项经费：优抚对象医疗补助支出</w:t>
      </w:r>
      <w:r>
        <w:rPr>
          <w:rFonts w:hint="eastAsia" w:ascii="仿宋" w:hAnsi="仿宋" w:eastAsia="仿宋"/>
          <w:sz w:val="32"/>
          <w:szCs w:val="32"/>
          <w:lang w:val="en-US" w:eastAsia="zh-CN"/>
        </w:rPr>
        <w:t>18</w:t>
      </w:r>
      <w:r>
        <w:rPr>
          <w:rFonts w:hint="eastAsia" w:ascii="仿宋" w:hAnsi="仿宋" w:eastAsia="仿宋"/>
          <w:sz w:val="32"/>
          <w:szCs w:val="32"/>
        </w:rPr>
        <w:t>万元，主要用于保障优抚对象医疗待遇、切实解决优抚对象医疗困难问题；优抚对象抚恤补助及义务兵家庭优待金</w:t>
      </w:r>
      <w:r>
        <w:rPr>
          <w:rFonts w:hint="eastAsia" w:ascii="仿宋" w:hAnsi="仿宋" w:eastAsia="仿宋"/>
          <w:sz w:val="32"/>
          <w:szCs w:val="32"/>
          <w:lang w:val="en-US" w:eastAsia="zh-CN"/>
        </w:rPr>
        <w:t>1,278.95</w:t>
      </w:r>
      <w:r>
        <w:rPr>
          <w:rFonts w:hint="eastAsia" w:ascii="仿宋" w:hAnsi="仿宋" w:eastAsia="仿宋"/>
          <w:sz w:val="32"/>
          <w:szCs w:val="32"/>
        </w:rPr>
        <w:t>万元，</w:t>
      </w:r>
    </w:p>
    <w:p w14:paraId="026526CA">
      <w:pPr>
        <w:spacing w:line="480" w:lineRule="exact"/>
        <w:contextualSpacing/>
        <w:rPr>
          <w:rFonts w:hint="eastAsia" w:ascii="仿宋" w:hAnsi="仿宋" w:eastAsia="仿宋"/>
          <w:sz w:val="32"/>
          <w:szCs w:val="32"/>
        </w:rPr>
      </w:pPr>
      <w:r>
        <w:rPr>
          <w:rFonts w:hint="eastAsia" w:ascii="仿宋" w:hAnsi="仿宋" w:eastAsia="仿宋"/>
          <w:sz w:val="32"/>
          <w:szCs w:val="32"/>
        </w:rPr>
        <w:t>主要用于优抚对象发放各类抚恤补助经费、价格临时补贴、病故军人一次性抚恤金、义务兵家庭优待金等；退役安置支出</w:t>
      </w:r>
      <w:r>
        <w:rPr>
          <w:rFonts w:hint="eastAsia" w:ascii="仿宋" w:hAnsi="仿宋" w:eastAsia="仿宋"/>
          <w:sz w:val="32"/>
          <w:szCs w:val="32"/>
          <w:lang w:val="en-US" w:eastAsia="zh-CN"/>
        </w:rPr>
        <w:t>849.88</w:t>
      </w:r>
      <w:r>
        <w:rPr>
          <w:rFonts w:hint="eastAsia" w:ascii="仿宋" w:hAnsi="仿宋" w:eastAsia="仿宋"/>
          <w:sz w:val="32"/>
          <w:szCs w:val="32"/>
        </w:rPr>
        <w:t>万元，主要用于退役士兵一次性经济补助、退役士兵待安置期间生活费、退役士兵社保补缴、军休干部和无军籍职工退休金及奖金津补贴；退役军人事务管理支出221.48万元，主要用于信访积案化解及维稳，退役军人权益维护，退役军人困难援助，春节及八一走访慰问退役军人、驻区部队等。</w:t>
      </w:r>
    </w:p>
    <w:p w14:paraId="01D0B511">
      <w:pPr>
        <w:spacing w:line="480" w:lineRule="exact"/>
        <w:ind w:firstLine="480" w:firstLineChars="150"/>
        <w:contextualSpacing/>
        <w:rPr>
          <w:rFonts w:ascii="仿宋" w:hAnsi="仿宋" w:eastAsia="仿宋"/>
          <w:sz w:val="32"/>
          <w:szCs w:val="32"/>
        </w:rPr>
      </w:pPr>
      <w:r>
        <w:rPr>
          <w:rFonts w:hint="eastAsia" w:ascii="仿宋" w:hAnsi="仿宋" w:eastAsia="仿宋"/>
          <w:sz w:val="32"/>
          <w:szCs w:val="32"/>
        </w:rPr>
        <w:t>（三）“三公”经费情况</w:t>
      </w:r>
    </w:p>
    <w:p w14:paraId="0DF3C4FA">
      <w:pPr>
        <w:widowControl/>
        <w:spacing w:line="480" w:lineRule="exact"/>
        <w:ind w:firstLine="640" w:firstLineChars="200"/>
        <w:rPr>
          <w:rFonts w:ascii="仿宋" w:hAnsi="仿宋" w:eastAsia="仿宋"/>
          <w:sz w:val="32"/>
          <w:szCs w:val="32"/>
        </w:rPr>
      </w:pPr>
      <w:r>
        <w:rPr>
          <w:rFonts w:hint="eastAsia" w:ascii="仿宋" w:hAnsi="仿宋" w:eastAsia="仿宋"/>
          <w:sz w:val="32"/>
          <w:szCs w:val="32"/>
        </w:rPr>
        <w:t>2020年无“三公”经费支出。</w:t>
      </w:r>
    </w:p>
    <w:p w14:paraId="4363ADC3">
      <w:pPr>
        <w:spacing w:line="480" w:lineRule="exact"/>
        <w:ind w:firstLine="640" w:firstLineChars="200"/>
        <w:rPr>
          <w:rFonts w:ascii="黑体" w:hAnsi="黑体" w:eastAsia="黑体" w:cs="宋体"/>
          <w:sz w:val="32"/>
          <w:szCs w:val="32"/>
        </w:rPr>
      </w:pPr>
      <w:r>
        <w:rPr>
          <w:rFonts w:hint="eastAsia" w:ascii="黑体" w:hAnsi="黑体" w:eastAsia="黑体" w:cs="宋体"/>
          <w:sz w:val="32"/>
          <w:szCs w:val="32"/>
        </w:rPr>
        <w:t>三、部门整体支出绩效评价情况</w:t>
      </w:r>
    </w:p>
    <w:p w14:paraId="43AC1303">
      <w:pPr>
        <w:spacing w:line="480" w:lineRule="exact"/>
        <w:ind w:firstLine="600" w:firstLineChars="200"/>
        <w:rPr>
          <w:rFonts w:eastAsia="仿宋"/>
          <w:sz w:val="30"/>
          <w:szCs w:val="30"/>
        </w:rPr>
      </w:pPr>
      <w:r>
        <w:rPr>
          <w:rFonts w:hint="eastAsia" w:eastAsia="仿宋"/>
          <w:sz w:val="30"/>
          <w:szCs w:val="30"/>
        </w:rPr>
        <w:t>我单位按要求贯彻落实党中央关于人力资源和社会保障工作的方针政策和决策部署，全面贯彻落实省委、市委、区委关于人力资源和社会保障工作的部署要求。围绕稳就业、抓社保、维权益、储人才四大主要目标开展业务工作。</w:t>
      </w:r>
    </w:p>
    <w:p w14:paraId="711B6DD4">
      <w:pPr>
        <w:spacing w:line="480" w:lineRule="exact"/>
        <w:ind w:firstLine="600" w:firstLineChars="200"/>
        <w:rPr>
          <w:rFonts w:eastAsia="仿宋"/>
          <w:sz w:val="30"/>
          <w:szCs w:val="30"/>
        </w:rPr>
      </w:pPr>
      <w:r>
        <w:rPr>
          <w:rFonts w:hint="eastAsia" w:eastAsia="仿宋"/>
          <w:sz w:val="30"/>
          <w:szCs w:val="30"/>
        </w:rPr>
        <w:t>我单位实行预算管理制度,根据《行政事业单位财务规则》以及财政局每年下发文件进行相应的预算管理编制、提交和执行，发挥行政事业单位预算管理的最大效用，实现预算管理的目标与效果，并定期按要求向本级政府财政部门报告预算执行情况。</w:t>
      </w:r>
    </w:p>
    <w:p w14:paraId="6B61C2C1">
      <w:pPr>
        <w:spacing w:line="480" w:lineRule="exact"/>
        <w:ind w:firstLine="600" w:firstLineChars="200"/>
        <w:rPr>
          <w:rFonts w:eastAsia="仿宋"/>
          <w:sz w:val="30"/>
          <w:szCs w:val="30"/>
        </w:rPr>
      </w:pPr>
      <w:r>
        <w:rPr>
          <w:rFonts w:eastAsia="仿宋"/>
          <w:sz w:val="30"/>
          <w:szCs w:val="30"/>
        </w:rPr>
        <w:t>2</w:t>
      </w:r>
      <w:r>
        <w:rPr>
          <w:rFonts w:hint="eastAsia" w:eastAsia="仿宋"/>
          <w:sz w:val="30"/>
          <w:szCs w:val="30"/>
        </w:rPr>
        <w:t>02</w:t>
      </w:r>
      <w:r>
        <w:rPr>
          <w:rFonts w:hint="eastAsia" w:eastAsia="仿宋"/>
          <w:sz w:val="30"/>
          <w:szCs w:val="30"/>
          <w:lang w:val="en-US" w:eastAsia="zh-CN"/>
        </w:rPr>
        <w:t>1</w:t>
      </w:r>
      <w:r>
        <w:rPr>
          <w:rFonts w:eastAsia="仿宋"/>
          <w:sz w:val="30"/>
          <w:szCs w:val="30"/>
        </w:rPr>
        <w:t>年，我</w:t>
      </w:r>
      <w:r>
        <w:rPr>
          <w:rFonts w:hint="eastAsia" w:eastAsia="仿宋"/>
          <w:sz w:val="30"/>
          <w:szCs w:val="30"/>
        </w:rPr>
        <w:t>单位</w:t>
      </w:r>
      <w:r>
        <w:rPr>
          <w:rFonts w:eastAsia="仿宋"/>
          <w:sz w:val="30"/>
          <w:szCs w:val="30"/>
        </w:rPr>
        <w:t>坚决贯彻落实中央、省、市、区一系列决策部署，稳就业，抓改革，惠民生，圆满兑现年初工作计划，为全区高质量发展提供坚强保障。</w:t>
      </w:r>
    </w:p>
    <w:p w14:paraId="6B70392A">
      <w:pPr>
        <w:spacing w:line="480" w:lineRule="exact"/>
        <w:ind w:firstLine="600" w:firstLineChars="200"/>
        <w:rPr>
          <w:rFonts w:eastAsia="仿宋"/>
          <w:sz w:val="30"/>
          <w:szCs w:val="30"/>
        </w:rPr>
      </w:pPr>
      <w:r>
        <w:rPr>
          <w:rFonts w:hint="eastAsia" w:eastAsia="仿宋"/>
          <w:sz w:val="30"/>
          <w:szCs w:val="30"/>
        </w:rPr>
        <w:t>我单位高度重视绩效评价结果的应用工作，积极探索和建立一套与预算管理相结合、多渠道应用评价结果的有效机制，着力提高绩效意识和财政资金使用效益。同时，将202</w:t>
      </w:r>
      <w:r>
        <w:rPr>
          <w:rFonts w:hint="eastAsia" w:eastAsia="仿宋"/>
          <w:sz w:val="30"/>
          <w:szCs w:val="30"/>
          <w:lang w:val="en-US" w:eastAsia="zh-CN"/>
        </w:rPr>
        <w:t>1</w:t>
      </w:r>
      <w:r>
        <w:rPr>
          <w:rFonts w:hint="eastAsia" w:eastAsia="仿宋"/>
          <w:sz w:val="30"/>
          <w:szCs w:val="30"/>
        </w:rPr>
        <w:t>年度石鼓区退役军人事务局整体支出绩效自评报告在石鼓区党政门户网站上进行公开，广泛接受社会监督。</w:t>
      </w:r>
    </w:p>
    <w:p w14:paraId="37DD1E21">
      <w:pPr>
        <w:spacing w:line="480" w:lineRule="exact"/>
        <w:ind w:firstLine="640" w:firstLineChars="200"/>
        <w:rPr>
          <w:rFonts w:ascii="黑体" w:hAnsi="黑体" w:eastAsia="黑体" w:cs="宋体"/>
          <w:sz w:val="32"/>
          <w:szCs w:val="32"/>
        </w:rPr>
      </w:pPr>
      <w:r>
        <w:rPr>
          <w:rFonts w:hint="eastAsia" w:ascii="黑体" w:hAnsi="黑体" w:eastAsia="黑体" w:cs="宋体"/>
          <w:sz w:val="32"/>
          <w:szCs w:val="32"/>
        </w:rPr>
        <w:t>四、存在的主要问题</w:t>
      </w:r>
    </w:p>
    <w:p w14:paraId="4BEE7F1A">
      <w:pPr>
        <w:spacing w:line="480" w:lineRule="exact"/>
        <w:ind w:firstLine="640" w:firstLineChars="200"/>
        <w:rPr>
          <w:rFonts w:ascii="仿宋" w:hAnsi="仿宋" w:eastAsia="仿宋" w:cs="宋体"/>
          <w:sz w:val="32"/>
          <w:szCs w:val="32"/>
        </w:rPr>
      </w:pPr>
      <w:r>
        <w:rPr>
          <w:rFonts w:hint="eastAsia" w:ascii="仿宋" w:hAnsi="仿宋" w:eastAsia="仿宋"/>
          <w:sz w:val="32"/>
          <w:szCs w:val="32"/>
        </w:rPr>
        <w:t>绩效目标设立不够明确、细化和量化。项目单位虽然设立了项目资金绩效目标，但目标不够明确、细化和量化。</w:t>
      </w:r>
    </w:p>
    <w:p w14:paraId="41D96C92">
      <w:pPr>
        <w:spacing w:line="480" w:lineRule="exact"/>
        <w:ind w:firstLine="640" w:firstLineChars="200"/>
        <w:rPr>
          <w:rFonts w:ascii="黑体" w:hAnsi="黑体" w:eastAsia="黑体" w:cs="宋体"/>
          <w:sz w:val="32"/>
          <w:szCs w:val="32"/>
        </w:rPr>
      </w:pPr>
      <w:r>
        <w:rPr>
          <w:rFonts w:hint="eastAsia" w:ascii="黑体" w:hAnsi="黑体" w:eastAsia="黑体" w:cs="宋体"/>
          <w:sz w:val="32"/>
          <w:szCs w:val="32"/>
        </w:rPr>
        <w:t>五、改进措施及建议</w:t>
      </w:r>
    </w:p>
    <w:p w14:paraId="348E0C03">
      <w:pPr>
        <w:spacing w:line="480" w:lineRule="exact"/>
        <w:ind w:firstLine="640" w:firstLineChars="200"/>
        <w:rPr>
          <w:rFonts w:ascii="仿宋" w:hAnsi="仿宋" w:eastAsia="仿宋"/>
          <w:sz w:val="32"/>
          <w:szCs w:val="32"/>
          <w:shd w:val="clear" w:color="auto" w:fill="FFFFFF"/>
        </w:rPr>
      </w:pPr>
      <w:r>
        <w:rPr>
          <w:rFonts w:hint="eastAsia" w:ascii="仿宋" w:hAnsi="仿宋" w:eastAsia="仿宋"/>
          <w:sz w:val="32"/>
          <w:szCs w:val="32"/>
        </w:rPr>
        <w:t>我单位将继续按照相关行政法规以及财政局每年下发文件进行相应的预算管理编制、提交和执行，严格做好事前预算、事中执行、事后评价，全面实施预算绩效管理，规范和加强预算绩效评价结果应用，提高财政资源配置效率和资金使用效益，减少相关指标偏差率，保障各项业务顺利开展与完成。</w:t>
      </w:r>
    </w:p>
    <w:sectPr>
      <w:footerReference r:id="rId3" w:type="default"/>
      <w:pgSz w:w="11906" w:h="16838"/>
      <w:pgMar w:top="156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7674"/>
      <w:docPartObj>
        <w:docPartGallery w:val="autotext"/>
      </w:docPartObj>
    </w:sdtPr>
    <w:sdtContent>
      <w:p w14:paraId="4CA905EE">
        <w:pPr>
          <w:pStyle w:val="2"/>
          <w:jc w:val="center"/>
        </w:pPr>
        <w:r>
          <w:fldChar w:fldCharType="begin"/>
        </w:r>
        <w:r>
          <w:instrText xml:space="preserve"> PAGE   \* MERGEFORMAT </w:instrText>
        </w:r>
        <w:r>
          <w:fldChar w:fldCharType="separate"/>
        </w:r>
        <w:r>
          <w:rPr>
            <w:lang w:val="zh-CN"/>
          </w:rPr>
          <w:t>-</w:t>
        </w:r>
        <w:r>
          <w:t xml:space="preserve"> 2 -</w:t>
        </w:r>
        <w:r>
          <w:fldChar w:fldCharType="end"/>
        </w:r>
      </w:p>
    </w:sdtContent>
  </w:sdt>
  <w:p w14:paraId="47B546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DcxYjEzMjMxMGMyMjU1ZTE2YzYyYjgyOTE3NWYifQ=="/>
  </w:docVars>
  <w:rsids>
    <w:rsidRoot w:val="00B7388F"/>
    <w:rsid w:val="0002179A"/>
    <w:rsid w:val="00037CB1"/>
    <w:rsid w:val="000811E3"/>
    <w:rsid w:val="00087EEE"/>
    <w:rsid w:val="00094D25"/>
    <w:rsid w:val="000B56C4"/>
    <w:rsid w:val="000F4388"/>
    <w:rsid w:val="001210A6"/>
    <w:rsid w:val="00132D52"/>
    <w:rsid w:val="00183032"/>
    <w:rsid w:val="00197C85"/>
    <w:rsid w:val="001B62DD"/>
    <w:rsid w:val="001B65B0"/>
    <w:rsid w:val="001E4C5D"/>
    <w:rsid w:val="00243315"/>
    <w:rsid w:val="00257E44"/>
    <w:rsid w:val="0026144E"/>
    <w:rsid w:val="002A3842"/>
    <w:rsid w:val="002B6619"/>
    <w:rsid w:val="002C3DEB"/>
    <w:rsid w:val="002C5955"/>
    <w:rsid w:val="002C6268"/>
    <w:rsid w:val="002D2C99"/>
    <w:rsid w:val="00334921"/>
    <w:rsid w:val="003444DB"/>
    <w:rsid w:val="00353C01"/>
    <w:rsid w:val="00385002"/>
    <w:rsid w:val="003872E2"/>
    <w:rsid w:val="00396F90"/>
    <w:rsid w:val="003A32EF"/>
    <w:rsid w:val="003E5588"/>
    <w:rsid w:val="004002E7"/>
    <w:rsid w:val="00415066"/>
    <w:rsid w:val="004164D5"/>
    <w:rsid w:val="00460CB8"/>
    <w:rsid w:val="00480C95"/>
    <w:rsid w:val="004A04ED"/>
    <w:rsid w:val="004B049E"/>
    <w:rsid w:val="004E49FD"/>
    <w:rsid w:val="004F038D"/>
    <w:rsid w:val="004F32FD"/>
    <w:rsid w:val="00571117"/>
    <w:rsid w:val="00575CE1"/>
    <w:rsid w:val="005B7E91"/>
    <w:rsid w:val="005D5B9A"/>
    <w:rsid w:val="0061449C"/>
    <w:rsid w:val="00642C69"/>
    <w:rsid w:val="006654A9"/>
    <w:rsid w:val="006848B7"/>
    <w:rsid w:val="006C32A0"/>
    <w:rsid w:val="00723AF4"/>
    <w:rsid w:val="00727D7A"/>
    <w:rsid w:val="00764773"/>
    <w:rsid w:val="00831BB6"/>
    <w:rsid w:val="00860A4F"/>
    <w:rsid w:val="0086381A"/>
    <w:rsid w:val="008830E8"/>
    <w:rsid w:val="00885050"/>
    <w:rsid w:val="008A486C"/>
    <w:rsid w:val="008C7DB6"/>
    <w:rsid w:val="008E05A5"/>
    <w:rsid w:val="0090722C"/>
    <w:rsid w:val="00926CCD"/>
    <w:rsid w:val="00944D14"/>
    <w:rsid w:val="0094721D"/>
    <w:rsid w:val="00947C5D"/>
    <w:rsid w:val="00951608"/>
    <w:rsid w:val="00977438"/>
    <w:rsid w:val="00993AC5"/>
    <w:rsid w:val="00A543A7"/>
    <w:rsid w:val="00A82B85"/>
    <w:rsid w:val="00A91892"/>
    <w:rsid w:val="00A9795E"/>
    <w:rsid w:val="00AD46A9"/>
    <w:rsid w:val="00B00E47"/>
    <w:rsid w:val="00B1694D"/>
    <w:rsid w:val="00B20E2D"/>
    <w:rsid w:val="00B42EE8"/>
    <w:rsid w:val="00B7114C"/>
    <w:rsid w:val="00B7388F"/>
    <w:rsid w:val="00B96667"/>
    <w:rsid w:val="00BC04E0"/>
    <w:rsid w:val="00BC188E"/>
    <w:rsid w:val="00BD53BE"/>
    <w:rsid w:val="00BF408B"/>
    <w:rsid w:val="00C02D64"/>
    <w:rsid w:val="00C215D1"/>
    <w:rsid w:val="00C22B65"/>
    <w:rsid w:val="00C22E58"/>
    <w:rsid w:val="00C3071C"/>
    <w:rsid w:val="00C445D8"/>
    <w:rsid w:val="00C77AE8"/>
    <w:rsid w:val="00C81CFD"/>
    <w:rsid w:val="00C834AB"/>
    <w:rsid w:val="00C92F17"/>
    <w:rsid w:val="00D14836"/>
    <w:rsid w:val="00D30C1D"/>
    <w:rsid w:val="00D627A9"/>
    <w:rsid w:val="00D86608"/>
    <w:rsid w:val="00DB02BE"/>
    <w:rsid w:val="00DC34E6"/>
    <w:rsid w:val="00DC42B0"/>
    <w:rsid w:val="00DF51CF"/>
    <w:rsid w:val="00E06C63"/>
    <w:rsid w:val="00E11532"/>
    <w:rsid w:val="00E16209"/>
    <w:rsid w:val="00E3507D"/>
    <w:rsid w:val="00E35649"/>
    <w:rsid w:val="00E36805"/>
    <w:rsid w:val="00E94CA9"/>
    <w:rsid w:val="00EB56F4"/>
    <w:rsid w:val="00EE351C"/>
    <w:rsid w:val="00EE41D2"/>
    <w:rsid w:val="00F02C63"/>
    <w:rsid w:val="00F126AE"/>
    <w:rsid w:val="00F1432E"/>
    <w:rsid w:val="00F27AC7"/>
    <w:rsid w:val="00F324FB"/>
    <w:rsid w:val="00F45DC5"/>
    <w:rsid w:val="00F56E6B"/>
    <w:rsid w:val="00FA38BF"/>
    <w:rsid w:val="00FA5754"/>
    <w:rsid w:val="1BF16D3F"/>
    <w:rsid w:val="2DA963A6"/>
    <w:rsid w:val="53A67E78"/>
    <w:rsid w:val="5EFC517A"/>
    <w:rsid w:val="6D3F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rFonts w:asciiTheme="minorHAnsi" w:hAnsiTheme="minorHAnsi" w:eastAsiaTheme="minorEastAsia"/>
      <w:kern w:val="0"/>
      <w:sz w:val="24"/>
      <w:szCs w:val="2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48B-5A3A-4599-8542-A237D024FA66}">
  <ds:schemaRefs/>
</ds:datastoreItem>
</file>

<file path=docProps/app.xml><?xml version="1.0" encoding="utf-8"?>
<Properties xmlns="http://schemas.openxmlformats.org/officeDocument/2006/extended-properties" xmlns:vt="http://schemas.openxmlformats.org/officeDocument/2006/docPropsVTypes">
  <Template>Normal</Template>
  <Pages>4</Pages>
  <Words>1870</Words>
  <Characters>1937</Characters>
  <Lines>14</Lines>
  <Paragraphs>3</Paragraphs>
  <TotalTime>594</TotalTime>
  <ScaleCrop>false</ScaleCrop>
  <LinksUpToDate>false</LinksUpToDate>
  <CharactersWithSpaces>1940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2020-02-26T08:54:00Z</dcterms:created>
  <dc:creator>Lenovo5</dc:creator>
  <cp:lastModifiedBy>邓婷</cp:lastModifiedBy>
  <cp:lastPrinted>2021-02-08T00:11:00Z</cp:lastPrinted>
  <dcterms:modified xsi:type="dcterms:W3CDTF">2025-11-25T01:40:56Z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38EA14A617E8464C9FE15B22761BCC9B</vt:lpwstr>
  </property>
  <property fmtid="{D5CDD505-2E9C-101B-9397-08002B2CF9AE}" pid="4" name="KSOTemplateDocerSaveRecord">
    <vt:lpwstr>eyJoZGlkIjoiZTY2MWM4MWY1Nzc3YTU2NWFiNzU3MWZmM2EwMGNkMjgiLCJ1c2VySWQiOiIxMDY5MjgzMDcxIn0=</vt:lpwstr>
  </property>
</Properties>
</file>