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094" w:rsidRDefault="00C12FA5">
      <w:pPr>
        <w:jc w:val="center"/>
        <w:rPr>
          <w:rFonts w:ascii="黑体" w:eastAsia="黑体" w:hAnsi="黑体" w:cs="黑体"/>
          <w:sz w:val="44"/>
          <w:szCs w:val="44"/>
        </w:rPr>
      </w:pPr>
      <w:r>
        <w:rPr>
          <w:rFonts w:ascii="黑体" w:eastAsia="黑体" w:hAnsi="黑体" w:cs="黑体" w:hint="eastAsia"/>
          <w:sz w:val="44"/>
          <w:szCs w:val="44"/>
        </w:rPr>
        <w:t>202</w:t>
      </w:r>
      <w:r w:rsidR="00C91A42">
        <w:rPr>
          <w:rFonts w:ascii="黑体" w:eastAsia="黑体" w:hAnsi="黑体" w:cs="黑体" w:hint="eastAsia"/>
          <w:sz w:val="44"/>
          <w:szCs w:val="44"/>
        </w:rPr>
        <w:t>1</w:t>
      </w:r>
      <w:r>
        <w:rPr>
          <w:rFonts w:ascii="黑体" w:eastAsia="黑体" w:hAnsi="黑体" w:cs="黑体" w:hint="eastAsia"/>
          <w:sz w:val="44"/>
          <w:szCs w:val="44"/>
        </w:rPr>
        <w:t>年度石鼓区民政局整体支出绩效自评报告</w:t>
      </w:r>
    </w:p>
    <w:p w:rsidR="009E5094" w:rsidRDefault="009E5094"/>
    <w:p w:rsidR="009E5094" w:rsidRDefault="00C12FA5">
      <w:pPr>
        <w:ind w:firstLineChars="200" w:firstLine="640"/>
        <w:rPr>
          <w:rFonts w:ascii="仿宋" w:eastAsia="仿宋" w:hAnsi="仿宋" w:cs="仿宋"/>
          <w:sz w:val="32"/>
          <w:szCs w:val="32"/>
        </w:rPr>
      </w:pPr>
      <w:r>
        <w:rPr>
          <w:rFonts w:ascii="仿宋" w:eastAsia="仿宋" w:hAnsi="仿宋" w:cs="仿宋" w:hint="eastAsia"/>
          <w:sz w:val="32"/>
          <w:szCs w:val="32"/>
        </w:rPr>
        <w:t>为切实做好202</w:t>
      </w:r>
      <w:r w:rsidR="00C91A42">
        <w:rPr>
          <w:rFonts w:ascii="仿宋" w:eastAsia="仿宋" w:hAnsi="仿宋" w:cs="仿宋" w:hint="eastAsia"/>
          <w:sz w:val="32"/>
          <w:szCs w:val="32"/>
        </w:rPr>
        <w:t>1</w:t>
      </w:r>
      <w:r>
        <w:rPr>
          <w:rFonts w:ascii="仿宋" w:eastAsia="仿宋" w:hAnsi="仿宋" w:cs="仿宋" w:hint="eastAsia"/>
          <w:sz w:val="32"/>
          <w:szCs w:val="32"/>
        </w:rPr>
        <w:t>年度部门整体支出绩效自评工作，进一步规范区级财政资金管理，强化绩效和责任意识，切实提高资金使用效益，根据《湖南省人民政府关于全面推进预算绩效管理的意见》（湘政发〔2012〕33号）、湖南省财政厅关于印发《湖南省预算绩效管理工作规程（试行）》的通知（湘财绩〔2013〕28号）、湖南省财政厅关于印发《湖南省预算支出绩效评价管理办法》的通知（湘财绩〔2020〕7号）等文件要求，结合实际，现将我单位整体支出绩效自评结果报告如下：</w:t>
      </w:r>
    </w:p>
    <w:p w:rsidR="009E5094" w:rsidRDefault="00C12FA5">
      <w:pPr>
        <w:ind w:firstLineChars="200" w:firstLine="640"/>
        <w:rPr>
          <w:rFonts w:ascii="黑体" w:eastAsia="黑体" w:hAnsi="黑体" w:cs="黑体"/>
          <w:sz w:val="32"/>
          <w:szCs w:val="32"/>
        </w:rPr>
      </w:pPr>
      <w:r>
        <w:rPr>
          <w:rFonts w:ascii="黑体" w:eastAsia="黑体" w:hAnsi="黑体" w:cs="黑体" w:hint="eastAsia"/>
          <w:sz w:val="32"/>
          <w:szCs w:val="32"/>
        </w:rPr>
        <w:t>一、基本情况</w:t>
      </w:r>
    </w:p>
    <w:p w:rsidR="009E5094" w:rsidRDefault="00C12FA5">
      <w:pPr>
        <w:ind w:firstLineChars="200" w:firstLine="643"/>
        <w:rPr>
          <w:rFonts w:ascii="仿宋" w:eastAsia="仿宋" w:hAnsi="仿宋" w:cs="仿宋"/>
          <w:b/>
          <w:bCs/>
          <w:sz w:val="32"/>
          <w:szCs w:val="32"/>
        </w:rPr>
      </w:pPr>
      <w:r>
        <w:rPr>
          <w:rFonts w:ascii="仿宋" w:eastAsia="仿宋" w:hAnsi="仿宋" w:cs="仿宋" w:hint="eastAsia"/>
          <w:b/>
          <w:bCs/>
          <w:sz w:val="32"/>
          <w:szCs w:val="32"/>
        </w:rPr>
        <w:t>1.部门职责</w:t>
      </w:r>
    </w:p>
    <w:p w:rsidR="009E5094" w:rsidRDefault="00C12FA5">
      <w:pPr>
        <w:pStyle w:val="a5"/>
        <w:widowControl/>
        <w:spacing w:before="75" w:after="150" w:line="480" w:lineRule="atLeast"/>
        <w:ind w:firstLine="420"/>
        <w:jc w:val="both"/>
        <w:rPr>
          <w:rFonts w:cs="微软雅黑" w:hint="default"/>
          <w:color w:val="454545"/>
        </w:rPr>
      </w:pPr>
      <w:r>
        <w:rPr>
          <w:rFonts w:cs="微软雅黑"/>
          <w:color w:val="454545"/>
        </w:rPr>
        <w:t>1、石鼓区民政局是区政府工作部门，为正科级。区民政局贯彻落实党中央关于民政工作的方针政策和决策部署，全面贯彻落实省委、市委、区委关于民政工作的部署要求，在履行职责过程中坚持和加强党对民政工作的集中统一领导。主要职责是：</w:t>
      </w:r>
    </w:p>
    <w:p w:rsidR="009E5094" w:rsidRDefault="00C12FA5">
      <w:pPr>
        <w:pStyle w:val="a5"/>
        <w:widowControl/>
        <w:spacing w:before="75" w:after="150" w:line="480" w:lineRule="atLeast"/>
        <w:ind w:firstLine="420"/>
        <w:jc w:val="both"/>
        <w:rPr>
          <w:rFonts w:cs="微软雅黑" w:hint="default"/>
          <w:color w:val="454545"/>
        </w:rPr>
      </w:pPr>
      <w:r>
        <w:rPr>
          <w:rFonts w:cs="微软雅黑"/>
          <w:color w:val="454545"/>
        </w:rPr>
        <w:t>（一）起草部门规范性文件，拟订全区民政事业发展规划和相关政策并组织实施。</w:t>
      </w:r>
    </w:p>
    <w:p w:rsidR="009E5094" w:rsidRDefault="00C12FA5">
      <w:pPr>
        <w:pStyle w:val="a5"/>
        <w:widowControl/>
        <w:spacing w:before="75" w:after="150" w:line="480" w:lineRule="atLeast"/>
        <w:ind w:firstLine="420"/>
        <w:jc w:val="both"/>
        <w:rPr>
          <w:rFonts w:cs="微软雅黑" w:hint="default"/>
          <w:color w:val="454545"/>
        </w:rPr>
      </w:pPr>
      <w:r>
        <w:rPr>
          <w:rFonts w:cs="微软雅黑"/>
          <w:color w:val="454545"/>
        </w:rPr>
        <w:lastRenderedPageBreak/>
        <w:t>（二）负责全区社会团体、基金会、社会服务机构等社会组织管理工作，依法对社会组织进行管理和执法监督，承担中共石鼓区社会组织综合委员会的日常工作。</w:t>
      </w:r>
    </w:p>
    <w:p w:rsidR="009E5094" w:rsidRDefault="00C12FA5">
      <w:pPr>
        <w:pStyle w:val="a5"/>
        <w:widowControl/>
        <w:spacing w:before="75" w:after="150" w:line="480" w:lineRule="atLeast"/>
        <w:ind w:firstLine="420"/>
        <w:jc w:val="both"/>
        <w:rPr>
          <w:rFonts w:cs="微软雅黑" w:hint="default"/>
          <w:color w:val="454545"/>
        </w:rPr>
      </w:pPr>
      <w:r>
        <w:rPr>
          <w:rFonts w:cs="微软雅黑"/>
          <w:color w:val="454545"/>
        </w:rPr>
        <w:t>（三）拟订全区社会救助政策、标准，统筹社会救助体系建设，负责城乡居民最低生活保障、特困人员救助供养、临时救助、生活无着流浪乞讨人员救助工作，指导社会救助家庭经济状况核对工作。</w:t>
      </w:r>
    </w:p>
    <w:p w:rsidR="009E5094" w:rsidRDefault="00C12FA5">
      <w:pPr>
        <w:pStyle w:val="a5"/>
        <w:widowControl/>
        <w:spacing w:before="75" w:after="150" w:line="480" w:lineRule="atLeast"/>
        <w:ind w:firstLine="420"/>
        <w:jc w:val="both"/>
        <w:rPr>
          <w:rFonts w:cs="微软雅黑" w:hint="default"/>
          <w:color w:val="454545"/>
        </w:rPr>
      </w:pPr>
      <w:r>
        <w:rPr>
          <w:rFonts w:cs="微软雅黑"/>
          <w:color w:val="454545"/>
        </w:rPr>
        <w:t>（四）贯彻执行城乡基层群众自治建设和社区治理政策，指导城乡社区治理体系和治理能力建设，提出加强和改进基层政权建设的建议，推动基层民主政治建设，协调推进镇（街道）政府（办事处）民政服务能力建设。</w:t>
      </w:r>
    </w:p>
    <w:p w:rsidR="009E5094" w:rsidRDefault="00C12FA5">
      <w:pPr>
        <w:pStyle w:val="a5"/>
        <w:widowControl/>
        <w:spacing w:before="75" w:after="150" w:line="480" w:lineRule="atLeast"/>
        <w:ind w:firstLine="420"/>
        <w:jc w:val="both"/>
        <w:rPr>
          <w:rFonts w:cs="微软雅黑" w:hint="default"/>
          <w:color w:val="454545"/>
        </w:rPr>
      </w:pPr>
      <w:r>
        <w:rPr>
          <w:rFonts w:cs="微软雅黑"/>
          <w:color w:val="454545"/>
        </w:rPr>
        <w:t>（五）负责全区行政区域行政区划的具体管理工作；负责镇（街道）政府（办事处）行政区域的设立、撤销、更名、政府驻地迁移和区域界线变更的审核、上报工作；负责行政村的设立、裁并、更名、迁移的备案工作；负责区级行政区域界线勘定和管理，平安边界建设工作。</w:t>
      </w:r>
    </w:p>
    <w:p w:rsidR="009E5094" w:rsidRDefault="00C12FA5">
      <w:pPr>
        <w:pStyle w:val="a5"/>
        <w:widowControl/>
        <w:spacing w:before="75" w:after="150" w:line="480" w:lineRule="atLeast"/>
        <w:ind w:firstLine="420"/>
        <w:jc w:val="both"/>
        <w:rPr>
          <w:rFonts w:cs="微软雅黑" w:hint="default"/>
          <w:color w:val="454545"/>
        </w:rPr>
      </w:pPr>
      <w:r>
        <w:rPr>
          <w:rFonts w:cs="微软雅黑"/>
          <w:color w:val="454545"/>
        </w:rPr>
        <w:t>（六）负责指导全区婚姻登记工作，贯彻执行婚姻管理政策并组织实施，推进婚俗改革。</w:t>
      </w:r>
    </w:p>
    <w:p w:rsidR="009E5094" w:rsidRDefault="00C12FA5">
      <w:pPr>
        <w:pStyle w:val="a5"/>
        <w:widowControl/>
        <w:spacing w:before="75" w:after="150" w:line="480" w:lineRule="atLeast"/>
        <w:ind w:firstLine="420"/>
        <w:jc w:val="both"/>
        <w:rPr>
          <w:rFonts w:cs="微软雅黑" w:hint="default"/>
          <w:color w:val="454545"/>
        </w:rPr>
      </w:pPr>
      <w:r>
        <w:rPr>
          <w:rFonts w:cs="微软雅黑"/>
          <w:color w:val="454545"/>
        </w:rPr>
        <w:t>（七）组织实施全区殡葬管理政策、服务规范，推进殡葬改革。</w:t>
      </w:r>
    </w:p>
    <w:p w:rsidR="009E5094" w:rsidRDefault="00C12FA5">
      <w:pPr>
        <w:pStyle w:val="a5"/>
        <w:widowControl/>
        <w:spacing w:before="75" w:after="150" w:line="480" w:lineRule="atLeast"/>
        <w:ind w:firstLine="420"/>
        <w:jc w:val="both"/>
        <w:rPr>
          <w:rFonts w:cs="微软雅黑" w:hint="default"/>
          <w:color w:val="454545"/>
        </w:rPr>
      </w:pPr>
      <w:r>
        <w:rPr>
          <w:rFonts w:cs="微软雅黑"/>
          <w:color w:val="454545"/>
        </w:rPr>
        <w:t>（八）统筹推进、督促指导、监督管理全区养老服务工作，拟订全区养老服务体系建设规划、政策、标准并组织实施，承担老年人福利和特殊困难老年人救助工作。</w:t>
      </w:r>
    </w:p>
    <w:p w:rsidR="009E5094" w:rsidRDefault="00C12FA5">
      <w:pPr>
        <w:pStyle w:val="a5"/>
        <w:widowControl/>
        <w:spacing w:before="75" w:after="150" w:line="480" w:lineRule="atLeast"/>
        <w:ind w:firstLine="420"/>
        <w:jc w:val="both"/>
        <w:rPr>
          <w:rFonts w:cs="微软雅黑" w:hint="default"/>
          <w:color w:val="454545"/>
        </w:rPr>
      </w:pPr>
      <w:r>
        <w:rPr>
          <w:rFonts w:cs="微软雅黑"/>
          <w:color w:val="454545"/>
        </w:rPr>
        <w:lastRenderedPageBreak/>
        <w:t>（九）拟订全区残疾人权益保护政策，统筹推进残疾人福利制度建设，贯彻落实困难残疾人生活补贴和重度残疾人护理补贴制度。</w:t>
      </w:r>
    </w:p>
    <w:p w:rsidR="009E5094" w:rsidRDefault="00C12FA5">
      <w:pPr>
        <w:pStyle w:val="a5"/>
        <w:widowControl/>
        <w:spacing w:before="75" w:after="150" w:line="480" w:lineRule="atLeast"/>
        <w:ind w:firstLine="420"/>
        <w:jc w:val="both"/>
        <w:rPr>
          <w:rFonts w:cs="微软雅黑" w:hint="default"/>
          <w:color w:val="454545"/>
        </w:rPr>
      </w:pPr>
      <w:r>
        <w:rPr>
          <w:rFonts w:cs="微软雅黑"/>
          <w:color w:val="454545"/>
        </w:rPr>
        <w:t>（十）贯彻执行国家、省、市有关儿童福利、孤弃儿童保障、儿童收养、儿童救助保护政策、标准、，健全农村留守儿童关爱服务体系和困境儿童保障制度。</w:t>
      </w:r>
    </w:p>
    <w:p w:rsidR="009E5094" w:rsidRDefault="00C12FA5">
      <w:pPr>
        <w:pStyle w:val="a5"/>
        <w:widowControl/>
        <w:spacing w:before="75" w:after="150" w:line="480" w:lineRule="atLeast"/>
        <w:ind w:firstLine="420"/>
        <w:jc w:val="both"/>
        <w:rPr>
          <w:rFonts w:cs="微软雅黑" w:hint="default"/>
          <w:color w:val="454545"/>
        </w:rPr>
      </w:pPr>
      <w:r>
        <w:rPr>
          <w:rFonts w:cs="微软雅黑"/>
          <w:color w:val="454545"/>
        </w:rPr>
        <w:t>（十一）组织拟订全区促进慈善事业发展政策，组织、指导社会捐助工作。</w:t>
      </w:r>
    </w:p>
    <w:p w:rsidR="009E5094" w:rsidRDefault="00C12FA5">
      <w:pPr>
        <w:pStyle w:val="a5"/>
        <w:widowControl/>
        <w:spacing w:before="75" w:after="150" w:line="480" w:lineRule="atLeast"/>
        <w:ind w:firstLine="420"/>
        <w:jc w:val="both"/>
        <w:rPr>
          <w:rFonts w:cs="微软雅黑" w:hint="default"/>
          <w:color w:val="454545"/>
        </w:rPr>
      </w:pPr>
      <w:r>
        <w:rPr>
          <w:rFonts w:cs="微软雅黑"/>
          <w:color w:val="454545"/>
        </w:rPr>
        <w:t>（十二）拟订全区社会工作、志愿服务政策和标准，组织推进社会工作人才队伍建设，推进相关志愿者队伍建设。</w:t>
      </w:r>
    </w:p>
    <w:p w:rsidR="009E5094" w:rsidRDefault="00C12FA5">
      <w:pPr>
        <w:pStyle w:val="a5"/>
        <w:widowControl/>
        <w:spacing w:before="75" w:after="150" w:line="480" w:lineRule="atLeast"/>
        <w:ind w:firstLine="420"/>
        <w:jc w:val="both"/>
        <w:rPr>
          <w:rFonts w:cs="微软雅黑" w:hint="default"/>
          <w:color w:val="454545"/>
        </w:rPr>
      </w:pPr>
      <w:r>
        <w:rPr>
          <w:rFonts w:cs="微软雅黑"/>
          <w:color w:val="454545"/>
        </w:rPr>
        <w:t>（十三）管理各级拨付的民政事业经费，指导、监督民政事业经费的使用。负责全区民政统计工作。</w:t>
      </w:r>
    </w:p>
    <w:p w:rsidR="009E5094" w:rsidRDefault="00C12FA5">
      <w:pPr>
        <w:pStyle w:val="a5"/>
        <w:widowControl/>
        <w:spacing w:before="75" w:after="150" w:line="480" w:lineRule="atLeast"/>
        <w:ind w:firstLine="420"/>
        <w:jc w:val="both"/>
        <w:rPr>
          <w:rFonts w:cs="微软雅黑" w:hint="default"/>
          <w:color w:val="454545"/>
        </w:rPr>
      </w:pPr>
      <w:r>
        <w:rPr>
          <w:rFonts w:cs="微软雅黑"/>
          <w:color w:val="454545"/>
        </w:rPr>
        <w:t>（十四）负责职责范围内对有关行业、领域的安全生产工作实施监督管理的职责。</w:t>
      </w:r>
    </w:p>
    <w:p w:rsidR="009E5094" w:rsidRDefault="00C12FA5">
      <w:pPr>
        <w:pStyle w:val="a5"/>
        <w:widowControl/>
        <w:spacing w:before="75" w:after="150" w:line="480" w:lineRule="atLeast"/>
        <w:ind w:firstLine="420"/>
        <w:jc w:val="both"/>
        <w:rPr>
          <w:rFonts w:cs="微软雅黑" w:hint="default"/>
          <w:color w:val="454545"/>
        </w:rPr>
      </w:pPr>
      <w:r>
        <w:rPr>
          <w:rFonts w:cs="微软雅黑"/>
          <w:color w:val="454545"/>
        </w:rPr>
        <w:t>（十五）完成区委、区政府交办的其他任务。</w:t>
      </w:r>
    </w:p>
    <w:p w:rsidR="009E5094" w:rsidRDefault="00C12FA5">
      <w:pPr>
        <w:pStyle w:val="a5"/>
        <w:widowControl/>
        <w:spacing w:before="75" w:after="150" w:line="480" w:lineRule="atLeast"/>
        <w:ind w:firstLine="420"/>
        <w:jc w:val="both"/>
        <w:rPr>
          <w:rFonts w:cs="微软雅黑" w:hint="default"/>
          <w:color w:val="454545"/>
        </w:rPr>
      </w:pPr>
      <w:r>
        <w:rPr>
          <w:rFonts w:cs="微软雅黑"/>
          <w:color w:val="454545"/>
        </w:rPr>
        <w:t>（十六）职能转变。按照党中央、国务院关于政府职能转变、深化放管服改革，深入推进审批服务便民化的决策部署，认真落实上级深化改革的要求，组织推进本部门转变政府职能，深化简政放权，创新监管方式，优化政务服务工作。区民政局应强化基本民生保障职能，为全区困难群众、孤老孤残孤儿等特殊群体提供基本社会服务，促进资源向薄弱地区、领域、环节倾斜。积极培育社会组织、社会工作者等多元参与主体，推动搭建基层社会治理和社区公共服务平台。</w:t>
      </w:r>
    </w:p>
    <w:p w:rsidR="009E5094" w:rsidRDefault="00C12FA5">
      <w:pPr>
        <w:pStyle w:val="a5"/>
        <w:widowControl/>
        <w:spacing w:before="75" w:after="150" w:line="480" w:lineRule="atLeast"/>
        <w:ind w:firstLine="420"/>
        <w:jc w:val="both"/>
        <w:rPr>
          <w:rFonts w:cs="微软雅黑" w:hint="default"/>
          <w:color w:val="454545"/>
        </w:rPr>
      </w:pPr>
      <w:r>
        <w:rPr>
          <w:rFonts w:cs="微软雅黑"/>
          <w:color w:val="454545"/>
        </w:rPr>
        <w:t>（十七）有关职责分工。与卫生健康局的有关职责分工。区民政局负责统筹推进、督促指导、监督管理全区养老服务工作，拟订养老服务体系建设规划、政</w:t>
      </w:r>
      <w:r>
        <w:rPr>
          <w:rFonts w:cs="微软雅黑"/>
          <w:color w:val="454545"/>
        </w:rPr>
        <w:lastRenderedPageBreak/>
        <w:t>策、标准并组织实施，承担老年人福利和特殊困难老年人救助工作。区卫生健康局负责拟订应对人口老龄化、医养结合政策措施，综合协调、督促指导、组织推进老龄事业发展，组织起草维护老年人权益以及全区老龄事业发展规划，建立和完善老年健康服务体系，指导全区老年人权益保障工作，承担老年疾病防治、老年人医疗照护、老年人心理健康与关怀服务等老年健康工作。</w:t>
      </w:r>
    </w:p>
    <w:p w:rsidR="009E5094" w:rsidRDefault="00C12FA5">
      <w:pPr>
        <w:pStyle w:val="a5"/>
        <w:widowControl/>
        <w:spacing w:before="75" w:after="150" w:line="480" w:lineRule="atLeast"/>
        <w:ind w:firstLine="420"/>
        <w:jc w:val="both"/>
        <w:rPr>
          <w:rFonts w:cs="微软雅黑" w:hint="default"/>
          <w:color w:val="454545"/>
        </w:rPr>
      </w:pPr>
      <w:r>
        <w:rPr>
          <w:rFonts w:cs="微软雅黑"/>
          <w:color w:val="454545"/>
        </w:rPr>
        <w:t>二、机构设置</w:t>
      </w:r>
    </w:p>
    <w:p w:rsidR="009E5094" w:rsidRDefault="00C12FA5">
      <w:pPr>
        <w:pStyle w:val="a5"/>
        <w:widowControl/>
        <w:spacing w:before="75" w:after="150" w:line="480" w:lineRule="atLeast"/>
        <w:ind w:firstLine="420"/>
        <w:jc w:val="both"/>
        <w:rPr>
          <w:rFonts w:cs="微软雅黑" w:hint="default"/>
          <w:color w:val="454545"/>
        </w:rPr>
      </w:pPr>
      <w:r>
        <w:rPr>
          <w:rFonts w:cs="微软雅黑"/>
          <w:color w:val="454545"/>
        </w:rPr>
        <w:t>（一）部门设置。</w:t>
      </w:r>
    </w:p>
    <w:p w:rsidR="009E5094" w:rsidRDefault="00C12FA5">
      <w:pPr>
        <w:pStyle w:val="a5"/>
        <w:widowControl/>
        <w:spacing w:before="75" w:after="150" w:line="480" w:lineRule="atLeast"/>
        <w:ind w:firstLine="420"/>
        <w:jc w:val="both"/>
        <w:rPr>
          <w:rFonts w:cs="微软雅黑" w:hint="default"/>
          <w:color w:val="454545"/>
        </w:rPr>
      </w:pPr>
      <w:r>
        <w:rPr>
          <w:rFonts w:cs="微软雅黑"/>
          <w:color w:val="454545"/>
        </w:rPr>
        <w:t>办公室（行政审批股）；规划财务人事股；基层政权建设和社区治理股；区划地名股；社会事务股；儿童福利股；养老服务股；慈善事业和社会工作股；城乡居民收入核对股。</w:t>
      </w:r>
    </w:p>
    <w:p w:rsidR="009E5094" w:rsidRDefault="00C12FA5">
      <w:pPr>
        <w:pStyle w:val="a5"/>
        <w:widowControl/>
        <w:spacing w:before="75" w:after="150" w:line="480" w:lineRule="atLeast"/>
        <w:ind w:firstLine="420"/>
        <w:jc w:val="both"/>
        <w:rPr>
          <w:rFonts w:cs="微软雅黑" w:hint="default"/>
          <w:color w:val="454545"/>
        </w:rPr>
      </w:pPr>
      <w:r>
        <w:rPr>
          <w:rFonts w:cs="微软雅黑"/>
          <w:color w:val="454545"/>
        </w:rPr>
        <w:t>（二）人员情况。本部门在职人数29人,其中:在岗人数29人；离退休人数16人。</w:t>
      </w:r>
    </w:p>
    <w:p w:rsidR="009E5094" w:rsidRDefault="00C12FA5">
      <w:pPr>
        <w:pStyle w:val="a5"/>
        <w:widowControl/>
        <w:spacing w:before="75" w:after="150" w:line="480" w:lineRule="atLeast"/>
        <w:ind w:firstLine="420"/>
        <w:jc w:val="both"/>
        <w:rPr>
          <w:rFonts w:cs="微软雅黑" w:hint="default"/>
          <w:color w:val="454545"/>
        </w:rPr>
      </w:pPr>
      <w:r>
        <w:rPr>
          <w:rFonts w:cs="微软雅黑"/>
          <w:color w:val="454545"/>
        </w:rPr>
        <w:t>三、部门决算单位构成</w:t>
      </w:r>
    </w:p>
    <w:p w:rsidR="00C91A42" w:rsidRPr="00C91A42" w:rsidRDefault="00C12FA5" w:rsidP="00C91A42">
      <w:pPr>
        <w:pStyle w:val="a5"/>
        <w:widowControl/>
        <w:spacing w:before="75" w:after="150" w:line="480" w:lineRule="atLeast"/>
        <w:ind w:firstLine="420"/>
        <w:rPr>
          <w:rFonts w:ascii="仿宋_GB2312" w:eastAsia="仿宋_GB2312" w:hAnsi="Times New Roman" w:cs="仿宋_GB2312"/>
          <w:color w:val="454545"/>
        </w:rPr>
      </w:pPr>
      <w:r>
        <w:rPr>
          <w:rFonts w:cs="微软雅黑"/>
          <w:color w:val="454545"/>
        </w:rPr>
        <w:t>石鼓区民政局</w:t>
      </w:r>
      <w:r>
        <w:rPr>
          <w:rFonts w:ascii="Times New Roman" w:hAnsi="Times New Roman" w:hint="default"/>
          <w:color w:val="454545"/>
        </w:rPr>
        <w:t>20</w:t>
      </w:r>
      <w:r>
        <w:rPr>
          <w:rFonts w:ascii="Times New Roman" w:hAnsi="Times New Roman"/>
          <w:color w:val="454545"/>
        </w:rPr>
        <w:t>2</w:t>
      </w:r>
      <w:r w:rsidR="008D0555">
        <w:rPr>
          <w:rFonts w:ascii="Times New Roman" w:hAnsi="Times New Roman"/>
          <w:color w:val="454545"/>
        </w:rPr>
        <w:t>1</w:t>
      </w:r>
      <w:r>
        <w:rPr>
          <w:rFonts w:ascii="仿宋_GB2312" w:eastAsia="仿宋_GB2312" w:hAnsi="Times New Roman" w:cs="仿宋_GB2312"/>
          <w:color w:val="454545"/>
        </w:rPr>
        <w:t>年</w:t>
      </w:r>
      <w:r w:rsidR="00C91A42" w:rsidRPr="00C91A42">
        <w:rPr>
          <w:rFonts w:ascii="仿宋_GB2312" w:eastAsia="仿宋_GB2312" w:hAnsi="Times New Roman" w:cs="仿宋_GB2312"/>
          <w:color w:val="454545"/>
        </w:rPr>
        <w:t>本部门预算为汇总预算，纳入编制范围的预算单位包括：</w:t>
      </w:r>
    </w:p>
    <w:p w:rsidR="00C91A42" w:rsidRPr="00C91A42" w:rsidRDefault="00C91A42" w:rsidP="00C91A42">
      <w:pPr>
        <w:pStyle w:val="a5"/>
        <w:widowControl/>
        <w:spacing w:before="75" w:after="150" w:line="480" w:lineRule="atLeast"/>
        <w:ind w:firstLine="420"/>
        <w:rPr>
          <w:rFonts w:ascii="仿宋_GB2312" w:eastAsia="仿宋_GB2312" w:hAnsi="Times New Roman" w:cs="仿宋_GB2312"/>
          <w:color w:val="454545"/>
        </w:rPr>
      </w:pPr>
      <w:r w:rsidRPr="00C91A42">
        <w:rPr>
          <w:rFonts w:ascii="仿宋_GB2312" w:eastAsia="仿宋_GB2312" w:hAnsi="Times New Roman" w:cs="仿宋_GB2312"/>
          <w:color w:val="454545"/>
        </w:rPr>
        <w:t>1、区民政局部门本级</w:t>
      </w:r>
    </w:p>
    <w:p w:rsidR="00C91A42" w:rsidRPr="00C91A42" w:rsidRDefault="00C91A42" w:rsidP="00C91A42">
      <w:pPr>
        <w:pStyle w:val="a5"/>
        <w:widowControl/>
        <w:spacing w:before="75" w:after="150" w:line="480" w:lineRule="atLeast"/>
        <w:ind w:firstLine="420"/>
        <w:rPr>
          <w:rFonts w:ascii="仿宋_GB2312" w:eastAsia="仿宋_GB2312" w:hAnsi="Times New Roman" w:cs="仿宋_GB2312"/>
          <w:color w:val="454545"/>
        </w:rPr>
      </w:pPr>
      <w:r w:rsidRPr="00C91A42">
        <w:rPr>
          <w:rFonts w:ascii="仿宋_GB2312" w:eastAsia="仿宋_GB2312" w:hAnsi="Times New Roman" w:cs="仿宋_GB2312"/>
          <w:color w:val="454545"/>
        </w:rPr>
        <w:t>2、区福利院</w:t>
      </w:r>
    </w:p>
    <w:p w:rsidR="00C91A42" w:rsidRPr="00C91A42" w:rsidRDefault="00C91A42" w:rsidP="00C91A42">
      <w:pPr>
        <w:pStyle w:val="a5"/>
        <w:widowControl/>
        <w:spacing w:before="75" w:after="150" w:line="480" w:lineRule="atLeast"/>
        <w:ind w:firstLine="420"/>
        <w:rPr>
          <w:rFonts w:ascii="仿宋_GB2312" w:eastAsia="仿宋_GB2312" w:hAnsi="Times New Roman" w:cs="仿宋_GB2312"/>
          <w:color w:val="454545"/>
        </w:rPr>
      </w:pPr>
      <w:r w:rsidRPr="00C91A42">
        <w:rPr>
          <w:rFonts w:ascii="仿宋_GB2312" w:eastAsia="仿宋_GB2312" w:hAnsi="Times New Roman" w:cs="仿宋_GB2312"/>
          <w:color w:val="454545"/>
        </w:rPr>
        <w:t>3、区城乡社会救助服务中心</w:t>
      </w:r>
    </w:p>
    <w:p w:rsidR="00C91A42" w:rsidRPr="00C91A42" w:rsidRDefault="00C91A42" w:rsidP="00C91A42">
      <w:pPr>
        <w:pStyle w:val="a5"/>
        <w:widowControl/>
        <w:spacing w:before="75" w:after="150" w:line="480" w:lineRule="atLeast"/>
        <w:ind w:firstLine="420"/>
        <w:rPr>
          <w:rFonts w:ascii="仿宋_GB2312" w:eastAsia="仿宋_GB2312" w:hAnsi="Times New Roman" w:cs="仿宋_GB2312"/>
          <w:color w:val="454545"/>
        </w:rPr>
      </w:pPr>
      <w:r w:rsidRPr="00C91A42">
        <w:rPr>
          <w:rFonts w:ascii="仿宋_GB2312" w:eastAsia="仿宋_GB2312" w:hAnsi="Times New Roman" w:cs="仿宋_GB2312"/>
          <w:color w:val="454545"/>
        </w:rPr>
        <w:t>4、区婚姻登记服务中心</w:t>
      </w:r>
    </w:p>
    <w:p w:rsidR="009E5094" w:rsidRDefault="00C91A42" w:rsidP="00C91A42">
      <w:pPr>
        <w:pStyle w:val="a5"/>
        <w:widowControl/>
        <w:spacing w:before="75" w:after="150" w:line="480" w:lineRule="atLeast"/>
        <w:ind w:firstLine="420"/>
        <w:jc w:val="both"/>
        <w:rPr>
          <w:rFonts w:cs="微软雅黑" w:hint="default"/>
          <w:color w:val="454545"/>
        </w:rPr>
      </w:pPr>
      <w:r w:rsidRPr="00C91A42">
        <w:rPr>
          <w:rFonts w:ascii="仿宋_GB2312" w:eastAsia="仿宋_GB2312" w:hAnsi="Times New Roman" w:cs="仿宋_GB2312"/>
          <w:color w:val="454545"/>
        </w:rPr>
        <w:t>5、区民间组织服务中心</w:t>
      </w:r>
      <w:r w:rsidR="00C12FA5">
        <w:rPr>
          <w:rFonts w:cs="微软雅黑"/>
          <w:color w:val="454545"/>
        </w:rPr>
        <w:t>。</w:t>
      </w:r>
    </w:p>
    <w:p w:rsidR="009E5094" w:rsidRDefault="00C12FA5">
      <w:pPr>
        <w:ind w:firstLineChars="200" w:firstLine="643"/>
        <w:rPr>
          <w:rFonts w:ascii="仿宋" w:eastAsia="仿宋" w:hAnsi="仿宋" w:cs="仿宋"/>
          <w:sz w:val="32"/>
          <w:szCs w:val="32"/>
        </w:rPr>
      </w:pPr>
      <w:r>
        <w:rPr>
          <w:rFonts w:ascii="楷体" w:eastAsia="楷体" w:hAnsi="楷体" w:cs="楷体" w:hint="eastAsia"/>
          <w:b/>
          <w:bCs/>
          <w:sz w:val="32"/>
          <w:szCs w:val="32"/>
        </w:rPr>
        <w:lastRenderedPageBreak/>
        <w:t>（二）部门年度整体支出绩效目标，专项资金绩效目标</w:t>
      </w:r>
    </w:p>
    <w:p w:rsidR="009E5094" w:rsidRDefault="00C12FA5">
      <w:pPr>
        <w:ind w:firstLineChars="200" w:firstLine="640"/>
        <w:rPr>
          <w:rFonts w:ascii="仿宋" w:eastAsia="仿宋" w:hAnsi="仿宋" w:cs="仿宋"/>
          <w:sz w:val="32"/>
          <w:szCs w:val="32"/>
        </w:rPr>
      </w:pPr>
      <w:r>
        <w:rPr>
          <w:rFonts w:ascii="仿宋" w:eastAsia="仿宋" w:hAnsi="仿宋" w:cs="仿宋" w:hint="eastAsia"/>
          <w:sz w:val="32"/>
          <w:szCs w:val="32"/>
        </w:rPr>
        <w:t>202</w:t>
      </w:r>
      <w:r w:rsidR="00C91A42">
        <w:rPr>
          <w:rFonts w:ascii="仿宋" w:eastAsia="仿宋" w:hAnsi="仿宋" w:cs="仿宋" w:hint="eastAsia"/>
          <w:sz w:val="32"/>
          <w:szCs w:val="32"/>
        </w:rPr>
        <w:t>1</w:t>
      </w:r>
      <w:r>
        <w:rPr>
          <w:rFonts w:ascii="仿宋" w:eastAsia="仿宋" w:hAnsi="仿宋" w:cs="仿宋" w:hint="eastAsia"/>
          <w:sz w:val="32"/>
          <w:szCs w:val="32"/>
        </w:rPr>
        <w:t>年度部门整体支出绩效目标，保障局机关日常运转，更好的服务民政对象，及时发放各类民政资金，加强民政事务管理，维护社会稳定，营造良好社会秩序，确保和谐稳定。</w:t>
      </w:r>
    </w:p>
    <w:p w:rsidR="009E5094" w:rsidRDefault="00C12FA5">
      <w:pPr>
        <w:ind w:firstLineChars="200" w:firstLine="640"/>
        <w:rPr>
          <w:rFonts w:ascii="黑体" w:eastAsia="黑体" w:hAnsi="黑体" w:cs="黑体"/>
          <w:sz w:val="32"/>
          <w:szCs w:val="32"/>
        </w:rPr>
      </w:pPr>
      <w:r>
        <w:rPr>
          <w:rFonts w:ascii="黑体" w:eastAsia="黑体" w:hAnsi="黑体" w:cs="黑体" w:hint="eastAsia"/>
          <w:sz w:val="32"/>
          <w:szCs w:val="32"/>
        </w:rPr>
        <w:t xml:space="preserve">二、一般公共预算支出情况   </w:t>
      </w:r>
    </w:p>
    <w:p w:rsidR="009E5094" w:rsidRDefault="00C12FA5">
      <w:pPr>
        <w:ind w:firstLineChars="200" w:firstLine="640"/>
        <w:rPr>
          <w:rFonts w:ascii="仿宋" w:eastAsia="仿宋" w:hAnsi="仿宋" w:cs="仿宋"/>
          <w:sz w:val="32"/>
          <w:szCs w:val="32"/>
        </w:rPr>
      </w:pPr>
      <w:r>
        <w:rPr>
          <w:rFonts w:ascii="仿宋" w:eastAsia="仿宋" w:hAnsi="仿宋" w:cs="仿宋" w:hint="eastAsia"/>
          <w:sz w:val="32"/>
          <w:szCs w:val="32"/>
        </w:rPr>
        <w:t>202</w:t>
      </w:r>
      <w:r w:rsidR="00C91A42">
        <w:rPr>
          <w:rFonts w:ascii="仿宋" w:eastAsia="仿宋" w:hAnsi="仿宋" w:cs="仿宋" w:hint="eastAsia"/>
          <w:sz w:val="32"/>
          <w:szCs w:val="32"/>
        </w:rPr>
        <w:t>1</w:t>
      </w:r>
      <w:r>
        <w:rPr>
          <w:rFonts w:ascii="仿宋" w:eastAsia="仿宋" w:hAnsi="仿宋" w:cs="仿宋" w:hint="eastAsia"/>
          <w:sz w:val="32"/>
          <w:szCs w:val="32"/>
        </w:rPr>
        <w:t>年总支出为</w:t>
      </w:r>
      <w:r w:rsidR="00551B43">
        <w:rPr>
          <w:rFonts w:ascii="仿宋" w:eastAsia="仿宋" w:hAnsi="仿宋" w:cs="仿宋" w:hint="eastAsia"/>
          <w:sz w:val="32"/>
          <w:szCs w:val="32"/>
        </w:rPr>
        <w:t>5977.14</w:t>
      </w:r>
      <w:r>
        <w:rPr>
          <w:rFonts w:ascii="仿宋" w:eastAsia="仿宋" w:hAnsi="仿宋" w:cs="仿宋" w:hint="eastAsia"/>
          <w:sz w:val="32"/>
          <w:szCs w:val="32"/>
        </w:rPr>
        <w:t>万元，其中基本支出</w:t>
      </w:r>
      <w:r w:rsidR="00551B43">
        <w:rPr>
          <w:rFonts w:ascii="仿宋" w:eastAsia="仿宋" w:hAnsi="仿宋" w:cs="仿宋" w:hint="eastAsia"/>
          <w:sz w:val="32"/>
          <w:szCs w:val="32"/>
        </w:rPr>
        <w:t>4566.24</w:t>
      </w:r>
      <w:r>
        <w:rPr>
          <w:rFonts w:ascii="仿宋" w:eastAsia="仿宋" w:hAnsi="仿宋" w:cs="仿宋" w:hint="eastAsia"/>
          <w:sz w:val="32"/>
          <w:szCs w:val="32"/>
        </w:rPr>
        <w:t>万元，项目支出</w:t>
      </w:r>
      <w:r w:rsidR="00551B43">
        <w:rPr>
          <w:rFonts w:ascii="仿宋" w:eastAsia="仿宋" w:hAnsi="仿宋" w:cs="仿宋" w:hint="eastAsia"/>
          <w:sz w:val="32"/>
          <w:szCs w:val="32"/>
        </w:rPr>
        <w:t>1410.9</w:t>
      </w:r>
      <w:r>
        <w:rPr>
          <w:rFonts w:ascii="仿宋" w:eastAsia="仿宋" w:hAnsi="仿宋" w:cs="仿宋" w:hint="eastAsia"/>
          <w:sz w:val="32"/>
          <w:szCs w:val="32"/>
        </w:rPr>
        <w:t>万元。</w:t>
      </w:r>
    </w:p>
    <w:p w:rsidR="009E5094" w:rsidRDefault="00C12FA5">
      <w:pPr>
        <w:ind w:firstLineChars="200" w:firstLine="643"/>
        <w:rPr>
          <w:rFonts w:ascii="仿宋" w:eastAsia="仿宋" w:hAnsi="仿宋" w:cs="仿宋"/>
          <w:sz w:val="32"/>
          <w:szCs w:val="32"/>
        </w:rPr>
      </w:pPr>
      <w:r>
        <w:rPr>
          <w:rFonts w:ascii="楷体" w:eastAsia="楷体" w:hAnsi="楷体" w:cs="楷体" w:hint="eastAsia"/>
          <w:b/>
          <w:bCs/>
          <w:sz w:val="32"/>
          <w:szCs w:val="32"/>
        </w:rPr>
        <w:t>（一）基本支出</w:t>
      </w:r>
      <w:r w:rsidR="00551B43">
        <w:rPr>
          <w:rFonts w:ascii="楷体" w:eastAsia="楷体" w:hAnsi="楷体" w:cs="楷体" w:hint="eastAsia"/>
          <w:b/>
          <w:bCs/>
          <w:sz w:val="32"/>
          <w:szCs w:val="32"/>
        </w:rPr>
        <w:t>4566.24</w:t>
      </w:r>
      <w:r>
        <w:rPr>
          <w:rFonts w:ascii="楷体" w:eastAsia="楷体" w:hAnsi="楷体" w:cs="楷体" w:hint="eastAsia"/>
          <w:b/>
          <w:bCs/>
          <w:sz w:val="32"/>
          <w:szCs w:val="32"/>
        </w:rPr>
        <w:t>万元。</w:t>
      </w:r>
      <w:r>
        <w:rPr>
          <w:rFonts w:ascii="仿宋" w:eastAsia="仿宋" w:hAnsi="仿宋" w:cs="仿宋" w:hint="eastAsia"/>
          <w:sz w:val="32"/>
          <w:szCs w:val="32"/>
        </w:rPr>
        <w:t>其</w:t>
      </w:r>
      <w:bookmarkStart w:id="0" w:name="_GoBack"/>
      <w:bookmarkEnd w:id="0"/>
      <w:r>
        <w:rPr>
          <w:rFonts w:ascii="仿宋" w:eastAsia="仿宋" w:hAnsi="仿宋" w:cs="仿宋" w:hint="eastAsia"/>
          <w:sz w:val="32"/>
          <w:szCs w:val="32"/>
        </w:rPr>
        <w:t>中：工资福利支出</w:t>
      </w:r>
      <w:r w:rsidR="00551B43">
        <w:rPr>
          <w:rFonts w:ascii="仿宋" w:eastAsia="仿宋" w:hAnsi="仿宋" w:cs="仿宋" w:hint="eastAsia"/>
          <w:sz w:val="32"/>
          <w:szCs w:val="32"/>
        </w:rPr>
        <w:t>434.33</w:t>
      </w:r>
      <w:r>
        <w:rPr>
          <w:rFonts w:ascii="仿宋" w:eastAsia="仿宋" w:hAnsi="仿宋" w:cs="仿宋" w:hint="eastAsia"/>
          <w:sz w:val="32"/>
          <w:szCs w:val="32"/>
        </w:rPr>
        <w:t>万元，商品和服务支出</w:t>
      </w:r>
      <w:r w:rsidR="00551B43">
        <w:rPr>
          <w:rFonts w:ascii="仿宋" w:eastAsia="仿宋" w:hAnsi="仿宋" w:cs="仿宋" w:hint="eastAsia"/>
          <w:sz w:val="32"/>
          <w:szCs w:val="32"/>
        </w:rPr>
        <w:t>71.02</w:t>
      </w:r>
      <w:r>
        <w:rPr>
          <w:rFonts w:ascii="仿宋" w:eastAsia="仿宋" w:hAnsi="仿宋" w:cs="仿宋" w:hint="eastAsia"/>
          <w:sz w:val="32"/>
          <w:szCs w:val="32"/>
        </w:rPr>
        <w:t>万元，对个人和家庭的补助支出</w:t>
      </w:r>
      <w:r w:rsidR="00551B43">
        <w:rPr>
          <w:rFonts w:ascii="仿宋" w:eastAsia="仿宋" w:hAnsi="仿宋" w:cs="仿宋" w:hint="eastAsia"/>
          <w:sz w:val="32"/>
          <w:szCs w:val="32"/>
        </w:rPr>
        <w:t>4060.89</w:t>
      </w:r>
      <w:r>
        <w:rPr>
          <w:rFonts w:ascii="仿宋" w:eastAsia="仿宋" w:hAnsi="仿宋" w:cs="仿宋" w:hint="eastAsia"/>
          <w:sz w:val="32"/>
          <w:szCs w:val="32"/>
        </w:rPr>
        <w:t>万元。</w:t>
      </w:r>
    </w:p>
    <w:p w:rsidR="009E5094" w:rsidRDefault="00C12FA5">
      <w:pPr>
        <w:ind w:firstLineChars="200" w:firstLine="643"/>
        <w:rPr>
          <w:rFonts w:ascii="仿宋" w:eastAsia="仿宋" w:hAnsi="仿宋" w:cs="仿宋"/>
          <w:sz w:val="32"/>
          <w:szCs w:val="32"/>
        </w:rPr>
      </w:pPr>
      <w:r>
        <w:rPr>
          <w:rFonts w:ascii="楷体" w:eastAsia="楷体" w:hAnsi="楷体" w:cs="楷体" w:hint="eastAsia"/>
          <w:b/>
          <w:bCs/>
          <w:sz w:val="32"/>
          <w:szCs w:val="32"/>
        </w:rPr>
        <w:t>（二）项目支出</w:t>
      </w:r>
      <w:r w:rsidR="00551B43">
        <w:rPr>
          <w:rFonts w:ascii="楷体" w:eastAsia="楷体" w:hAnsi="楷体" w:cs="楷体" w:hint="eastAsia"/>
          <w:b/>
          <w:bCs/>
          <w:sz w:val="32"/>
          <w:szCs w:val="32"/>
        </w:rPr>
        <w:t>1410.9</w:t>
      </w:r>
      <w:r>
        <w:rPr>
          <w:rFonts w:ascii="楷体" w:eastAsia="楷体" w:hAnsi="楷体" w:cs="楷体" w:hint="eastAsia"/>
          <w:b/>
          <w:bCs/>
          <w:sz w:val="32"/>
          <w:szCs w:val="32"/>
        </w:rPr>
        <w:t>万元。</w:t>
      </w:r>
      <w:r>
        <w:rPr>
          <w:rFonts w:ascii="仿宋" w:eastAsia="仿宋" w:hAnsi="仿宋" w:cs="仿宋" w:hint="eastAsia"/>
          <w:sz w:val="32"/>
          <w:szCs w:val="32"/>
        </w:rPr>
        <w:t>其中：社会保障和就业支出</w:t>
      </w:r>
      <w:r w:rsidR="00551B43">
        <w:rPr>
          <w:rFonts w:ascii="仿宋" w:eastAsia="仿宋" w:hAnsi="仿宋" w:cs="仿宋" w:hint="eastAsia"/>
          <w:sz w:val="32"/>
          <w:szCs w:val="32"/>
        </w:rPr>
        <w:t>1410.9</w:t>
      </w:r>
      <w:r>
        <w:rPr>
          <w:rFonts w:ascii="仿宋" w:eastAsia="仿宋" w:hAnsi="仿宋" w:cs="仿宋" w:hint="eastAsia"/>
          <w:sz w:val="32"/>
          <w:szCs w:val="32"/>
        </w:rPr>
        <w:t>万元。</w:t>
      </w:r>
    </w:p>
    <w:p w:rsidR="009E5094" w:rsidRDefault="00C12FA5">
      <w:pPr>
        <w:ind w:firstLineChars="200" w:firstLine="640"/>
        <w:rPr>
          <w:rFonts w:ascii="黑体" w:eastAsia="黑体" w:hAnsi="黑体" w:cs="黑体"/>
          <w:sz w:val="32"/>
          <w:szCs w:val="32"/>
        </w:rPr>
      </w:pPr>
      <w:r>
        <w:rPr>
          <w:rFonts w:ascii="黑体" w:eastAsia="黑体" w:hAnsi="黑体" w:cs="黑体" w:hint="eastAsia"/>
          <w:sz w:val="32"/>
          <w:szCs w:val="32"/>
        </w:rPr>
        <w:t>三、政府性基金预算支出情况</w:t>
      </w:r>
    </w:p>
    <w:p w:rsidR="009E5094" w:rsidRDefault="00551B43">
      <w:pPr>
        <w:ind w:firstLineChars="200" w:firstLine="640"/>
        <w:rPr>
          <w:rFonts w:ascii="仿宋" w:eastAsia="仿宋" w:hAnsi="仿宋" w:cs="仿宋"/>
          <w:sz w:val="32"/>
          <w:szCs w:val="32"/>
        </w:rPr>
      </w:pPr>
      <w:r>
        <w:rPr>
          <w:rFonts w:ascii="仿宋" w:eastAsia="仿宋" w:hAnsi="仿宋" w:cs="仿宋" w:hint="eastAsia"/>
          <w:sz w:val="32"/>
          <w:szCs w:val="32"/>
        </w:rPr>
        <w:t>2021年政府性基金预算总支出为1157.41万元，其中基本支出941.88万元，项目支出215.43万元</w:t>
      </w:r>
      <w:r w:rsidR="00C12FA5">
        <w:rPr>
          <w:rFonts w:ascii="仿宋" w:eastAsia="仿宋" w:hAnsi="仿宋" w:cs="仿宋" w:hint="eastAsia"/>
          <w:sz w:val="32"/>
          <w:szCs w:val="32"/>
        </w:rPr>
        <w:t>。</w:t>
      </w:r>
    </w:p>
    <w:p w:rsidR="009E5094" w:rsidRDefault="00C12FA5">
      <w:pPr>
        <w:ind w:firstLineChars="200" w:firstLine="640"/>
        <w:rPr>
          <w:rFonts w:ascii="黑体" w:eastAsia="黑体" w:hAnsi="黑体" w:cs="黑体"/>
          <w:sz w:val="32"/>
          <w:szCs w:val="32"/>
        </w:rPr>
      </w:pPr>
      <w:r>
        <w:rPr>
          <w:rFonts w:ascii="黑体" w:eastAsia="黑体" w:hAnsi="黑体" w:cs="黑体" w:hint="eastAsia"/>
          <w:sz w:val="32"/>
          <w:szCs w:val="32"/>
        </w:rPr>
        <w:t>四、国有资金经营预算支出情况</w:t>
      </w:r>
    </w:p>
    <w:p w:rsidR="009E5094" w:rsidRDefault="00C12FA5">
      <w:pPr>
        <w:ind w:firstLineChars="200" w:firstLine="640"/>
        <w:rPr>
          <w:rFonts w:ascii="仿宋" w:eastAsia="仿宋" w:hAnsi="仿宋" w:cs="仿宋"/>
          <w:sz w:val="32"/>
          <w:szCs w:val="32"/>
        </w:rPr>
      </w:pPr>
      <w:r>
        <w:rPr>
          <w:rFonts w:ascii="仿宋" w:eastAsia="仿宋" w:hAnsi="仿宋" w:cs="仿宋" w:hint="eastAsia"/>
          <w:sz w:val="32"/>
          <w:szCs w:val="32"/>
        </w:rPr>
        <w:t>无。</w:t>
      </w:r>
    </w:p>
    <w:p w:rsidR="009E5094" w:rsidRDefault="00C12FA5">
      <w:pPr>
        <w:ind w:firstLineChars="200" w:firstLine="640"/>
        <w:rPr>
          <w:rFonts w:ascii="黑体" w:eastAsia="黑体" w:hAnsi="黑体" w:cs="黑体"/>
          <w:sz w:val="32"/>
          <w:szCs w:val="32"/>
        </w:rPr>
      </w:pPr>
      <w:r>
        <w:rPr>
          <w:rFonts w:ascii="黑体" w:eastAsia="黑体" w:hAnsi="黑体" w:cs="黑体" w:hint="eastAsia"/>
          <w:sz w:val="32"/>
          <w:szCs w:val="32"/>
        </w:rPr>
        <w:t>五、社会保险基金预算支出情况</w:t>
      </w:r>
    </w:p>
    <w:p w:rsidR="009E5094" w:rsidRDefault="00C12FA5">
      <w:pPr>
        <w:ind w:firstLineChars="200" w:firstLine="640"/>
        <w:rPr>
          <w:rFonts w:ascii="仿宋" w:eastAsia="仿宋" w:hAnsi="仿宋" w:cs="仿宋"/>
          <w:sz w:val="32"/>
          <w:szCs w:val="32"/>
        </w:rPr>
      </w:pPr>
      <w:r>
        <w:rPr>
          <w:rFonts w:ascii="仿宋" w:eastAsia="仿宋" w:hAnsi="仿宋" w:cs="仿宋" w:hint="eastAsia"/>
          <w:sz w:val="32"/>
          <w:szCs w:val="32"/>
        </w:rPr>
        <w:t>无。</w:t>
      </w:r>
    </w:p>
    <w:p w:rsidR="009E5094" w:rsidRDefault="00C12FA5">
      <w:pPr>
        <w:ind w:firstLineChars="200" w:firstLine="640"/>
        <w:rPr>
          <w:rFonts w:ascii="黑体" w:eastAsia="黑体" w:hAnsi="黑体" w:cs="黑体"/>
          <w:sz w:val="32"/>
          <w:szCs w:val="32"/>
        </w:rPr>
      </w:pPr>
      <w:r>
        <w:rPr>
          <w:rFonts w:ascii="黑体" w:eastAsia="黑体" w:hAnsi="黑体" w:cs="黑体" w:hint="eastAsia"/>
          <w:sz w:val="32"/>
          <w:szCs w:val="32"/>
        </w:rPr>
        <w:t>六、部门整体支出绩效情况</w:t>
      </w:r>
    </w:p>
    <w:p w:rsidR="009E5094" w:rsidRDefault="00C12FA5">
      <w:pPr>
        <w:ind w:firstLineChars="200" w:firstLine="640"/>
        <w:rPr>
          <w:rFonts w:ascii="仿宋" w:eastAsia="仿宋" w:hAnsi="仿宋" w:cs="仿宋"/>
          <w:sz w:val="32"/>
          <w:szCs w:val="32"/>
        </w:rPr>
      </w:pPr>
      <w:r>
        <w:rPr>
          <w:rFonts w:ascii="仿宋" w:eastAsia="仿宋" w:hAnsi="仿宋" w:cs="仿宋" w:hint="eastAsia"/>
          <w:sz w:val="32"/>
          <w:szCs w:val="32"/>
        </w:rPr>
        <w:t>202</w:t>
      </w:r>
      <w:r w:rsidR="00C91A42">
        <w:rPr>
          <w:rFonts w:ascii="仿宋" w:eastAsia="仿宋" w:hAnsi="仿宋" w:cs="仿宋" w:hint="eastAsia"/>
          <w:sz w:val="32"/>
          <w:szCs w:val="32"/>
        </w:rPr>
        <w:t>1</w:t>
      </w:r>
      <w:r>
        <w:rPr>
          <w:rFonts w:ascii="仿宋" w:eastAsia="仿宋" w:hAnsi="仿宋" w:cs="仿宋" w:hint="eastAsia"/>
          <w:sz w:val="32"/>
          <w:szCs w:val="32"/>
        </w:rPr>
        <w:t>年，我单位积极履职，强化管理，较好地完成了年</w:t>
      </w:r>
      <w:r>
        <w:rPr>
          <w:rFonts w:ascii="仿宋" w:eastAsia="仿宋" w:hAnsi="仿宋" w:cs="仿宋" w:hint="eastAsia"/>
          <w:sz w:val="32"/>
          <w:szCs w:val="32"/>
        </w:rPr>
        <w:lastRenderedPageBreak/>
        <w:t>度工作目标。通过加强预算收支管理，建立健全内部管理制度，完善内部管理流程，部门整体支出管理水平得到提升。根据部门整体支出绩效评价指标体系，我单位202</w:t>
      </w:r>
      <w:r w:rsidR="00C91A42">
        <w:rPr>
          <w:rFonts w:ascii="仿宋" w:eastAsia="仿宋" w:hAnsi="仿宋" w:cs="仿宋" w:hint="eastAsia"/>
          <w:sz w:val="32"/>
          <w:szCs w:val="32"/>
        </w:rPr>
        <w:t>1</w:t>
      </w:r>
      <w:r>
        <w:rPr>
          <w:rFonts w:ascii="仿宋" w:eastAsia="仿宋" w:hAnsi="仿宋" w:cs="仿宋" w:hint="eastAsia"/>
          <w:sz w:val="32"/>
          <w:szCs w:val="32"/>
        </w:rPr>
        <w:t>年度评价得分为98分。部门整体支出绩效情况如下：</w:t>
      </w:r>
    </w:p>
    <w:p w:rsidR="009E5094" w:rsidRDefault="00C12FA5">
      <w:pPr>
        <w:ind w:firstLineChars="200" w:firstLine="640"/>
        <w:rPr>
          <w:rFonts w:ascii="仿宋" w:eastAsia="仿宋" w:hAnsi="仿宋" w:cs="仿宋"/>
          <w:sz w:val="32"/>
          <w:szCs w:val="32"/>
        </w:rPr>
      </w:pPr>
      <w:r>
        <w:rPr>
          <w:rFonts w:ascii="仿宋" w:eastAsia="仿宋" w:hAnsi="仿宋" w:cs="仿宋" w:hint="eastAsia"/>
          <w:sz w:val="32"/>
          <w:szCs w:val="32"/>
        </w:rPr>
        <w:t>1.预算执行比较到位，执行率为97.77%，得10分。</w:t>
      </w:r>
    </w:p>
    <w:p w:rsidR="009E5094" w:rsidRDefault="00C12FA5">
      <w:pPr>
        <w:ind w:firstLineChars="200" w:firstLine="640"/>
        <w:rPr>
          <w:rFonts w:ascii="仿宋" w:eastAsia="仿宋" w:hAnsi="仿宋" w:cs="仿宋"/>
          <w:sz w:val="32"/>
          <w:szCs w:val="32"/>
        </w:rPr>
      </w:pPr>
      <w:r>
        <w:rPr>
          <w:rFonts w:ascii="仿宋" w:eastAsia="仿宋" w:hAnsi="仿宋" w:cs="仿宋" w:hint="eastAsia"/>
          <w:sz w:val="32"/>
          <w:szCs w:val="32"/>
        </w:rPr>
        <w:t>2.在职人员控制率较好，得5分。</w:t>
      </w:r>
    </w:p>
    <w:p w:rsidR="009E5094" w:rsidRDefault="00C12FA5">
      <w:pPr>
        <w:ind w:firstLineChars="200" w:firstLine="640"/>
        <w:rPr>
          <w:rFonts w:ascii="仿宋" w:eastAsia="仿宋" w:hAnsi="仿宋" w:cs="仿宋"/>
          <w:sz w:val="32"/>
          <w:szCs w:val="32"/>
        </w:rPr>
      </w:pPr>
      <w:r>
        <w:rPr>
          <w:rFonts w:ascii="仿宋" w:eastAsia="仿宋" w:hAnsi="仿宋" w:cs="仿宋" w:hint="eastAsia"/>
          <w:sz w:val="32"/>
          <w:szCs w:val="32"/>
        </w:rPr>
        <w:t>3.“三公”经费变动率得5分。“在公经费”变动率=［（本年度“三 公经费”预算数-上年度“三公经 费"预算数）/上年度“三公经费” 预算数］×100%=-10%，得5分。</w:t>
      </w:r>
    </w:p>
    <w:p w:rsidR="009E5094" w:rsidRDefault="00C12FA5">
      <w:pPr>
        <w:ind w:firstLineChars="200" w:firstLine="640"/>
        <w:rPr>
          <w:rFonts w:ascii="仿宋" w:eastAsia="仿宋" w:hAnsi="仿宋" w:cs="仿宋"/>
          <w:sz w:val="32"/>
          <w:szCs w:val="32"/>
        </w:rPr>
      </w:pPr>
      <w:r>
        <w:rPr>
          <w:rFonts w:ascii="仿宋" w:eastAsia="仿宋" w:hAnsi="仿宋" w:cs="仿宋" w:hint="eastAsia"/>
          <w:sz w:val="32"/>
          <w:szCs w:val="32"/>
        </w:rPr>
        <w:t>4.预算控制率得5分。预算控制率=（本年追加预算/年初预算）×100%=0，得5分。</w:t>
      </w:r>
    </w:p>
    <w:p w:rsidR="009E5094" w:rsidRDefault="00C12FA5">
      <w:pPr>
        <w:ind w:firstLineChars="200" w:firstLine="640"/>
        <w:rPr>
          <w:rFonts w:ascii="仿宋" w:eastAsia="仿宋" w:hAnsi="仿宋" w:cs="仿宋"/>
          <w:sz w:val="32"/>
          <w:szCs w:val="32"/>
        </w:rPr>
      </w:pPr>
      <w:r>
        <w:rPr>
          <w:rFonts w:ascii="仿宋" w:eastAsia="仿宋" w:hAnsi="仿宋" w:cs="仿宋" w:hint="eastAsia"/>
          <w:sz w:val="32"/>
          <w:szCs w:val="32"/>
        </w:rPr>
        <w:t>5.公用经费控制率得5分。公用经费控制率=（实际支出公 用经费总额/预算安排公用经费 总额）×100%=0，得5分。</w:t>
      </w:r>
    </w:p>
    <w:p w:rsidR="009E5094" w:rsidRDefault="00C12FA5">
      <w:pPr>
        <w:ind w:firstLineChars="200" w:firstLine="640"/>
        <w:rPr>
          <w:rFonts w:ascii="仿宋" w:eastAsia="仿宋" w:hAnsi="仿宋" w:cs="仿宋"/>
          <w:sz w:val="32"/>
          <w:szCs w:val="32"/>
        </w:rPr>
      </w:pPr>
      <w:r>
        <w:rPr>
          <w:rFonts w:ascii="仿宋" w:eastAsia="仿宋" w:hAnsi="仿宋" w:cs="仿宋" w:hint="eastAsia"/>
          <w:sz w:val="32"/>
          <w:szCs w:val="32"/>
        </w:rPr>
        <w:t>6.“三公 经费” 控制率得5分。“三公经费”控制率=（“三公经费” 实际支出数/“三公经费”预算安 排数）×100% =90%，得5分。</w:t>
      </w:r>
    </w:p>
    <w:p w:rsidR="009E5094" w:rsidRDefault="00C12FA5">
      <w:pPr>
        <w:ind w:firstLineChars="200" w:firstLine="640"/>
        <w:rPr>
          <w:rFonts w:ascii="仿宋" w:eastAsia="仿宋" w:hAnsi="仿宋" w:cs="仿宋"/>
          <w:sz w:val="32"/>
          <w:szCs w:val="32"/>
        </w:rPr>
      </w:pPr>
      <w:r>
        <w:rPr>
          <w:rFonts w:ascii="仿宋" w:eastAsia="仿宋" w:hAnsi="仿宋" w:cs="仿宋" w:hint="eastAsia"/>
          <w:sz w:val="32"/>
          <w:szCs w:val="32"/>
        </w:rPr>
        <w:t>7.政府采购执行率得4分。政府采购执行率=（实际政府采购金额与政府采购预算金额 一致）×100%=80%，得4分。</w:t>
      </w:r>
    </w:p>
    <w:p w:rsidR="009E5094" w:rsidRDefault="00C12FA5">
      <w:pPr>
        <w:ind w:firstLineChars="200" w:firstLine="640"/>
        <w:rPr>
          <w:rFonts w:ascii="仿宋" w:eastAsia="仿宋" w:hAnsi="仿宋" w:cs="仿宋"/>
          <w:sz w:val="32"/>
          <w:szCs w:val="32"/>
        </w:rPr>
      </w:pPr>
      <w:r>
        <w:rPr>
          <w:rFonts w:ascii="仿宋" w:eastAsia="仿宋" w:hAnsi="仿宋" w:cs="仿宋" w:hint="eastAsia"/>
          <w:sz w:val="32"/>
          <w:szCs w:val="32"/>
        </w:rPr>
        <w:t>8.重点工作实际完成率得5分。根据绩效办对各部门为民办实事和部门重点工程与重点工作考核分数折算，完成</w:t>
      </w:r>
      <w:r>
        <w:rPr>
          <w:rFonts w:ascii="仿宋" w:eastAsia="仿宋" w:hAnsi="仿宋" w:cs="仿宋" w:hint="eastAsia"/>
          <w:sz w:val="32"/>
          <w:szCs w:val="32"/>
        </w:rPr>
        <w:lastRenderedPageBreak/>
        <w:t>100%，得5分。</w:t>
      </w:r>
    </w:p>
    <w:p w:rsidR="009E5094" w:rsidRDefault="00C12FA5">
      <w:pPr>
        <w:ind w:firstLineChars="200" w:firstLine="640"/>
        <w:rPr>
          <w:rFonts w:ascii="仿宋" w:eastAsia="仿宋" w:hAnsi="仿宋" w:cs="仿宋"/>
          <w:sz w:val="32"/>
          <w:szCs w:val="32"/>
        </w:rPr>
      </w:pPr>
      <w:r>
        <w:rPr>
          <w:rFonts w:ascii="仿宋" w:eastAsia="仿宋" w:hAnsi="仿宋" w:cs="仿宋" w:hint="eastAsia"/>
          <w:sz w:val="32"/>
          <w:szCs w:val="32"/>
        </w:rPr>
        <w:t>9.管理制度健全性得5分。1.有内部财务管理制度、会 计核算制度等管理制度；2.有本部门厉行节约制度；3.相关管理制度合法、合规、完整；4.相关管理制度得到有效执行等。以上制度健全，得5分。</w:t>
      </w:r>
    </w:p>
    <w:p w:rsidR="009E5094" w:rsidRDefault="00C12FA5">
      <w:pPr>
        <w:ind w:firstLineChars="200" w:firstLine="640"/>
        <w:rPr>
          <w:rFonts w:ascii="仿宋" w:eastAsia="仿宋" w:hAnsi="仿宋" w:cs="仿宋"/>
          <w:sz w:val="32"/>
          <w:szCs w:val="32"/>
        </w:rPr>
      </w:pPr>
      <w:r>
        <w:rPr>
          <w:rFonts w:ascii="仿宋" w:eastAsia="仿宋" w:hAnsi="仿宋" w:cs="仿宋" w:hint="eastAsia"/>
          <w:sz w:val="32"/>
          <w:szCs w:val="32"/>
        </w:rPr>
        <w:t>10.预决算信息公开性得5分。公开内容完整性、时效性、真实性、准确性均达标，得5分。</w:t>
      </w:r>
    </w:p>
    <w:p w:rsidR="009E5094" w:rsidRDefault="00C12FA5">
      <w:pPr>
        <w:ind w:firstLineChars="200" w:firstLine="640"/>
        <w:rPr>
          <w:rFonts w:ascii="仿宋" w:eastAsia="仿宋" w:hAnsi="仿宋" w:cs="仿宋"/>
          <w:sz w:val="32"/>
          <w:szCs w:val="32"/>
        </w:rPr>
      </w:pPr>
      <w:r>
        <w:rPr>
          <w:rFonts w:ascii="仿宋" w:eastAsia="仿宋" w:hAnsi="仿宋" w:cs="仿宋" w:hint="eastAsia"/>
          <w:sz w:val="32"/>
          <w:szCs w:val="32"/>
        </w:rPr>
        <w:t>11.资金使用合规性得5分。1.支出符合国家财经法规和财务管理制度规定以及有关专项资金管理办法的规定；2.资金拨付有完整的审批程序和手续；3.项目支出按规定经过评估论证；4.支出符合部门预算批复的用途；5、 资金使用无截留、挤占、挪 用、虚列支出等情况。以上均符合要求，得5分。</w:t>
      </w:r>
    </w:p>
    <w:p w:rsidR="009E5094" w:rsidRDefault="00C12FA5">
      <w:pPr>
        <w:ind w:firstLineChars="200" w:firstLine="640"/>
        <w:rPr>
          <w:rFonts w:ascii="仿宋" w:eastAsia="仿宋" w:hAnsi="仿宋" w:cs="仿宋"/>
          <w:sz w:val="32"/>
          <w:szCs w:val="32"/>
        </w:rPr>
      </w:pPr>
      <w:r>
        <w:rPr>
          <w:rFonts w:ascii="仿宋" w:eastAsia="仿宋" w:hAnsi="仿宋" w:cs="仿宋" w:hint="eastAsia"/>
          <w:sz w:val="32"/>
          <w:szCs w:val="32"/>
        </w:rPr>
        <w:t>12.经济状况良好得7.5分。社会秩序正常得7.5分；辖区内环境、生态系统保持平衡，或更加优化得6.5分；社会发展为可持续状态得7.5分；群众满意度≥90%，得9分。</w:t>
      </w:r>
    </w:p>
    <w:p w:rsidR="009E5094" w:rsidRDefault="00C12FA5">
      <w:pPr>
        <w:ind w:firstLineChars="200" w:firstLine="640"/>
        <w:rPr>
          <w:rFonts w:ascii="黑体" w:eastAsia="黑体" w:hAnsi="黑体" w:cs="黑体"/>
          <w:sz w:val="32"/>
          <w:szCs w:val="32"/>
        </w:rPr>
      </w:pPr>
      <w:r>
        <w:rPr>
          <w:rFonts w:ascii="黑体" w:eastAsia="黑体" w:hAnsi="黑体" w:cs="黑体" w:hint="eastAsia"/>
          <w:sz w:val="32"/>
          <w:szCs w:val="32"/>
        </w:rPr>
        <w:t>七、存在的问题及原因分析</w:t>
      </w:r>
    </w:p>
    <w:p w:rsidR="009E5094" w:rsidRDefault="00C12FA5">
      <w:pPr>
        <w:ind w:firstLineChars="200" w:firstLine="640"/>
        <w:rPr>
          <w:rFonts w:ascii="仿宋" w:eastAsia="仿宋" w:hAnsi="仿宋" w:cs="仿宋"/>
          <w:sz w:val="32"/>
          <w:szCs w:val="32"/>
        </w:rPr>
      </w:pPr>
      <w:r>
        <w:rPr>
          <w:rFonts w:ascii="仿宋" w:eastAsia="仿宋" w:hAnsi="仿宋" w:cs="仿宋" w:hint="eastAsia"/>
          <w:sz w:val="32"/>
          <w:szCs w:val="32"/>
        </w:rPr>
        <w:t>财政收支矛盾仍然存在，人员经费、民生支出等刚性支出不断增加，造成收支矛盾比较突出。财政管理还需进一步加强，随着财政体制改革不断深入，财政管理水平与改革的需要还存在一定的差距，还需进一步提升业务素质和管理能力。</w:t>
      </w:r>
    </w:p>
    <w:p w:rsidR="009E5094" w:rsidRDefault="00C12FA5">
      <w:pPr>
        <w:ind w:firstLineChars="200" w:firstLine="640"/>
        <w:rPr>
          <w:rFonts w:ascii="黑体" w:eastAsia="黑体" w:hAnsi="黑体" w:cs="黑体"/>
          <w:sz w:val="32"/>
          <w:szCs w:val="32"/>
        </w:rPr>
      </w:pPr>
      <w:r>
        <w:rPr>
          <w:rFonts w:ascii="黑体" w:eastAsia="黑体" w:hAnsi="黑体" w:cs="黑体" w:hint="eastAsia"/>
          <w:sz w:val="32"/>
          <w:szCs w:val="32"/>
        </w:rPr>
        <w:lastRenderedPageBreak/>
        <w:t>八、下一步改进措施</w:t>
      </w:r>
    </w:p>
    <w:p w:rsidR="009E5094" w:rsidRDefault="00C12FA5">
      <w:pPr>
        <w:ind w:firstLineChars="200" w:firstLine="640"/>
        <w:rPr>
          <w:rFonts w:ascii="仿宋" w:eastAsia="仿宋" w:hAnsi="仿宋" w:cs="仿宋"/>
          <w:sz w:val="32"/>
          <w:szCs w:val="32"/>
        </w:rPr>
      </w:pPr>
      <w:r>
        <w:rPr>
          <w:rFonts w:ascii="仿宋" w:eastAsia="仿宋" w:hAnsi="仿宋" w:cs="仿宋" w:hint="eastAsia"/>
          <w:sz w:val="32"/>
          <w:szCs w:val="32"/>
        </w:rPr>
        <w:t>下一步，将紧紧围绕中心工作，立足财政职责，坚守原则，发奋进取，攻坚克难，确保完成各项工作目标。</w:t>
      </w:r>
    </w:p>
    <w:p w:rsidR="009E5094" w:rsidRDefault="00C12FA5">
      <w:pPr>
        <w:ind w:firstLineChars="200" w:firstLine="643"/>
        <w:rPr>
          <w:rFonts w:ascii="仿宋" w:eastAsia="仿宋" w:hAnsi="仿宋" w:cs="仿宋"/>
          <w:sz w:val="32"/>
          <w:szCs w:val="32"/>
        </w:rPr>
      </w:pPr>
      <w:r>
        <w:rPr>
          <w:rFonts w:ascii="楷体" w:eastAsia="楷体" w:hAnsi="楷体" w:cs="楷体" w:hint="eastAsia"/>
          <w:b/>
          <w:bCs/>
          <w:sz w:val="32"/>
          <w:szCs w:val="32"/>
        </w:rPr>
        <w:t>1.切实提升财政运行质量。</w:t>
      </w:r>
      <w:r>
        <w:rPr>
          <w:rFonts w:ascii="仿宋" w:eastAsia="仿宋" w:hAnsi="仿宋" w:cs="仿宋" w:hint="eastAsia"/>
          <w:sz w:val="32"/>
          <w:szCs w:val="32"/>
        </w:rPr>
        <w:t xml:space="preserve">按照区相关会议精神要求，全面贯彻新发展理念，科学谋划，全面提高预算执行水平，科学编制部门预算，从严控制一般性支出和“三公经费”支出。进一步深化财政绩效管理改革，扎实开展绩效运行监控。逐步完善规范固定资产管理，确保国有资产不流失。   </w:t>
      </w:r>
    </w:p>
    <w:p w:rsidR="009E5094" w:rsidRDefault="00C12FA5">
      <w:pPr>
        <w:ind w:firstLineChars="200" w:firstLine="643"/>
        <w:rPr>
          <w:rFonts w:ascii="仿宋" w:eastAsia="仿宋" w:hAnsi="仿宋" w:cs="仿宋"/>
          <w:sz w:val="32"/>
          <w:szCs w:val="32"/>
        </w:rPr>
      </w:pPr>
      <w:r>
        <w:rPr>
          <w:rFonts w:ascii="楷体" w:eastAsia="楷体" w:hAnsi="楷体" w:cs="楷体" w:hint="eastAsia"/>
          <w:b/>
          <w:bCs/>
          <w:sz w:val="32"/>
          <w:szCs w:val="32"/>
        </w:rPr>
        <w:t>2.着力保障“三保”支出。</w:t>
      </w:r>
      <w:r>
        <w:rPr>
          <w:rFonts w:ascii="仿宋" w:eastAsia="仿宋" w:hAnsi="仿宋" w:cs="仿宋" w:hint="eastAsia"/>
          <w:sz w:val="32"/>
          <w:szCs w:val="32"/>
        </w:rPr>
        <w:t>严格遵守“以收定支”“收支平衡”的基本原则，进一步压缩公用经费，非重点、非刚性和非当前必须的支出按区财政要求一律不安排。优化支出结构，精打细算过“紧日子”。持续保障和改善民生，支持社会福利、最低生活保障等惠民工作，确保和谐稳定。</w:t>
      </w:r>
    </w:p>
    <w:p w:rsidR="009E5094" w:rsidRDefault="00C12FA5">
      <w:pPr>
        <w:ind w:firstLineChars="200" w:firstLine="643"/>
        <w:rPr>
          <w:rFonts w:ascii="仿宋" w:eastAsia="仿宋" w:hAnsi="仿宋" w:cs="仿宋"/>
          <w:sz w:val="32"/>
          <w:szCs w:val="32"/>
        </w:rPr>
      </w:pPr>
      <w:r>
        <w:rPr>
          <w:rFonts w:ascii="楷体" w:eastAsia="楷体" w:hAnsi="楷体" w:cs="楷体" w:hint="eastAsia"/>
          <w:b/>
          <w:bCs/>
          <w:sz w:val="32"/>
          <w:szCs w:val="32"/>
        </w:rPr>
        <w:t>3.不断提升财政管理效能。</w:t>
      </w:r>
      <w:r>
        <w:rPr>
          <w:rFonts w:ascii="仿宋" w:eastAsia="仿宋" w:hAnsi="仿宋" w:cs="仿宋" w:hint="eastAsia"/>
          <w:sz w:val="32"/>
          <w:szCs w:val="32"/>
        </w:rPr>
        <w:t>严格预算执行管理，动态监控效能，合理把握预算执行进度，提升公务卡使用比率。加强资产管理，规范各类资产的购置审批制度、资产出租出借和收入管理制度、资产采购制度、使用管理制度、资产处置和报废审批制度、资产管理岗位职责制度等。继续深化其他财政改革，继续完善预决算公开机制，建立健全绩效指标体系，提高绩效评价质量，充分利用评价结果，切实提升财政资金配置效率和使用效率。</w:t>
      </w:r>
    </w:p>
    <w:p w:rsidR="009E5094" w:rsidRDefault="00C12FA5">
      <w:pPr>
        <w:ind w:firstLineChars="200" w:firstLine="640"/>
        <w:rPr>
          <w:rFonts w:ascii="黑体" w:eastAsia="黑体" w:hAnsi="黑体" w:cs="黑体"/>
          <w:sz w:val="32"/>
          <w:szCs w:val="32"/>
        </w:rPr>
      </w:pPr>
      <w:r>
        <w:rPr>
          <w:rFonts w:ascii="黑体" w:eastAsia="黑体" w:hAnsi="黑体" w:cs="黑体" w:hint="eastAsia"/>
          <w:sz w:val="32"/>
          <w:szCs w:val="32"/>
        </w:rPr>
        <w:t>九、其他需要说明的情况</w:t>
      </w:r>
    </w:p>
    <w:p w:rsidR="009E5094" w:rsidRDefault="00C12FA5">
      <w:pPr>
        <w:ind w:firstLineChars="200" w:firstLine="640"/>
        <w:rPr>
          <w:rFonts w:ascii="仿宋" w:eastAsia="仿宋" w:hAnsi="仿宋" w:cs="仿宋"/>
          <w:sz w:val="32"/>
          <w:szCs w:val="32"/>
        </w:rPr>
      </w:pPr>
      <w:r>
        <w:rPr>
          <w:rFonts w:ascii="仿宋" w:eastAsia="仿宋" w:hAnsi="仿宋" w:cs="仿宋" w:hint="eastAsia"/>
          <w:sz w:val="32"/>
          <w:szCs w:val="32"/>
        </w:rPr>
        <w:lastRenderedPageBreak/>
        <w:t>无。</w:t>
      </w:r>
    </w:p>
    <w:p w:rsidR="009E5094" w:rsidRDefault="009E5094">
      <w:pPr>
        <w:rPr>
          <w:rFonts w:ascii="仿宋" w:eastAsia="仿宋" w:hAnsi="仿宋" w:cs="仿宋"/>
          <w:sz w:val="32"/>
          <w:szCs w:val="32"/>
        </w:rPr>
      </w:pPr>
    </w:p>
    <w:sectPr w:rsidR="009E5094" w:rsidSect="009E50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4A31" w:rsidRDefault="00414A31" w:rsidP="00B9799D">
      <w:r>
        <w:separator/>
      </w:r>
    </w:p>
  </w:endnote>
  <w:endnote w:type="continuationSeparator" w:id="1">
    <w:p w:rsidR="00414A31" w:rsidRDefault="00414A31" w:rsidP="00B979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4A31" w:rsidRDefault="00414A31" w:rsidP="00B9799D">
      <w:r>
        <w:separator/>
      </w:r>
    </w:p>
  </w:footnote>
  <w:footnote w:type="continuationSeparator" w:id="1">
    <w:p w:rsidR="00414A31" w:rsidRDefault="00414A31" w:rsidP="00B979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F606ECD"/>
    <w:rsid w:val="00384DEA"/>
    <w:rsid w:val="00414A31"/>
    <w:rsid w:val="00551B43"/>
    <w:rsid w:val="008D0555"/>
    <w:rsid w:val="009E5094"/>
    <w:rsid w:val="00B9799D"/>
    <w:rsid w:val="00C12FA5"/>
    <w:rsid w:val="00C91A42"/>
    <w:rsid w:val="024C1361"/>
    <w:rsid w:val="02526FA3"/>
    <w:rsid w:val="05137474"/>
    <w:rsid w:val="0E162B5B"/>
    <w:rsid w:val="0F606ECD"/>
    <w:rsid w:val="40D114D5"/>
    <w:rsid w:val="45B9637C"/>
    <w:rsid w:val="48353F00"/>
    <w:rsid w:val="484F0C0E"/>
    <w:rsid w:val="48923B5E"/>
    <w:rsid w:val="4D2372D5"/>
    <w:rsid w:val="519C0348"/>
    <w:rsid w:val="55984264"/>
    <w:rsid w:val="563E4579"/>
    <w:rsid w:val="62E92923"/>
    <w:rsid w:val="6C2C7378"/>
    <w:rsid w:val="6D4613E4"/>
    <w:rsid w:val="6D844C40"/>
    <w:rsid w:val="72154354"/>
    <w:rsid w:val="737F7324"/>
    <w:rsid w:val="7752540E"/>
    <w:rsid w:val="77E3406E"/>
    <w:rsid w:val="7A9455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5094"/>
    <w:pPr>
      <w:widowControl w:val="0"/>
      <w:jc w:val="both"/>
    </w:pPr>
    <w:rPr>
      <w:kern w:val="2"/>
      <w:sz w:val="21"/>
      <w:szCs w:val="24"/>
    </w:rPr>
  </w:style>
  <w:style w:type="paragraph" w:styleId="3">
    <w:name w:val="heading 3"/>
    <w:basedOn w:val="a"/>
    <w:next w:val="a"/>
    <w:semiHidden/>
    <w:unhideWhenUsed/>
    <w:qFormat/>
    <w:rsid w:val="009E5094"/>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9E5094"/>
    <w:pPr>
      <w:tabs>
        <w:tab w:val="center" w:pos="4153"/>
        <w:tab w:val="right" w:pos="8306"/>
      </w:tabs>
      <w:snapToGrid w:val="0"/>
      <w:jc w:val="left"/>
    </w:pPr>
    <w:rPr>
      <w:sz w:val="18"/>
      <w:szCs w:val="18"/>
    </w:rPr>
  </w:style>
  <w:style w:type="paragraph" w:styleId="a4">
    <w:name w:val="header"/>
    <w:basedOn w:val="a"/>
    <w:qFormat/>
    <w:rsid w:val="009E5094"/>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9E5094"/>
    <w:pPr>
      <w:jc w:val="left"/>
    </w:pPr>
    <w:rPr>
      <w:rFonts w:ascii="微软雅黑" w:eastAsia="微软雅黑" w:hAnsi="微软雅黑" w:hint="eastAsia"/>
      <w:kern w:val="0"/>
      <w:sz w:val="24"/>
    </w:rPr>
  </w:style>
  <w:style w:type="character" w:styleId="a6">
    <w:name w:val="page number"/>
    <w:basedOn w:val="a0"/>
    <w:qFormat/>
    <w:rsid w:val="009E5094"/>
  </w:style>
  <w:style w:type="character" w:styleId="a7">
    <w:name w:val="FollowedHyperlink"/>
    <w:basedOn w:val="a0"/>
    <w:qFormat/>
    <w:rsid w:val="009E5094"/>
    <w:rPr>
      <w:color w:val="333333"/>
      <w:u w:val="none"/>
    </w:rPr>
  </w:style>
  <w:style w:type="character" w:styleId="a8">
    <w:name w:val="Emphasis"/>
    <w:basedOn w:val="a0"/>
    <w:qFormat/>
    <w:rsid w:val="009E5094"/>
    <w:rPr>
      <w:rFonts w:ascii="微软雅黑" w:eastAsia="微软雅黑" w:hAnsi="微软雅黑" w:cs="微软雅黑"/>
    </w:rPr>
  </w:style>
  <w:style w:type="character" w:styleId="a9">
    <w:name w:val="Hyperlink"/>
    <w:basedOn w:val="a0"/>
    <w:qFormat/>
    <w:rsid w:val="009E5094"/>
    <w:rPr>
      <w:color w:val="333333"/>
      <w:u w:val="none"/>
    </w:rPr>
  </w:style>
  <w:style w:type="character" w:customStyle="1" w:styleId="text">
    <w:name w:val="text"/>
    <w:basedOn w:val="a0"/>
    <w:qFormat/>
    <w:rsid w:val="009E5094"/>
    <w:rPr>
      <w:color w:val="666666"/>
    </w:rPr>
  </w:style>
  <w:style w:type="character" w:customStyle="1" w:styleId="hover19">
    <w:name w:val="hover19"/>
    <w:basedOn w:val="a0"/>
    <w:qFormat/>
    <w:rsid w:val="009E5094"/>
    <w:rPr>
      <w:color w:val="000000"/>
      <w:shd w:val="clear" w:color="auto" w:fill="FFFFFF"/>
    </w:rPr>
  </w:style>
  <w:style w:type="character" w:customStyle="1" w:styleId="after">
    <w:name w:val="after"/>
    <w:basedOn w:val="a0"/>
    <w:qFormat/>
    <w:rsid w:val="009E5094"/>
    <w:rPr>
      <w:shd w:val="clear" w:color="auto" w:fill="FFFFFF"/>
    </w:rPr>
  </w:style>
  <w:style w:type="character" w:customStyle="1" w:styleId="last">
    <w:name w:val="last"/>
    <w:basedOn w:val="a0"/>
    <w:qFormat/>
    <w:rsid w:val="009E5094"/>
  </w:style>
  <w:style w:type="character" w:customStyle="1" w:styleId="wx-space">
    <w:name w:val="wx-space"/>
    <w:basedOn w:val="a0"/>
    <w:qFormat/>
    <w:rsid w:val="009E5094"/>
  </w:style>
  <w:style w:type="character" w:customStyle="1" w:styleId="wx-space1">
    <w:name w:val="wx-space1"/>
    <w:basedOn w:val="a0"/>
    <w:qFormat/>
    <w:rsid w:val="009E5094"/>
  </w:style>
  <w:style w:type="paragraph" w:customStyle="1" w:styleId="Other1">
    <w:name w:val="Other|1"/>
    <w:basedOn w:val="a"/>
    <w:qFormat/>
    <w:rsid w:val="009E5094"/>
    <w:pPr>
      <w:spacing w:line="302" w:lineRule="exact"/>
    </w:pPr>
    <w:rPr>
      <w:rFonts w:ascii="宋体" w:hAnsi="宋体" w:cs="宋体"/>
      <w:sz w:val="19"/>
      <w:szCs w:val="19"/>
      <w:lang w:val="zh-CN" w:bidi="zh-CN"/>
    </w:rPr>
  </w:style>
  <w:style w:type="character" w:customStyle="1" w:styleId="hover18">
    <w:name w:val="hover18"/>
    <w:basedOn w:val="a0"/>
    <w:qFormat/>
    <w:rsid w:val="009E5094"/>
    <w:rPr>
      <w:color w:val="000000"/>
      <w:shd w:val="clear" w:color="auto" w:fill="FFFFF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9</Pages>
  <Words>579</Words>
  <Characters>3303</Characters>
  <Application>Microsoft Office Word</Application>
  <DocSecurity>0</DocSecurity>
  <Lines>27</Lines>
  <Paragraphs>7</Paragraphs>
  <ScaleCrop>false</ScaleCrop>
  <Company>微软中国</Company>
  <LinksUpToDate>false</LinksUpToDate>
  <CharactersWithSpaces>3875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2022-10-28T02:58:00Z</dcterms:created>
  <dcterms:modified xsi:type="dcterms:W3CDTF">2022-10-28T07:11:00Z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CD080043EB80465D93C6FA26995DCE22</vt:lpwstr>
  </property>
</Properties>
</file>