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40" w:lineRule="auto"/>
        <w:ind w:left="0" w:leftChars="0" w:firstLine="0" w:firstLineChars="0"/>
        <w:rPr>
          <w:rFonts w:hint="default" w:eastAsia="宋体"/>
          <w:color w:val="auto"/>
          <w:sz w:val="36"/>
          <w:szCs w:val="36"/>
          <w:lang w:val="en-US" w:eastAsia="zh-CN"/>
        </w:rPr>
      </w:pPr>
      <w:bookmarkStart w:id="0" w:name="_Hlk57883707"/>
      <w:bookmarkStart w:id="47" w:name="_GoBack"/>
      <w:bookmarkEnd w:id="47"/>
    </w:p>
    <w:p>
      <w:pPr>
        <w:spacing w:line="240" w:lineRule="auto"/>
        <w:rPr>
          <w:color w:val="auto"/>
          <w:sz w:val="36"/>
          <w:szCs w:val="36"/>
        </w:rPr>
      </w:pPr>
    </w:p>
    <w:p>
      <w:pPr>
        <w:spacing w:line="240" w:lineRule="auto"/>
        <w:rPr>
          <w:color w:val="auto"/>
          <w:sz w:val="36"/>
          <w:szCs w:val="36"/>
        </w:rPr>
      </w:pPr>
    </w:p>
    <w:p>
      <w:pPr>
        <w:spacing w:line="240" w:lineRule="auto"/>
        <w:rPr>
          <w:color w:val="auto"/>
          <w:sz w:val="36"/>
          <w:szCs w:val="36"/>
        </w:rPr>
      </w:pPr>
    </w:p>
    <w:bookmarkEnd w:id="0"/>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pPr>
      <w:bookmarkStart w:id="1" w:name="_Toc24892"/>
      <w:r>
        <w:rPr>
          <w:rFonts w:hint="eastAsia" w:ascii="方正小标宋_GBK" w:eastAsia="方正小标宋_GBK"/>
          <w:bCs/>
          <w:color w:val="auto"/>
          <w:sz w:val="72"/>
          <w:szCs w:val="72"/>
        </w:rPr>
        <w:t>建设项目环境影响报告表</w:t>
      </w:r>
      <w:bookmarkEnd w:id="1"/>
    </w:p>
    <w:p>
      <w:pPr>
        <w:adjustRightInd w:val="0"/>
        <w:snapToGrid w:val="0"/>
        <w:spacing w:before="192" w:beforeLines="80" w:line="240" w:lineRule="auto"/>
        <w:ind w:firstLine="960"/>
        <w:jc w:val="center"/>
        <w:rPr>
          <w:bCs/>
          <w:color w:val="auto"/>
          <w:sz w:val="48"/>
          <w:szCs w:val="48"/>
        </w:rPr>
      </w:pPr>
      <w:r>
        <w:rPr>
          <w:bCs/>
          <w:color w:val="auto"/>
          <w:sz w:val="48"/>
          <w:szCs w:val="48"/>
        </w:rPr>
        <w:t>（</w:t>
      </w:r>
      <w:r>
        <w:rPr>
          <w:rFonts w:hint="eastAsia" w:ascii="楷体_GB2312" w:eastAsia="楷体_GB2312"/>
          <w:bCs/>
          <w:color w:val="auto"/>
          <w:sz w:val="48"/>
          <w:szCs w:val="48"/>
        </w:rPr>
        <w:t>生态影响类</w:t>
      </w:r>
      <w:r>
        <w:rPr>
          <w:bCs/>
          <w:color w:val="auto"/>
          <w:sz w:val="48"/>
          <w:szCs w:val="48"/>
        </w:rPr>
        <w:t>）</w:t>
      </w:r>
    </w:p>
    <w:p>
      <w:pPr>
        <w:spacing w:line="240" w:lineRule="auto"/>
        <w:ind w:firstLine="880"/>
        <w:rPr>
          <w:color w:val="auto"/>
          <w:sz w:val="44"/>
          <w:szCs w:val="44"/>
        </w:rPr>
      </w:pPr>
      <w:bookmarkStart w:id="2" w:name="_Hlk57883728"/>
    </w:p>
    <w:p>
      <w:pPr>
        <w:spacing w:line="240" w:lineRule="auto"/>
        <w:ind w:firstLine="1040"/>
        <w:jc w:val="center"/>
        <w:rPr>
          <w:color w:val="auto"/>
          <w:sz w:val="52"/>
          <w:szCs w:val="52"/>
        </w:rPr>
      </w:pPr>
    </w:p>
    <w:p>
      <w:pPr>
        <w:spacing w:line="240" w:lineRule="auto"/>
        <w:ind w:firstLine="880"/>
        <w:rPr>
          <w:color w:val="auto"/>
          <w:sz w:val="44"/>
          <w:szCs w:val="44"/>
        </w:rPr>
      </w:pPr>
    </w:p>
    <w:p>
      <w:pPr>
        <w:spacing w:line="240" w:lineRule="auto"/>
        <w:ind w:firstLine="880"/>
        <w:rPr>
          <w:color w:val="auto"/>
          <w:sz w:val="44"/>
          <w:szCs w:val="44"/>
        </w:rPr>
      </w:pPr>
    </w:p>
    <w:p>
      <w:pPr>
        <w:spacing w:line="240" w:lineRule="auto"/>
        <w:ind w:firstLine="880"/>
        <w:rPr>
          <w:color w:val="auto"/>
          <w:sz w:val="44"/>
          <w:szCs w:val="44"/>
        </w:rPr>
      </w:pPr>
    </w:p>
    <w:p>
      <w:pPr>
        <w:spacing w:line="240" w:lineRule="auto"/>
        <w:ind w:firstLine="880"/>
        <w:rPr>
          <w:color w:val="auto"/>
          <w:sz w:val="44"/>
          <w:szCs w:val="44"/>
        </w:rPr>
      </w:pPr>
    </w:p>
    <w:bookmarkEnd w:id="2"/>
    <w:p>
      <w:pPr>
        <w:adjustRightInd w:val="0"/>
        <w:snapToGrid w:val="0"/>
        <w:spacing w:line="276" w:lineRule="auto"/>
        <w:ind w:firstLine="640"/>
        <w:rPr>
          <w:rFonts w:hint="default" w:ascii="仿宋_GB2312" w:hAnsi="仿宋_GB2312" w:eastAsia="仿宋_GB2312" w:cs="仿宋_GB2312"/>
          <w:color w:val="auto"/>
          <w:sz w:val="32"/>
          <w:szCs w:val="36"/>
          <w:u w:val="single"/>
          <w:lang w:val="en-US" w:eastAsia="zh-CN"/>
        </w:rPr>
      </w:pPr>
      <w:r>
        <w:rPr>
          <w:rFonts w:hint="eastAsia" w:ascii="仿宋_GB2312" w:hAnsi="仿宋_GB2312" w:eastAsia="仿宋_GB2312" w:cs="仿宋_GB2312"/>
          <w:color w:val="auto"/>
          <w:sz w:val="36"/>
          <w:szCs w:val="36"/>
        </w:rPr>
        <w:t>项目名称</w:t>
      </w:r>
      <w:r>
        <w:rPr>
          <w:rFonts w:hint="eastAsia" w:ascii="仿宋_GB2312" w:hAnsi="仿宋_GB2312" w:eastAsia="仿宋_GB2312" w:cs="仿宋_GB2312"/>
          <w:color w:val="auto"/>
          <w:sz w:val="32"/>
          <w:szCs w:val="36"/>
        </w:rPr>
        <w:t>：</w:t>
      </w:r>
      <w:r>
        <w:rPr>
          <w:rFonts w:hint="eastAsia" w:ascii="Times New Roman" w:hAnsi="Times New Roman" w:eastAsia="仿宋_GB2312" w:cs="Times New Roman"/>
          <w:color w:val="auto"/>
          <w:sz w:val="36"/>
          <w:szCs w:val="36"/>
          <w:u w:val="single"/>
          <w:lang w:val="en-US" w:eastAsia="zh-CN"/>
        </w:rPr>
        <w:t>衡阳侨城文化旅游度假区一期</w:t>
      </w:r>
      <w:r>
        <w:rPr>
          <w:rFonts w:hint="eastAsia" w:eastAsia="仿宋_GB2312" w:cs="Times New Roman"/>
          <w:color w:val="auto"/>
          <w:sz w:val="36"/>
          <w:szCs w:val="36"/>
          <w:u w:val="single"/>
          <w:lang w:val="en-US" w:eastAsia="zh-CN"/>
        </w:rPr>
        <w:t>建设项目</w:t>
      </w:r>
    </w:p>
    <w:p>
      <w:pPr>
        <w:adjustRightInd w:val="0"/>
        <w:snapToGrid w:val="0"/>
        <w:spacing w:line="276" w:lineRule="auto"/>
        <w:ind w:firstLine="640"/>
        <w:rPr>
          <w:rFonts w:hint="eastAsia" w:ascii="仿宋_GB2312" w:hAnsi="仿宋_GB2312" w:eastAsia="仿宋_GB2312" w:cs="仿宋_GB2312"/>
          <w:color w:val="auto"/>
          <w:sz w:val="32"/>
          <w:szCs w:val="36"/>
          <w:u w:val="single"/>
        </w:rPr>
      </w:pPr>
      <w:r>
        <w:rPr>
          <w:rFonts w:hint="eastAsia" w:ascii="仿宋_GB2312" w:hAnsi="仿宋_GB2312" w:eastAsia="仿宋_GB2312" w:cs="仿宋_GB2312"/>
          <w:color w:val="auto"/>
          <w:sz w:val="36"/>
          <w:szCs w:val="36"/>
        </w:rPr>
        <w:t>建设单位（盖章）</w:t>
      </w:r>
      <w:r>
        <w:rPr>
          <w:rFonts w:hint="eastAsia" w:ascii="仿宋_GB2312" w:hAnsi="仿宋_GB2312" w:eastAsia="仿宋_GB2312" w:cs="仿宋_GB2312"/>
          <w:color w:val="auto"/>
          <w:sz w:val="32"/>
          <w:szCs w:val="36"/>
        </w:rPr>
        <w:t>：</w:t>
      </w:r>
      <w:r>
        <w:rPr>
          <w:rFonts w:hint="eastAsia" w:ascii="Times New Roman" w:hAnsi="Times New Roman" w:eastAsia="仿宋_GB2312" w:cs="Times New Roman"/>
          <w:color w:val="auto"/>
          <w:sz w:val="36"/>
          <w:szCs w:val="36"/>
          <w:u w:val="single"/>
          <w:lang w:val="en-US" w:eastAsia="zh-CN"/>
        </w:rPr>
        <w:t>衡阳侨城乐园旅游发展有限公司</w:t>
      </w:r>
    </w:p>
    <w:p>
      <w:pPr>
        <w:adjustRightInd w:val="0"/>
        <w:snapToGrid w:val="0"/>
        <w:spacing w:line="276" w:lineRule="auto"/>
        <w:ind w:firstLine="640"/>
        <w:rPr>
          <w:rFonts w:hint="eastAsia" w:ascii="仿宋_GB2312" w:hAnsi="仿宋_GB2312" w:eastAsia="仿宋_GB2312" w:cs="仿宋_GB2312"/>
          <w:color w:val="auto"/>
          <w:sz w:val="36"/>
          <w:szCs w:val="36"/>
          <w:u w:val="single"/>
        </w:rPr>
      </w:pPr>
      <w:r>
        <w:rPr>
          <w:rFonts w:hint="eastAsia" w:ascii="仿宋_GB2312" w:hAnsi="仿宋_GB2312" w:eastAsia="仿宋_GB2312" w:cs="仿宋_GB2312"/>
          <w:color w:val="auto"/>
          <w:sz w:val="36"/>
          <w:szCs w:val="36"/>
        </w:rPr>
        <w:t>编制</w:t>
      </w:r>
      <w:r>
        <w:rPr>
          <w:rFonts w:hint="eastAsia" w:ascii="仿宋_GB2312" w:hAnsi="仿宋_GB2312" w:eastAsia="仿宋_GB2312" w:cs="仿宋_GB2312"/>
          <w:color w:val="auto"/>
          <w:sz w:val="36"/>
          <w:szCs w:val="36"/>
          <w:lang w:val="en-US" w:eastAsia="zh-CN"/>
        </w:rPr>
        <w:t>单位</w:t>
      </w:r>
      <w:r>
        <w:rPr>
          <w:rFonts w:hint="eastAsia" w:ascii="仿宋_GB2312" w:hAnsi="仿宋_GB2312" w:eastAsia="仿宋_GB2312" w:cs="仿宋_GB2312"/>
          <w:color w:val="auto"/>
          <w:sz w:val="36"/>
          <w:szCs w:val="36"/>
        </w:rPr>
        <w:t>：</w:t>
      </w:r>
      <w:r>
        <w:rPr>
          <w:rFonts w:hint="eastAsia" w:ascii="仿宋_GB2312" w:hAnsi="仿宋_GB2312" w:eastAsia="仿宋_GB2312" w:cs="仿宋_GB2312"/>
          <w:color w:val="auto"/>
          <w:sz w:val="36"/>
          <w:szCs w:val="36"/>
          <w:u w:val="single"/>
        </w:rPr>
        <w:t xml:space="preserve"> </w:t>
      </w:r>
      <w:r>
        <w:rPr>
          <w:rFonts w:hint="eastAsia" w:ascii="仿宋_GB2312" w:hAnsi="仿宋_GB2312" w:eastAsia="仿宋_GB2312" w:cs="仿宋_GB2312"/>
          <w:color w:val="auto"/>
          <w:sz w:val="36"/>
          <w:szCs w:val="36"/>
          <w:u w:val="single"/>
          <w:lang w:val="en-US" w:eastAsia="zh-CN"/>
        </w:rPr>
        <w:t xml:space="preserve">  衡阳职安环保科技有限责任公司 </w:t>
      </w:r>
      <w:r>
        <w:rPr>
          <w:rFonts w:hint="eastAsia" w:ascii="仿宋_GB2312" w:hAnsi="仿宋_GB2312" w:eastAsia="仿宋_GB2312" w:cs="仿宋_GB2312"/>
          <w:color w:val="auto"/>
          <w:sz w:val="36"/>
          <w:szCs w:val="36"/>
          <w:u w:val="single"/>
        </w:rPr>
        <w:t xml:space="preserve">  </w:t>
      </w:r>
    </w:p>
    <w:p>
      <w:pPr>
        <w:adjustRightInd w:val="0"/>
        <w:snapToGrid w:val="0"/>
        <w:spacing w:line="240" w:lineRule="auto"/>
        <w:ind w:firstLine="640"/>
        <w:rPr>
          <w:color w:val="auto"/>
          <w:sz w:val="32"/>
          <w:szCs w:val="36"/>
          <w:u w:val="single"/>
        </w:rPr>
      </w:pPr>
    </w:p>
    <w:p>
      <w:pPr>
        <w:adjustRightInd w:val="0"/>
        <w:snapToGrid w:val="0"/>
        <w:spacing w:line="240" w:lineRule="auto"/>
        <w:rPr>
          <w:color w:val="auto"/>
          <w:sz w:val="36"/>
          <w:szCs w:val="36"/>
        </w:rPr>
      </w:pPr>
    </w:p>
    <w:p>
      <w:pPr>
        <w:ind w:left="480" w:firstLine="720"/>
        <w:rPr>
          <w:color w:val="auto"/>
          <w:sz w:val="36"/>
          <w:szCs w:val="36"/>
        </w:rPr>
      </w:pPr>
    </w:p>
    <w:p>
      <w:pPr>
        <w:ind w:firstLine="480"/>
        <w:rPr>
          <w:color w:val="auto"/>
        </w:rPr>
      </w:pPr>
    </w:p>
    <w:p>
      <w:pPr>
        <w:rPr>
          <w:color w:val="auto"/>
          <w:sz w:val="36"/>
          <w:szCs w:val="36"/>
        </w:rPr>
      </w:pPr>
    </w:p>
    <w:p>
      <w:pPr>
        <w:ind w:left="480" w:firstLine="720"/>
        <w:rPr>
          <w:color w:val="auto"/>
          <w:sz w:val="36"/>
          <w:szCs w:val="36"/>
        </w:rPr>
      </w:pPr>
    </w:p>
    <w:p>
      <w:pPr>
        <w:adjustRightInd w:val="0"/>
        <w:snapToGrid w:val="0"/>
        <w:spacing w:line="240" w:lineRule="auto"/>
        <w:rPr>
          <w:color w:val="auto"/>
          <w:sz w:val="36"/>
          <w:szCs w:val="36"/>
        </w:rPr>
      </w:pPr>
    </w:p>
    <w:p>
      <w:pPr>
        <w:adjustRightInd w:val="0"/>
        <w:snapToGrid w:val="0"/>
        <w:spacing w:line="240" w:lineRule="auto"/>
        <w:rPr>
          <w:color w:val="auto"/>
          <w:sz w:val="36"/>
          <w:szCs w:val="36"/>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36"/>
          <w:szCs w:val="36"/>
        </w:rPr>
        <w:sectPr>
          <w:headerReference r:id="rId7" w:type="first"/>
          <w:footerReference r:id="rId10" w:type="first"/>
          <w:headerReference r:id="rId5" w:type="default"/>
          <w:footerReference r:id="rId8" w:type="default"/>
          <w:headerReference r:id="rId6" w:type="even"/>
          <w:footerReference r:id="rId9" w:type="even"/>
          <w:pgSz w:w="11906" w:h="16838"/>
          <w:pgMar w:top="1701" w:right="1531" w:bottom="1701" w:left="1531" w:header="851" w:footer="567" w:gutter="0"/>
          <w:pgBorders>
            <w:top w:val="none" w:sz="0" w:space="0"/>
            <w:left w:val="none" w:sz="0" w:space="0"/>
            <w:bottom w:val="none" w:sz="0" w:space="0"/>
            <w:right w:val="none" w:sz="0" w:space="0"/>
          </w:pgBorders>
          <w:pgNumType w:fmt="decimal" w:start="21"/>
          <w:cols w:space="720" w:num="1"/>
          <w:docGrid w:linePitch="312" w:charSpace="0"/>
        </w:sectPr>
      </w:pPr>
      <w:r>
        <w:rPr>
          <w:rFonts w:hint="eastAsia" w:ascii="楷体_GB2312" w:eastAsia="楷体_GB2312"/>
          <w:color w:val="auto"/>
          <w:sz w:val="36"/>
          <w:szCs w:val="36"/>
          <w:lang w:val="en-US" w:eastAsia="zh-CN"/>
        </w:rPr>
        <w:t>二〇二三年七月</w:t>
      </w:r>
    </w:p>
    <w:p>
      <w:pPr>
        <w:bidi w:val="0"/>
        <w:ind w:left="0" w:leftChars="0" w:firstLine="0" w:firstLineChars="0"/>
        <w:jc w:val="center"/>
        <w:rPr>
          <w:rFonts w:hint="default"/>
          <w:lang w:val="en-US" w:eastAsia="zh-CN"/>
        </w:rPr>
        <w:sectPr>
          <w:pgSz w:w="11906" w:h="16838"/>
          <w:pgMar w:top="1417" w:right="1417" w:bottom="1417" w:left="1417" w:header="851" w:footer="1077" w:gutter="0"/>
          <w:pgBorders>
            <w:top w:val="none" w:sz="0" w:space="0"/>
            <w:left w:val="none" w:sz="0" w:space="0"/>
            <w:bottom w:val="none" w:sz="0" w:space="0"/>
            <w:right w:val="none" w:sz="0" w:space="0"/>
          </w:pgBorders>
          <w:pgNumType w:fmt="decimal" w:start="1"/>
          <w:cols w:space="720" w:num="1"/>
          <w:docGrid w:linePitch="312" w:charSpace="0"/>
        </w:sectPr>
      </w:pPr>
      <w:r>
        <w:rPr>
          <w:rFonts w:hint="default"/>
          <w:lang w:val="en-US" w:eastAsia="zh-CN"/>
        </w:rPr>
        <w:drawing>
          <wp:inline distT="0" distB="0" distL="114300" distR="114300">
            <wp:extent cx="5648325" cy="8572500"/>
            <wp:effectExtent l="0" t="0" r="9525" b="0"/>
            <wp:docPr id="52" name="图片 52" descr="9c74d460bfdb897c2a74e3a8feb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9c74d460bfdb897c2a74e3a8feb1704"/>
                    <pic:cNvPicPr>
                      <a:picLocks noChangeAspect="1"/>
                    </pic:cNvPicPr>
                  </pic:nvPicPr>
                  <pic:blipFill>
                    <a:blip r:embed="rId13"/>
                    <a:stretch>
                      <a:fillRect/>
                    </a:stretch>
                  </pic:blipFill>
                  <pic:spPr>
                    <a:xfrm>
                      <a:off x="0" y="0"/>
                      <a:ext cx="5648325" cy="8572500"/>
                    </a:xfrm>
                    <a:prstGeom prst="rect">
                      <a:avLst/>
                    </a:prstGeom>
                  </pic:spPr>
                </pic:pic>
              </a:graphicData>
            </a:graphic>
          </wp:inline>
        </w:drawing>
      </w:r>
    </w:p>
    <w:p>
      <w:pPr>
        <w:adjustRightInd w:val="0"/>
        <w:ind w:left="0" w:leftChars="0" w:firstLine="0" w:firstLineChars="0"/>
        <w:jc w:val="both"/>
        <w:outlineLvl w:val="0"/>
        <w:rPr>
          <w:rFonts w:hint="eastAsia" w:ascii="Times New Roman" w:hAnsi="Times New Roman" w:eastAsia="宋体" w:cs="Times New Roman"/>
          <w:color w:val="auto"/>
          <w:sz w:val="38"/>
          <w:szCs w:val="38"/>
          <w:lang w:eastAsia="zh-CN"/>
        </w:rPr>
        <w:sectPr>
          <w:pgSz w:w="11906" w:h="16838"/>
          <w:pgMar w:top="1814" w:right="1531" w:bottom="1814" w:left="1531" w:header="851" w:footer="850" w:gutter="0"/>
          <w:pgBorders w:offsetFrom="page">
            <w:top w:val="none" w:sz="0" w:space="0"/>
            <w:left w:val="none" w:sz="0" w:space="0"/>
            <w:bottom w:val="none" w:sz="0" w:space="0"/>
            <w:right w:val="none" w:sz="0" w:space="0"/>
          </w:pgBorders>
          <w:cols w:space="720" w:num="1"/>
          <w:docGrid w:type="linesAndChars" w:linePitch="312" w:charSpace="0"/>
        </w:sectPr>
      </w:pPr>
      <w:r>
        <w:rPr>
          <w:rFonts w:hint="eastAsia" w:ascii="Times New Roman" w:hAnsi="Times New Roman" w:eastAsia="宋体" w:cs="Times New Roman"/>
          <w:color w:val="auto"/>
          <w:sz w:val="38"/>
          <w:szCs w:val="38"/>
          <w:lang w:eastAsia="zh-CN"/>
        </w:rPr>
        <w:drawing>
          <wp:inline distT="0" distB="0" distL="114300" distR="114300">
            <wp:extent cx="5609590" cy="8003540"/>
            <wp:effectExtent l="0" t="0" r="10160" b="16510"/>
            <wp:docPr id="25" name="图片 25" descr="建设项目环境影响报告书（表）编制情况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建设项目环境影响报告书（表）编制情况承诺书"/>
                    <pic:cNvPicPr>
                      <a:picLocks noChangeAspect="1"/>
                    </pic:cNvPicPr>
                  </pic:nvPicPr>
                  <pic:blipFill>
                    <a:blip r:embed="rId14"/>
                    <a:stretch>
                      <a:fillRect/>
                    </a:stretch>
                  </pic:blipFill>
                  <pic:spPr>
                    <a:xfrm>
                      <a:off x="0" y="0"/>
                      <a:ext cx="5609590" cy="8003540"/>
                    </a:xfrm>
                    <a:prstGeom prst="rect">
                      <a:avLst/>
                    </a:prstGeom>
                  </pic:spPr>
                </pic:pic>
              </a:graphicData>
            </a:graphic>
          </wp:inline>
        </w:drawing>
      </w:r>
      <w:r>
        <w:rPr>
          <w:rFonts w:hint="eastAsia" w:ascii="Times New Roman" w:hAnsi="Times New Roman" w:eastAsia="宋体" w:cs="Times New Roman"/>
          <w:color w:val="auto"/>
          <w:sz w:val="38"/>
          <w:szCs w:val="38"/>
          <w:lang w:eastAsia="zh-CN"/>
        </w:rPr>
        <w:drawing>
          <wp:inline distT="0" distB="0" distL="114300" distR="114300">
            <wp:extent cx="5609590" cy="8003540"/>
            <wp:effectExtent l="0" t="0" r="10160" b="16510"/>
            <wp:docPr id="13" name="图片 13" descr="编制单位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编制单位承诺书"/>
                    <pic:cNvPicPr>
                      <a:picLocks noChangeAspect="1"/>
                    </pic:cNvPicPr>
                  </pic:nvPicPr>
                  <pic:blipFill>
                    <a:blip r:embed="rId15"/>
                    <a:stretch>
                      <a:fillRect/>
                    </a:stretch>
                  </pic:blipFill>
                  <pic:spPr>
                    <a:xfrm>
                      <a:off x="0" y="0"/>
                      <a:ext cx="5609590" cy="800354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eastAsia" w:ascii="Times New Roman" w:hAnsi="Times New Roman" w:eastAsia="宋体" w:cs="Times New Roman"/>
          <w:b/>
          <w:bCs/>
          <w:color w:val="auto"/>
          <w:sz w:val="38"/>
          <w:szCs w:val="38"/>
          <w:lang w:eastAsia="zh-CN"/>
        </w:rPr>
        <w:sectPr>
          <w:pgSz w:w="11906" w:h="16838"/>
          <w:pgMar w:top="1417" w:right="1417" w:bottom="1417" w:left="1417" w:header="851" w:footer="567" w:gutter="0"/>
          <w:pgNumType w:fmt="decimal"/>
          <w:cols w:space="425" w:num="1"/>
          <w:docGrid w:type="lines" w:linePitch="312" w:charSpace="0"/>
        </w:sectPr>
      </w:pPr>
      <w:r>
        <w:rPr>
          <w:rFonts w:hint="eastAsia" w:ascii="Times New Roman" w:hAnsi="Times New Roman" w:eastAsia="宋体" w:cs="Times New Roman"/>
          <w:b/>
          <w:bCs/>
          <w:color w:val="auto"/>
          <w:sz w:val="38"/>
          <w:szCs w:val="38"/>
          <w:lang w:eastAsia="zh-CN"/>
        </w:rPr>
        <w:drawing>
          <wp:inline distT="0" distB="0" distL="114300" distR="114300">
            <wp:extent cx="5410835" cy="8865235"/>
            <wp:effectExtent l="0" t="0" r="18415" b="12065"/>
            <wp:docPr id="61" name="图片 61" descr="1c202048bce9bbe7d7d23a689f1c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1c202048bce9bbe7d7d23a689f1c114"/>
                    <pic:cNvPicPr>
                      <a:picLocks noChangeAspect="1"/>
                    </pic:cNvPicPr>
                  </pic:nvPicPr>
                  <pic:blipFill>
                    <a:blip r:embed="rId16"/>
                    <a:stretch>
                      <a:fillRect/>
                    </a:stretch>
                  </pic:blipFill>
                  <pic:spPr>
                    <a:xfrm>
                      <a:off x="0" y="0"/>
                      <a:ext cx="5410835" cy="8865235"/>
                    </a:xfrm>
                    <a:prstGeom prst="rect">
                      <a:avLst/>
                    </a:prstGeom>
                  </pic:spPr>
                </pic:pic>
              </a:graphicData>
            </a:graphic>
          </wp:inline>
        </w:drawing>
      </w:r>
    </w:p>
    <w:p>
      <w:pPr>
        <w:ind w:left="0" w:leftChars="0" w:firstLine="0" w:firstLineChars="0"/>
        <w:jc w:val="center"/>
        <w:rPr>
          <w:rFonts w:hint="eastAsia" w:eastAsia="宋体"/>
          <w:lang w:eastAsia="zh-CN"/>
        </w:rPr>
        <w:sectPr>
          <w:pgSz w:w="11906" w:h="16838"/>
          <w:pgMar w:top="1417" w:right="1417" w:bottom="1417" w:left="1417" w:header="851" w:footer="567" w:gutter="0"/>
          <w:pgNumType w:fmt="decimal"/>
          <w:cols w:space="425" w:num="1"/>
          <w:docGrid w:type="lines" w:linePitch="312" w:charSpace="0"/>
        </w:sectPr>
      </w:pPr>
      <w:r>
        <w:rPr>
          <w:rFonts w:hint="eastAsia" w:eastAsia="宋体"/>
          <w:lang w:eastAsia="zh-CN"/>
        </w:rPr>
        <w:drawing>
          <wp:inline distT="0" distB="0" distL="114300" distR="114300">
            <wp:extent cx="5589905" cy="8880475"/>
            <wp:effectExtent l="0" t="0" r="10795" b="15875"/>
            <wp:docPr id="62" name="图片 62" descr="69de930dec7a05afc6fb81fa7bd5a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69de930dec7a05afc6fb81fa7bd5a15"/>
                    <pic:cNvPicPr>
                      <a:picLocks noChangeAspect="1"/>
                    </pic:cNvPicPr>
                  </pic:nvPicPr>
                  <pic:blipFill>
                    <a:blip r:embed="rId17"/>
                    <a:stretch>
                      <a:fillRect/>
                    </a:stretch>
                  </pic:blipFill>
                  <pic:spPr>
                    <a:xfrm>
                      <a:off x="0" y="0"/>
                      <a:ext cx="5589905" cy="8880475"/>
                    </a:xfrm>
                    <a:prstGeom prst="rect">
                      <a:avLst/>
                    </a:prstGeom>
                  </pic:spPr>
                </pic:pic>
              </a:graphicData>
            </a:graphic>
          </wp:inline>
        </w:drawing>
      </w:r>
    </w:p>
    <w:p>
      <w:pPr>
        <w:ind w:left="0" w:leftChars="0" w:firstLine="0" w:firstLineChars="0"/>
        <w:jc w:val="center"/>
        <w:rPr>
          <w:rFonts w:hint="eastAsia" w:eastAsia="宋体"/>
          <w:lang w:eastAsia="zh-CN"/>
        </w:rPr>
        <w:sectPr>
          <w:pgSz w:w="11906" w:h="16838"/>
          <w:pgMar w:top="1417" w:right="1417" w:bottom="1417" w:left="1417" w:header="851" w:footer="567" w:gutter="0"/>
          <w:pgNumType w:fmt="decimal"/>
          <w:cols w:space="425" w:num="1"/>
          <w:docGrid w:type="lines" w:linePitch="312" w:charSpace="0"/>
        </w:sectPr>
      </w:pPr>
      <w:r>
        <w:drawing>
          <wp:inline distT="0" distB="0" distL="114300" distR="114300">
            <wp:extent cx="5732145" cy="8863965"/>
            <wp:effectExtent l="0" t="0" r="1905" b="13335"/>
            <wp:docPr id="60" name="图片 60" descr="ef8b6e6eba4d5cab1039a5d96f230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ef8b6e6eba4d5cab1039a5d96f2305a"/>
                    <pic:cNvPicPr>
                      <a:picLocks noChangeAspect="1"/>
                    </pic:cNvPicPr>
                  </pic:nvPicPr>
                  <pic:blipFill>
                    <a:blip r:embed="rId18"/>
                    <a:stretch>
                      <a:fillRect/>
                    </a:stretch>
                  </pic:blipFill>
                  <pic:spPr>
                    <a:xfrm>
                      <a:off x="0" y="0"/>
                      <a:ext cx="5732145" cy="8863965"/>
                    </a:xfrm>
                    <a:prstGeom prst="rect">
                      <a:avLst/>
                    </a:prstGeom>
                  </pic:spPr>
                </pic:pic>
              </a:graphicData>
            </a:graphic>
          </wp:inline>
        </w:drawing>
      </w:r>
      <w:r>
        <w:rPr>
          <w:rFonts w:hint="eastAsia" w:eastAsia="宋体"/>
          <w:lang w:eastAsia="zh-CN"/>
        </w:rPr>
        <w:drawing>
          <wp:inline distT="0" distB="0" distL="114300" distR="114300">
            <wp:extent cx="5558790" cy="8888095"/>
            <wp:effectExtent l="0" t="0" r="3810" b="8255"/>
            <wp:docPr id="63" name="图片 63" descr="72731378af1f9520c622adecfeeff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72731378af1f9520c622adecfeeff56"/>
                    <pic:cNvPicPr>
                      <a:picLocks noChangeAspect="1"/>
                    </pic:cNvPicPr>
                  </pic:nvPicPr>
                  <pic:blipFill>
                    <a:blip r:embed="rId19"/>
                    <a:stretch>
                      <a:fillRect/>
                    </a:stretch>
                  </pic:blipFill>
                  <pic:spPr>
                    <a:xfrm>
                      <a:off x="0" y="0"/>
                      <a:ext cx="5558790" cy="8888095"/>
                    </a:xfrm>
                    <a:prstGeom prst="rect">
                      <a:avLst/>
                    </a:prstGeom>
                  </pic:spPr>
                </pic:pic>
              </a:graphicData>
            </a:graphic>
          </wp:inline>
        </w:drawing>
      </w:r>
      <w:r>
        <w:rPr>
          <w:rFonts w:hint="eastAsia" w:eastAsia="宋体"/>
          <w:lang w:eastAsia="zh-CN"/>
        </w:rPr>
        <w:drawing>
          <wp:inline distT="0" distB="0" distL="114300" distR="114300">
            <wp:extent cx="5542280" cy="8879840"/>
            <wp:effectExtent l="0" t="0" r="1270" b="16510"/>
            <wp:docPr id="59" name="图片 59" descr="ab9af1214523e4a9ab20042220f6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ab9af1214523e4a9ab20042220f6941"/>
                    <pic:cNvPicPr>
                      <a:picLocks noChangeAspect="1"/>
                    </pic:cNvPicPr>
                  </pic:nvPicPr>
                  <pic:blipFill>
                    <a:blip r:embed="rId20"/>
                    <a:stretch>
                      <a:fillRect/>
                    </a:stretch>
                  </pic:blipFill>
                  <pic:spPr>
                    <a:xfrm>
                      <a:off x="0" y="0"/>
                      <a:ext cx="5542280" cy="8879840"/>
                    </a:xfrm>
                    <a:prstGeom prst="rect">
                      <a:avLst/>
                    </a:prstGeom>
                  </pic:spPr>
                </pic:pic>
              </a:graphicData>
            </a:graphic>
          </wp:inline>
        </w:drawing>
      </w:r>
      <w:r>
        <w:rPr>
          <w:rFonts w:hint="eastAsia" w:eastAsia="宋体"/>
          <w:lang w:eastAsia="zh-CN"/>
        </w:rPr>
        <w:drawing>
          <wp:inline distT="0" distB="0" distL="114300" distR="114300">
            <wp:extent cx="8601710" cy="5700395"/>
            <wp:effectExtent l="0" t="0" r="14605" b="8890"/>
            <wp:docPr id="58" name="图片 58" descr="0a62ab25e8fb5d18a80a40c5272c7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0a62ab25e8fb5d18a80a40c5272c77a"/>
                    <pic:cNvPicPr>
                      <a:picLocks noChangeAspect="1"/>
                    </pic:cNvPicPr>
                  </pic:nvPicPr>
                  <pic:blipFill>
                    <a:blip r:embed="rId21"/>
                    <a:stretch>
                      <a:fillRect/>
                    </a:stretch>
                  </pic:blipFill>
                  <pic:spPr>
                    <a:xfrm rot="5400000">
                      <a:off x="0" y="0"/>
                      <a:ext cx="8601710" cy="5700395"/>
                    </a:xfrm>
                    <a:prstGeom prst="rect">
                      <a:avLst/>
                    </a:prstGeom>
                  </pic:spPr>
                </pic:pic>
              </a:graphicData>
            </a:graphic>
          </wp:inline>
        </w:drawing>
      </w:r>
    </w:p>
    <w:p>
      <w:pPr>
        <w:bidi w:val="0"/>
        <w:ind w:left="0" w:leftChars="0" w:firstLine="0" w:firstLineChars="0"/>
        <w:jc w:val="both"/>
        <w:rPr>
          <w:rFonts w:hint="default"/>
          <w:b/>
          <w:bCs/>
          <w:lang w:val="en-US" w:eastAsia="zh-CN"/>
        </w:rPr>
        <w:sectPr>
          <w:pgSz w:w="11906" w:h="16838"/>
          <w:pgMar w:top="1417" w:right="1417" w:bottom="1417" w:left="1417" w:header="851" w:footer="567" w:gutter="0"/>
          <w:pgNumType w:fmt="decimal"/>
          <w:cols w:space="425" w:num="1"/>
          <w:docGrid w:type="lines" w:linePitch="312" w:charSpace="0"/>
        </w:sectPr>
      </w:pPr>
      <w:r>
        <w:rPr>
          <w:rFonts w:hint="default"/>
          <w:b/>
          <w:bCs/>
          <w:lang w:val="en-US" w:eastAsia="zh-CN"/>
        </w:rPr>
        <w:drawing>
          <wp:inline distT="0" distB="0" distL="114300" distR="114300">
            <wp:extent cx="5756275" cy="8213090"/>
            <wp:effectExtent l="0" t="0" r="15875" b="16510"/>
            <wp:docPr id="46" name="图片 46" descr="修改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修改说明"/>
                    <pic:cNvPicPr>
                      <a:picLocks noChangeAspect="1"/>
                    </pic:cNvPicPr>
                  </pic:nvPicPr>
                  <pic:blipFill>
                    <a:blip r:embed="rId22"/>
                    <a:stretch>
                      <a:fillRect/>
                    </a:stretch>
                  </pic:blipFill>
                  <pic:spPr>
                    <a:xfrm>
                      <a:off x="0" y="0"/>
                      <a:ext cx="5756275" cy="8213090"/>
                    </a:xfrm>
                    <a:prstGeom prst="rect">
                      <a:avLst/>
                    </a:prstGeom>
                  </pic:spPr>
                </pic:pic>
              </a:graphicData>
            </a:graphic>
          </wp:inline>
        </w:drawing>
      </w:r>
    </w:p>
    <w:sdt>
      <w:sdtPr>
        <w:rPr>
          <w:lang w:val="en-US" w:eastAsia="zh-CN"/>
        </w:rPr>
        <w:id w:val="147481620"/>
        <w15:color w:val="DBDBDB"/>
        <w:docPartObj>
          <w:docPartGallery w:val="Table of Contents"/>
          <w:docPartUnique/>
        </w:docPartObj>
      </w:sdtPr>
      <w:sdtEndPr>
        <w:rPr>
          <w:rFonts w:hint="eastAsia" w:ascii="Times New Roman" w:hAnsi="Times New Roman" w:eastAsia="宋体" w:cs="Times New Roman"/>
          <w:kern w:val="2"/>
          <w:sz w:val="24"/>
          <w:szCs w:val="24"/>
          <w:lang w:val="en-US" w:eastAsia="zh-CN" w:bidi="ar-SA"/>
        </w:rPr>
      </w:sdtEndPr>
      <w:sdtContent>
        <w:p>
          <w:pPr>
            <w:pStyle w:val="13"/>
            <w:bidi w:val="0"/>
            <w:jc w:val="center"/>
            <w:rPr>
              <w:b/>
              <w:bCs/>
              <w:sz w:val="32"/>
              <w:szCs w:val="32"/>
            </w:rPr>
          </w:pPr>
          <w:r>
            <w:rPr>
              <w:b/>
              <w:bCs/>
              <w:sz w:val="32"/>
              <w:szCs w:val="32"/>
            </w:rPr>
            <w:t>目</w:t>
          </w:r>
          <w:r>
            <w:rPr>
              <w:rFonts w:hint="eastAsia"/>
              <w:b/>
              <w:bCs/>
              <w:sz w:val="32"/>
              <w:szCs w:val="32"/>
              <w:lang w:val="en-US" w:eastAsia="zh-CN"/>
            </w:rPr>
            <w:t xml:space="preserve">  </w:t>
          </w:r>
          <w:r>
            <w:rPr>
              <w:b/>
              <w:bCs/>
              <w:sz w:val="32"/>
              <w:szCs w:val="32"/>
            </w:rPr>
            <w:t>录</w:t>
          </w:r>
        </w:p>
        <w:p>
          <w:pPr>
            <w:pStyle w:val="13"/>
            <w:tabs>
              <w:tab w:val="right" w:leader="dot" w:pos="9072"/>
            </w:tabs>
          </w:pPr>
          <w:r>
            <w:rPr>
              <w:rFonts w:hint="eastAsia"/>
            </w:rPr>
            <w:fldChar w:fldCharType="begin"/>
          </w:r>
          <w:r>
            <w:rPr>
              <w:rFonts w:hint="eastAsia"/>
            </w:rPr>
            <w:instrText xml:space="preserve">TOC \o "1-1" \h \u </w:instrText>
          </w:r>
          <w:r>
            <w:rPr>
              <w:rFonts w:hint="eastAsia"/>
            </w:rPr>
            <w:fldChar w:fldCharType="separate"/>
          </w:r>
          <w:r>
            <w:rPr>
              <w:rFonts w:hint="eastAsia"/>
            </w:rPr>
            <w:fldChar w:fldCharType="begin"/>
          </w:r>
          <w:r>
            <w:rPr>
              <w:rFonts w:hint="eastAsia"/>
            </w:rPr>
            <w:instrText xml:space="preserve"> HYPERLINK \l _Toc2308 </w:instrText>
          </w:r>
          <w:r>
            <w:rPr>
              <w:rFonts w:hint="eastAsia"/>
            </w:rPr>
            <w:fldChar w:fldCharType="separate"/>
          </w:r>
          <w:r>
            <w:rPr>
              <w:rFonts w:hint="eastAsia"/>
              <w:lang w:val="en-US" w:eastAsia="zh-CN"/>
            </w:rPr>
            <w:t>一、建设项目基本情况</w:t>
          </w:r>
          <w:r>
            <w:tab/>
          </w:r>
          <w:r>
            <w:fldChar w:fldCharType="begin"/>
          </w:r>
          <w:r>
            <w:instrText xml:space="preserve"> PAGEREF _Toc2308 \h </w:instrText>
          </w:r>
          <w:r>
            <w:fldChar w:fldCharType="separate"/>
          </w:r>
          <w:r>
            <w:t>1</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_Toc2164 </w:instrText>
          </w:r>
          <w:r>
            <w:rPr>
              <w:rFonts w:hint="eastAsia"/>
            </w:rPr>
            <w:fldChar w:fldCharType="separate"/>
          </w:r>
          <w:r>
            <w:rPr>
              <w:rFonts w:hint="eastAsia"/>
              <w:lang w:val="en-US" w:eastAsia="zh-CN"/>
            </w:rPr>
            <w:t>二、建设内容</w:t>
          </w:r>
          <w:r>
            <w:tab/>
          </w:r>
          <w:r>
            <w:fldChar w:fldCharType="begin"/>
          </w:r>
          <w:r>
            <w:instrText xml:space="preserve"> PAGEREF _Toc2164 \h </w:instrText>
          </w:r>
          <w:r>
            <w:fldChar w:fldCharType="separate"/>
          </w:r>
          <w:r>
            <w:t>7</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_Toc31597 </w:instrText>
          </w:r>
          <w:r>
            <w:rPr>
              <w:rFonts w:hint="eastAsia"/>
            </w:rPr>
            <w:fldChar w:fldCharType="separate"/>
          </w:r>
          <w:r>
            <w:rPr>
              <w:rFonts w:hint="eastAsia"/>
              <w:lang w:val="en-US" w:eastAsia="zh-CN"/>
            </w:rPr>
            <w:t>三、生态环境现状、保护目标及评价标准</w:t>
          </w:r>
          <w:r>
            <w:tab/>
          </w:r>
          <w:r>
            <w:fldChar w:fldCharType="begin"/>
          </w:r>
          <w:r>
            <w:instrText xml:space="preserve"> PAGEREF _Toc31597 \h </w:instrText>
          </w:r>
          <w:r>
            <w:fldChar w:fldCharType="separate"/>
          </w:r>
          <w:r>
            <w:t>23</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_Toc14296 </w:instrText>
          </w:r>
          <w:r>
            <w:rPr>
              <w:rFonts w:hint="eastAsia"/>
            </w:rPr>
            <w:fldChar w:fldCharType="separate"/>
          </w:r>
          <w:r>
            <w:rPr>
              <w:rFonts w:hint="eastAsia"/>
              <w:lang w:val="en-US" w:eastAsia="zh-CN"/>
            </w:rPr>
            <w:t>四、生态环境影响分析</w:t>
          </w:r>
          <w:r>
            <w:tab/>
          </w:r>
          <w:r>
            <w:fldChar w:fldCharType="begin"/>
          </w:r>
          <w:r>
            <w:instrText xml:space="preserve"> PAGEREF _Toc14296 \h </w:instrText>
          </w:r>
          <w:r>
            <w:fldChar w:fldCharType="separate"/>
          </w:r>
          <w:r>
            <w:t>32</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_Toc18181 </w:instrText>
          </w:r>
          <w:r>
            <w:rPr>
              <w:rFonts w:hint="eastAsia"/>
            </w:rPr>
            <w:fldChar w:fldCharType="separate"/>
          </w:r>
          <w:r>
            <w:rPr>
              <w:rFonts w:hint="eastAsia"/>
              <w:lang w:val="en-US" w:eastAsia="zh-CN"/>
            </w:rPr>
            <w:t>五、主要生态环境保护措施</w:t>
          </w:r>
          <w:r>
            <w:tab/>
          </w:r>
          <w:r>
            <w:fldChar w:fldCharType="begin"/>
          </w:r>
          <w:r>
            <w:instrText xml:space="preserve"> PAGEREF _Toc18181 \h </w:instrText>
          </w:r>
          <w:r>
            <w:fldChar w:fldCharType="separate"/>
          </w:r>
          <w:r>
            <w:t>51</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_Toc32486 </w:instrText>
          </w:r>
          <w:r>
            <w:rPr>
              <w:rFonts w:hint="eastAsia"/>
            </w:rPr>
            <w:fldChar w:fldCharType="separate"/>
          </w:r>
          <w:r>
            <w:rPr>
              <w:rFonts w:hint="eastAsia"/>
              <w:lang w:val="en-US" w:eastAsia="zh-CN"/>
            </w:rPr>
            <w:t>六、生态环境保护措施监督检查清单</w:t>
          </w:r>
          <w:r>
            <w:tab/>
          </w:r>
          <w:r>
            <w:fldChar w:fldCharType="begin"/>
          </w:r>
          <w:r>
            <w:instrText xml:space="preserve"> PAGEREF _Toc32486 \h </w:instrText>
          </w:r>
          <w:r>
            <w:fldChar w:fldCharType="separate"/>
          </w:r>
          <w:r>
            <w:t>67</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_Toc20215 </w:instrText>
          </w:r>
          <w:r>
            <w:rPr>
              <w:rFonts w:hint="eastAsia"/>
            </w:rPr>
            <w:fldChar w:fldCharType="separate"/>
          </w:r>
          <w:r>
            <w:rPr>
              <w:rFonts w:hint="eastAsia"/>
              <w:lang w:val="en-US" w:eastAsia="zh-CN"/>
            </w:rPr>
            <w:t>七、结论</w:t>
          </w:r>
          <w:r>
            <w:tab/>
          </w:r>
          <w:r>
            <w:fldChar w:fldCharType="begin"/>
          </w:r>
          <w:r>
            <w:instrText xml:space="preserve"> PAGEREF _Toc20215 \h </w:instrText>
          </w:r>
          <w:r>
            <w:fldChar w:fldCharType="separate"/>
          </w:r>
          <w:r>
            <w:t>69</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_Toc16342 </w:instrText>
          </w:r>
          <w:r>
            <w:rPr>
              <w:rFonts w:hint="eastAsia"/>
            </w:rPr>
            <w:fldChar w:fldCharType="separate"/>
          </w:r>
          <w:r>
            <w:rPr>
              <w:rFonts w:hint="eastAsia"/>
              <w:lang w:val="en-US" w:eastAsia="zh-CN"/>
            </w:rPr>
            <w:t>附图1 建设项目地理位置图</w:t>
          </w:r>
          <w:r>
            <w:tab/>
          </w:r>
          <w:r>
            <w:fldChar w:fldCharType="begin"/>
          </w:r>
          <w:r>
            <w:instrText xml:space="preserve"> PAGEREF _Toc16342 \h </w:instrText>
          </w:r>
          <w:r>
            <w:fldChar w:fldCharType="separate"/>
          </w:r>
          <w:r>
            <w:t>70</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_Toc12657 </w:instrText>
          </w:r>
          <w:r>
            <w:rPr>
              <w:rFonts w:hint="eastAsia"/>
            </w:rPr>
            <w:fldChar w:fldCharType="separate"/>
          </w:r>
          <w:r>
            <w:rPr>
              <w:rFonts w:hint="eastAsia"/>
              <w:lang w:val="en-US" w:eastAsia="zh-CN"/>
            </w:rPr>
            <w:t>附图2 项目所在流域水系图</w:t>
          </w:r>
          <w:r>
            <w:tab/>
          </w:r>
          <w:r>
            <w:fldChar w:fldCharType="begin"/>
          </w:r>
          <w:r>
            <w:instrText xml:space="preserve"> PAGEREF _Toc12657 \h </w:instrText>
          </w:r>
          <w:r>
            <w:fldChar w:fldCharType="separate"/>
          </w:r>
          <w:r>
            <w:t>71</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_Toc6571 </w:instrText>
          </w:r>
          <w:r>
            <w:rPr>
              <w:rFonts w:hint="eastAsia"/>
            </w:rPr>
            <w:fldChar w:fldCharType="separate"/>
          </w:r>
          <w:r>
            <w:rPr>
              <w:rFonts w:hint="eastAsia"/>
              <w:lang w:val="en-US" w:eastAsia="zh-CN"/>
            </w:rPr>
            <w:t>附图3 衡阳市环境管控单元图</w:t>
          </w:r>
          <w:r>
            <w:tab/>
          </w:r>
          <w:r>
            <w:fldChar w:fldCharType="begin"/>
          </w:r>
          <w:r>
            <w:instrText xml:space="preserve"> PAGEREF _Toc6571 \h </w:instrText>
          </w:r>
          <w:r>
            <w:fldChar w:fldCharType="separate"/>
          </w:r>
          <w:r>
            <w:t>72</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_Toc19658 </w:instrText>
          </w:r>
          <w:r>
            <w:rPr>
              <w:rFonts w:hint="eastAsia"/>
            </w:rPr>
            <w:fldChar w:fldCharType="separate"/>
          </w:r>
          <w:r>
            <w:rPr>
              <w:rFonts w:hint="eastAsia"/>
              <w:lang w:val="en-US" w:eastAsia="zh-CN"/>
            </w:rPr>
            <w:t>附图4 石鼓区土地利用现状图</w:t>
          </w:r>
          <w:r>
            <w:tab/>
          </w:r>
          <w:r>
            <w:fldChar w:fldCharType="begin"/>
          </w:r>
          <w:r>
            <w:instrText xml:space="preserve"> PAGEREF _Toc19658 \h </w:instrText>
          </w:r>
          <w:r>
            <w:fldChar w:fldCharType="separate"/>
          </w:r>
          <w:r>
            <w:t>73</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_Toc18232 </w:instrText>
          </w:r>
          <w:r>
            <w:rPr>
              <w:rFonts w:hint="eastAsia"/>
            </w:rPr>
            <w:fldChar w:fldCharType="separate"/>
          </w:r>
          <w:r>
            <w:rPr>
              <w:rFonts w:hint="eastAsia"/>
              <w:lang w:val="en-US" w:eastAsia="zh-CN"/>
            </w:rPr>
            <w:t>附图5 石鼓区植被现状图</w:t>
          </w:r>
          <w:r>
            <w:tab/>
          </w:r>
          <w:r>
            <w:fldChar w:fldCharType="begin"/>
          </w:r>
          <w:r>
            <w:instrText xml:space="preserve"> PAGEREF _Toc18232 \h </w:instrText>
          </w:r>
          <w:r>
            <w:fldChar w:fldCharType="separate"/>
          </w:r>
          <w:r>
            <w:t>74</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_Toc22267 </w:instrText>
          </w:r>
          <w:r>
            <w:rPr>
              <w:rFonts w:hint="eastAsia"/>
            </w:rPr>
            <w:fldChar w:fldCharType="separate"/>
          </w:r>
          <w:r>
            <w:rPr>
              <w:rFonts w:hint="eastAsia"/>
              <w:lang w:val="en-US" w:eastAsia="zh-CN"/>
            </w:rPr>
            <w:t>附图6 项目总平面布置图</w:t>
          </w:r>
          <w:r>
            <w:tab/>
          </w:r>
          <w:r>
            <w:fldChar w:fldCharType="begin"/>
          </w:r>
          <w:r>
            <w:instrText xml:space="preserve"> PAGEREF _Toc22267 \h </w:instrText>
          </w:r>
          <w:r>
            <w:fldChar w:fldCharType="separate"/>
          </w:r>
          <w:r>
            <w:t>75</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_Toc15164 </w:instrText>
          </w:r>
          <w:r>
            <w:rPr>
              <w:rFonts w:hint="eastAsia"/>
            </w:rPr>
            <w:fldChar w:fldCharType="separate"/>
          </w:r>
          <w:r>
            <w:rPr>
              <w:rFonts w:hint="eastAsia"/>
              <w:lang w:val="en-US" w:eastAsia="zh-CN"/>
            </w:rPr>
            <w:t>附图7 项目施工总布置图</w:t>
          </w:r>
          <w:r>
            <w:tab/>
          </w:r>
          <w:r>
            <w:fldChar w:fldCharType="begin"/>
          </w:r>
          <w:r>
            <w:instrText xml:space="preserve"> PAGEREF _Toc15164 \h </w:instrText>
          </w:r>
          <w:r>
            <w:fldChar w:fldCharType="separate"/>
          </w:r>
          <w:r>
            <w:t>76</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_Toc25035 </w:instrText>
          </w:r>
          <w:r>
            <w:rPr>
              <w:rFonts w:hint="eastAsia"/>
            </w:rPr>
            <w:fldChar w:fldCharType="separate"/>
          </w:r>
          <w:r>
            <w:rPr>
              <w:rFonts w:hint="eastAsia"/>
              <w:lang w:val="en-US" w:eastAsia="zh-CN"/>
            </w:rPr>
            <w:t>附图8 厂界外50米范围内环境保护目标分布</w:t>
          </w:r>
          <w:r>
            <w:rPr>
              <w:rFonts w:hint="default"/>
              <w:lang w:val="en-US" w:eastAsia="zh-CN"/>
            </w:rPr>
            <w:t>图</w:t>
          </w:r>
          <w:r>
            <w:tab/>
          </w:r>
          <w:r>
            <w:fldChar w:fldCharType="begin"/>
          </w:r>
          <w:r>
            <w:instrText xml:space="preserve"> PAGEREF _Toc25035 \h </w:instrText>
          </w:r>
          <w:r>
            <w:fldChar w:fldCharType="separate"/>
          </w:r>
          <w:r>
            <w:t>77</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_Toc2653 </w:instrText>
          </w:r>
          <w:r>
            <w:rPr>
              <w:rFonts w:hint="eastAsia"/>
            </w:rPr>
            <w:fldChar w:fldCharType="separate"/>
          </w:r>
          <w:r>
            <w:rPr>
              <w:rFonts w:hint="eastAsia"/>
              <w:lang w:val="en-US" w:eastAsia="zh-CN"/>
            </w:rPr>
            <w:t>附图9 厂界外500米范围内环境保护目标分布</w:t>
          </w:r>
          <w:r>
            <w:rPr>
              <w:rFonts w:hint="default"/>
              <w:lang w:val="en-US" w:eastAsia="zh-CN"/>
            </w:rPr>
            <w:t>图</w:t>
          </w:r>
          <w:r>
            <w:tab/>
          </w:r>
          <w:r>
            <w:fldChar w:fldCharType="begin"/>
          </w:r>
          <w:r>
            <w:instrText xml:space="preserve"> PAGEREF _Toc2653 \h </w:instrText>
          </w:r>
          <w:r>
            <w:fldChar w:fldCharType="separate"/>
          </w:r>
          <w:r>
            <w:t>78</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_Toc14677 </w:instrText>
          </w:r>
          <w:r>
            <w:rPr>
              <w:rFonts w:hint="eastAsia"/>
            </w:rPr>
            <w:fldChar w:fldCharType="separate"/>
          </w:r>
          <w:r>
            <w:rPr>
              <w:rFonts w:hint="eastAsia"/>
              <w:lang w:val="en-US" w:eastAsia="zh-CN"/>
            </w:rPr>
            <w:t>附图10 生态环境保护措施平面布置示意图</w:t>
          </w:r>
          <w:r>
            <w:tab/>
          </w:r>
          <w:r>
            <w:fldChar w:fldCharType="begin"/>
          </w:r>
          <w:r>
            <w:instrText xml:space="preserve"> PAGEREF _Toc14677 \h </w:instrText>
          </w:r>
          <w:r>
            <w:fldChar w:fldCharType="separate"/>
          </w:r>
          <w:r>
            <w:t>79</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_Toc31251 </w:instrText>
          </w:r>
          <w:r>
            <w:rPr>
              <w:rFonts w:hint="eastAsia"/>
            </w:rPr>
            <w:fldChar w:fldCharType="separate"/>
          </w:r>
          <w:r>
            <w:rPr>
              <w:rFonts w:hint="eastAsia"/>
              <w:lang w:val="en-US" w:eastAsia="zh-CN"/>
            </w:rPr>
            <w:t>附图11 生态环境保护典型措施设计图</w:t>
          </w:r>
          <w:r>
            <w:tab/>
          </w:r>
          <w:r>
            <w:fldChar w:fldCharType="begin"/>
          </w:r>
          <w:r>
            <w:instrText xml:space="preserve"> PAGEREF _Toc31251 \h </w:instrText>
          </w:r>
          <w:r>
            <w:fldChar w:fldCharType="separate"/>
          </w:r>
          <w:r>
            <w:t>82</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_Toc14297 </w:instrText>
          </w:r>
          <w:r>
            <w:rPr>
              <w:rFonts w:hint="eastAsia"/>
            </w:rPr>
            <w:fldChar w:fldCharType="separate"/>
          </w:r>
          <w:r>
            <w:rPr>
              <w:rFonts w:hint="eastAsia" w:ascii="宋体" w:hAnsi="宋体" w:eastAsia="宋体" w:cs="宋体"/>
              <w:bCs/>
              <w:szCs w:val="24"/>
              <w:lang w:val="en-US" w:eastAsia="zh-CN"/>
            </w:rPr>
            <w:t>附件</w:t>
          </w:r>
          <w:r>
            <w:rPr>
              <w:rFonts w:hint="default" w:ascii="Times New Roman" w:hAnsi="Times New Roman" w:eastAsia="宋体" w:cs="Times New Roman"/>
              <w:bCs/>
              <w:szCs w:val="24"/>
              <w:lang w:val="en-US" w:eastAsia="zh-CN"/>
            </w:rPr>
            <w:t>1</w:t>
          </w:r>
          <w:r>
            <w:rPr>
              <w:rFonts w:hint="eastAsia" w:ascii="宋体" w:hAnsi="宋体" w:eastAsia="宋体" w:cs="宋体"/>
              <w:bCs/>
              <w:szCs w:val="24"/>
              <w:lang w:val="en-US" w:eastAsia="zh-CN"/>
            </w:rPr>
            <w:t xml:space="preserve"> 备案证明</w:t>
          </w:r>
          <w:r>
            <w:tab/>
          </w:r>
          <w:r>
            <w:fldChar w:fldCharType="begin"/>
          </w:r>
          <w:r>
            <w:instrText xml:space="preserve"> PAGEREF _Toc14297 \h </w:instrText>
          </w:r>
          <w:r>
            <w:fldChar w:fldCharType="separate"/>
          </w:r>
          <w:r>
            <w:t>83</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_Toc953 </w:instrText>
          </w:r>
          <w:r>
            <w:rPr>
              <w:rFonts w:hint="eastAsia"/>
            </w:rPr>
            <w:fldChar w:fldCharType="separate"/>
          </w:r>
          <w:r>
            <w:rPr>
              <w:rFonts w:hint="default"/>
              <w:lang w:val="en-US" w:eastAsia="zh-CN"/>
            </w:rPr>
            <w:t>附件</w:t>
          </w:r>
          <w:r>
            <w:rPr>
              <w:rFonts w:hint="eastAsia"/>
              <w:lang w:val="en-US" w:eastAsia="zh-CN"/>
            </w:rPr>
            <w:t>2 营业执照</w:t>
          </w:r>
          <w:r>
            <w:tab/>
          </w:r>
          <w:r>
            <w:fldChar w:fldCharType="begin"/>
          </w:r>
          <w:r>
            <w:instrText xml:space="preserve"> PAGEREF _Toc953 \h </w:instrText>
          </w:r>
          <w:r>
            <w:fldChar w:fldCharType="separate"/>
          </w:r>
          <w:r>
            <w:t>87</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_Toc16627 </w:instrText>
          </w:r>
          <w:r>
            <w:rPr>
              <w:rFonts w:hint="eastAsia"/>
            </w:rPr>
            <w:fldChar w:fldCharType="separate"/>
          </w:r>
          <w:r>
            <w:rPr>
              <w:rFonts w:hint="default"/>
              <w:lang w:val="en-US" w:eastAsia="zh-CN"/>
            </w:rPr>
            <w:t>附件</w:t>
          </w:r>
          <w:r>
            <w:rPr>
              <w:rFonts w:hint="eastAsia"/>
              <w:lang w:val="en-US" w:eastAsia="zh-CN"/>
            </w:rPr>
            <w:t>3 建设单位法人代表</w:t>
          </w:r>
          <w:r>
            <w:tab/>
          </w:r>
          <w:r>
            <w:fldChar w:fldCharType="begin"/>
          </w:r>
          <w:r>
            <w:instrText xml:space="preserve"> PAGEREF _Toc16627 \h </w:instrText>
          </w:r>
          <w:r>
            <w:fldChar w:fldCharType="separate"/>
          </w:r>
          <w:r>
            <w:t>88</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_Toc21859 </w:instrText>
          </w:r>
          <w:r>
            <w:rPr>
              <w:rFonts w:hint="eastAsia"/>
            </w:rPr>
            <w:fldChar w:fldCharType="separate"/>
          </w:r>
          <w:r>
            <w:rPr>
              <w:rFonts w:hint="default"/>
              <w:lang w:val="en-US" w:eastAsia="zh-CN"/>
            </w:rPr>
            <w:t>附件</w:t>
          </w:r>
          <w:r>
            <w:rPr>
              <w:rFonts w:hint="eastAsia"/>
              <w:lang w:val="en-US" w:eastAsia="zh-CN"/>
            </w:rPr>
            <w:t xml:space="preserve">4 </w:t>
          </w:r>
          <w:r>
            <w:rPr>
              <w:rFonts w:hint="default"/>
              <w:lang w:val="en-US" w:eastAsia="zh-CN"/>
            </w:rPr>
            <w:t>委托书</w:t>
          </w:r>
          <w:r>
            <w:tab/>
          </w:r>
          <w:r>
            <w:fldChar w:fldCharType="begin"/>
          </w:r>
          <w:r>
            <w:instrText xml:space="preserve"> PAGEREF _Toc21859 \h </w:instrText>
          </w:r>
          <w:r>
            <w:fldChar w:fldCharType="separate"/>
          </w:r>
          <w:r>
            <w:t>89</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_Toc26543 </w:instrText>
          </w:r>
          <w:r>
            <w:rPr>
              <w:rFonts w:hint="eastAsia"/>
            </w:rPr>
            <w:fldChar w:fldCharType="separate"/>
          </w:r>
          <w:r>
            <w:rPr>
              <w:rFonts w:hint="default"/>
              <w:lang w:val="en-US" w:eastAsia="zh-CN"/>
            </w:rPr>
            <w:t>附件</w:t>
          </w:r>
          <w:r>
            <w:rPr>
              <w:rFonts w:hint="eastAsia"/>
              <w:lang w:val="en-US" w:eastAsia="zh-CN"/>
            </w:rPr>
            <w:t>5 规划条件通知书</w:t>
          </w:r>
          <w:r>
            <w:tab/>
          </w:r>
          <w:r>
            <w:fldChar w:fldCharType="begin"/>
          </w:r>
          <w:r>
            <w:instrText xml:space="preserve"> PAGEREF _Toc26543 \h </w:instrText>
          </w:r>
          <w:r>
            <w:fldChar w:fldCharType="separate"/>
          </w:r>
          <w:r>
            <w:t>90</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_Toc26152 </w:instrText>
          </w:r>
          <w:r>
            <w:rPr>
              <w:rFonts w:hint="eastAsia"/>
            </w:rPr>
            <w:fldChar w:fldCharType="separate"/>
          </w:r>
          <w:r>
            <w:rPr>
              <w:rFonts w:hint="eastAsia"/>
              <w:lang w:val="en-US" w:eastAsia="zh-CN"/>
            </w:rPr>
            <w:t>附件6 衡阳市石鼓区第八片“来雁新城”（华侨城）控制性详细规划</w:t>
          </w:r>
          <w:r>
            <w:tab/>
          </w:r>
          <w:r>
            <w:fldChar w:fldCharType="begin"/>
          </w:r>
          <w:r>
            <w:instrText xml:space="preserve"> PAGEREF _Toc26152 \h </w:instrText>
          </w:r>
          <w:r>
            <w:fldChar w:fldCharType="separate"/>
          </w:r>
          <w:r>
            <w:t>94</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_Toc7697 </w:instrText>
          </w:r>
          <w:r>
            <w:rPr>
              <w:rFonts w:hint="eastAsia"/>
            </w:rPr>
            <w:fldChar w:fldCharType="separate"/>
          </w:r>
          <w:r>
            <w:rPr>
              <w:rFonts w:hint="default"/>
              <w:lang w:val="en-US" w:eastAsia="zh-CN"/>
            </w:rPr>
            <w:t>附件</w:t>
          </w:r>
          <w:r>
            <w:rPr>
              <w:rFonts w:hint="eastAsia"/>
              <w:lang w:val="en-US" w:eastAsia="zh-CN"/>
            </w:rPr>
            <w:t>7 建设用地规划许可证</w:t>
          </w:r>
          <w:r>
            <w:tab/>
          </w:r>
          <w:r>
            <w:fldChar w:fldCharType="begin"/>
          </w:r>
          <w:r>
            <w:instrText xml:space="preserve"> PAGEREF _Toc7697 \h </w:instrText>
          </w:r>
          <w:r>
            <w:fldChar w:fldCharType="separate"/>
          </w:r>
          <w:r>
            <w:t>95</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_Toc8710 </w:instrText>
          </w:r>
          <w:r>
            <w:rPr>
              <w:rFonts w:hint="eastAsia"/>
            </w:rPr>
            <w:fldChar w:fldCharType="separate"/>
          </w:r>
          <w:r>
            <w:rPr>
              <w:rFonts w:hint="default"/>
              <w:lang w:val="en-US" w:eastAsia="zh-CN"/>
            </w:rPr>
            <w:t>附件</w:t>
          </w:r>
          <w:r>
            <w:rPr>
              <w:rFonts w:hint="eastAsia"/>
              <w:lang w:val="en-US" w:eastAsia="zh-CN"/>
            </w:rPr>
            <w:t>8 建设用地规划审批单</w:t>
          </w:r>
          <w:r>
            <w:tab/>
          </w:r>
          <w:r>
            <w:fldChar w:fldCharType="begin"/>
          </w:r>
          <w:r>
            <w:instrText xml:space="preserve"> PAGEREF _Toc8710 \h </w:instrText>
          </w:r>
          <w:r>
            <w:fldChar w:fldCharType="separate"/>
          </w:r>
          <w:r>
            <w:t>97</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_Toc523 </w:instrText>
          </w:r>
          <w:r>
            <w:rPr>
              <w:rFonts w:hint="eastAsia"/>
            </w:rPr>
            <w:fldChar w:fldCharType="separate"/>
          </w:r>
          <w:r>
            <w:rPr>
              <w:rFonts w:hint="default"/>
              <w:lang w:val="en-US" w:eastAsia="zh-CN"/>
            </w:rPr>
            <w:t>附件</w:t>
          </w:r>
          <w:r>
            <w:rPr>
              <w:rFonts w:hint="eastAsia"/>
              <w:lang w:val="en-US" w:eastAsia="zh-CN"/>
            </w:rPr>
            <w:t>9 建设用地规划红线图</w:t>
          </w:r>
          <w:r>
            <w:tab/>
          </w:r>
          <w:r>
            <w:fldChar w:fldCharType="begin"/>
          </w:r>
          <w:r>
            <w:instrText xml:space="preserve"> PAGEREF _Toc523 \h </w:instrText>
          </w:r>
          <w:r>
            <w:fldChar w:fldCharType="separate"/>
          </w:r>
          <w:r>
            <w:t>99</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_Toc4482 </w:instrText>
          </w:r>
          <w:r>
            <w:rPr>
              <w:rFonts w:hint="eastAsia"/>
            </w:rPr>
            <w:fldChar w:fldCharType="separate"/>
          </w:r>
          <w:r>
            <w:rPr>
              <w:rFonts w:hint="default"/>
              <w:lang w:val="en-US" w:eastAsia="zh-CN"/>
            </w:rPr>
            <w:t>附件</w:t>
          </w:r>
          <w:r>
            <w:rPr>
              <w:rFonts w:hint="eastAsia"/>
              <w:lang w:val="en-US" w:eastAsia="zh-CN"/>
            </w:rPr>
            <w:t>10 建设工程规划许可证</w:t>
          </w:r>
          <w:r>
            <w:tab/>
          </w:r>
          <w:r>
            <w:fldChar w:fldCharType="begin"/>
          </w:r>
          <w:r>
            <w:instrText xml:space="preserve"> PAGEREF _Toc4482 \h </w:instrText>
          </w:r>
          <w:r>
            <w:fldChar w:fldCharType="separate"/>
          </w:r>
          <w:r>
            <w:t>101</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_Toc15095 </w:instrText>
          </w:r>
          <w:r>
            <w:rPr>
              <w:rFonts w:hint="eastAsia"/>
            </w:rPr>
            <w:fldChar w:fldCharType="separate"/>
          </w:r>
          <w:r>
            <w:rPr>
              <w:rFonts w:hint="default"/>
              <w:lang w:val="en-US" w:eastAsia="zh-CN"/>
            </w:rPr>
            <w:t>附件</w:t>
          </w:r>
          <w:r>
            <w:rPr>
              <w:rFonts w:hint="eastAsia"/>
              <w:lang w:val="en-US" w:eastAsia="zh-CN"/>
            </w:rPr>
            <w:t>11 工程规划许可审批单</w:t>
          </w:r>
          <w:r>
            <w:tab/>
          </w:r>
          <w:r>
            <w:fldChar w:fldCharType="begin"/>
          </w:r>
          <w:r>
            <w:instrText xml:space="preserve"> PAGEREF _Toc15095 \h </w:instrText>
          </w:r>
          <w:r>
            <w:fldChar w:fldCharType="separate"/>
          </w:r>
          <w:r>
            <w:t>103</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_Toc17334 </w:instrText>
          </w:r>
          <w:r>
            <w:rPr>
              <w:rFonts w:hint="eastAsia"/>
            </w:rPr>
            <w:fldChar w:fldCharType="separate"/>
          </w:r>
          <w:r>
            <w:rPr>
              <w:rFonts w:hint="default"/>
              <w:lang w:val="en-US" w:eastAsia="zh-CN"/>
            </w:rPr>
            <w:t>附件</w:t>
          </w:r>
          <w:r>
            <w:rPr>
              <w:rFonts w:hint="eastAsia"/>
              <w:lang w:val="en-US" w:eastAsia="zh-CN"/>
            </w:rPr>
            <w:t>12 工程红线图</w:t>
          </w:r>
          <w:r>
            <w:tab/>
          </w:r>
          <w:r>
            <w:fldChar w:fldCharType="begin"/>
          </w:r>
          <w:r>
            <w:instrText xml:space="preserve"> PAGEREF _Toc17334 \h </w:instrText>
          </w:r>
          <w:r>
            <w:fldChar w:fldCharType="separate"/>
          </w:r>
          <w:r>
            <w:t>106</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_Toc13328 </w:instrText>
          </w:r>
          <w:r>
            <w:rPr>
              <w:rFonts w:hint="eastAsia"/>
            </w:rPr>
            <w:fldChar w:fldCharType="separate"/>
          </w:r>
          <w:r>
            <w:rPr>
              <w:rFonts w:hint="eastAsia"/>
              <w:lang w:val="en-US" w:eastAsia="zh-CN"/>
            </w:rPr>
            <w:t>附件13 专家签到表</w:t>
          </w:r>
          <w:r>
            <w:tab/>
          </w:r>
          <w:r>
            <w:fldChar w:fldCharType="begin"/>
          </w:r>
          <w:r>
            <w:instrText xml:space="preserve"> PAGEREF _Toc13328 \h </w:instrText>
          </w:r>
          <w:r>
            <w:fldChar w:fldCharType="separate"/>
          </w:r>
          <w:r>
            <w:t>109</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_Toc13680 </w:instrText>
          </w:r>
          <w:r>
            <w:rPr>
              <w:rFonts w:hint="eastAsia"/>
            </w:rPr>
            <w:fldChar w:fldCharType="separate"/>
          </w:r>
          <w:r>
            <w:rPr>
              <w:rFonts w:hint="eastAsia"/>
              <w:lang w:val="en-US" w:eastAsia="zh-CN"/>
            </w:rPr>
            <w:t>附件14 专家意见表</w:t>
          </w:r>
          <w:r>
            <w:tab/>
          </w:r>
          <w:r>
            <w:fldChar w:fldCharType="begin"/>
          </w:r>
          <w:r>
            <w:instrText xml:space="preserve"> PAGEREF _Toc13680 \h </w:instrText>
          </w:r>
          <w:r>
            <w:fldChar w:fldCharType="separate"/>
          </w:r>
          <w:r>
            <w:t>110</w:t>
          </w:r>
          <w:r>
            <w:fldChar w:fldCharType="end"/>
          </w:r>
          <w:r>
            <w:rPr>
              <w:rFonts w:hint="eastAsia"/>
            </w:rPr>
            <w:fldChar w:fldCharType="end"/>
          </w:r>
        </w:p>
        <w:p>
          <w:pPr>
            <w:pStyle w:val="13"/>
            <w:tabs>
              <w:tab w:val="right" w:leader="dot" w:pos="9072"/>
            </w:tabs>
          </w:pPr>
          <w:r>
            <w:rPr>
              <w:rFonts w:hint="eastAsia"/>
            </w:rPr>
            <w:fldChar w:fldCharType="begin"/>
          </w:r>
          <w:r>
            <w:rPr>
              <w:rFonts w:hint="eastAsia"/>
            </w:rPr>
            <w:instrText xml:space="preserve"> HYPERLINK \l _Toc9084 </w:instrText>
          </w:r>
          <w:r>
            <w:rPr>
              <w:rFonts w:hint="eastAsia"/>
            </w:rPr>
            <w:fldChar w:fldCharType="separate"/>
          </w:r>
          <w:r>
            <w:rPr>
              <w:rFonts w:hint="eastAsia"/>
              <w:lang w:val="en-US" w:eastAsia="zh-CN"/>
            </w:rPr>
            <w:t>附件15 日常考核专家意见表</w:t>
          </w:r>
          <w:r>
            <w:tab/>
          </w:r>
          <w:r>
            <w:fldChar w:fldCharType="begin"/>
          </w:r>
          <w:r>
            <w:instrText xml:space="preserve"> PAGEREF _Toc9084 \h </w:instrText>
          </w:r>
          <w:r>
            <w:fldChar w:fldCharType="separate"/>
          </w:r>
          <w:r>
            <w:t>112</w:t>
          </w:r>
          <w:r>
            <w:fldChar w:fldCharType="end"/>
          </w:r>
          <w:r>
            <w:rPr>
              <w:rFonts w:hint="eastAsia"/>
            </w:rPr>
            <w:fldChar w:fldCharType="end"/>
          </w:r>
        </w:p>
        <w:p>
          <w:pPr>
            <w:ind w:left="0" w:leftChars="0" w:firstLine="0" w:firstLineChars="0"/>
            <w:rPr>
              <w:rFonts w:hint="eastAsia" w:ascii="Times New Roman" w:hAnsi="Times New Roman" w:eastAsia="宋体" w:cs="Times New Roman"/>
              <w:kern w:val="2"/>
              <w:sz w:val="24"/>
              <w:szCs w:val="24"/>
              <w:lang w:val="en-US" w:eastAsia="zh-CN" w:bidi="ar-SA"/>
            </w:rPr>
          </w:pPr>
          <w:r>
            <w:rPr>
              <w:rFonts w:hint="eastAsia"/>
            </w:rPr>
            <w:fldChar w:fldCharType="end"/>
          </w:r>
        </w:p>
      </w:sdtContent>
    </w:sdt>
    <w:p>
      <w:pPr>
        <w:tabs>
          <w:tab w:val="left" w:pos="1083"/>
        </w:tabs>
        <w:bidi w:val="0"/>
        <w:ind w:left="0" w:leftChars="0" w:firstLine="0" w:firstLineChars="0"/>
        <w:jc w:val="left"/>
        <w:rPr>
          <w:rFonts w:hint="eastAsia"/>
          <w:lang w:val="en-US" w:eastAsia="zh-CN"/>
        </w:rPr>
        <w:sectPr>
          <w:pgSz w:w="11906" w:h="16838"/>
          <w:pgMar w:top="1417" w:right="1417" w:bottom="1417" w:left="1417" w:header="851" w:footer="567" w:gutter="0"/>
          <w:pgNumType w:fmt="decimal"/>
          <w:cols w:space="425" w:num="1"/>
          <w:docGrid w:type="lines" w:linePitch="312" w:charSpace="0"/>
        </w:sectPr>
      </w:pPr>
      <w:r>
        <w:rPr>
          <w:rFonts w:hint="eastAsia"/>
          <w:lang w:val="en-US" w:eastAsia="zh-CN"/>
        </w:rPr>
        <w:tab/>
      </w:r>
    </w:p>
    <w:p>
      <w:pPr>
        <w:pStyle w:val="4"/>
        <w:bidi w:val="0"/>
        <w:rPr>
          <w:rFonts w:hint="eastAsia"/>
          <w:lang w:val="en-US" w:eastAsia="zh-CN"/>
        </w:rPr>
      </w:pPr>
      <w:bookmarkStart w:id="3" w:name="_Toc2308"/>
      <w:r>
        <w:rPr>
          <w:rFonts w:hint="eastAsia"/>
          <w:lang w:val="en-US" w:eastAsia="zh-CN"/>
        </w:rPr>
        <w:t>一、建设项目基本情况</w:t>
      </w:r>
      <w:bookmarkEnd w:id="3"/>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22"/>
        <w:gridCol w:w="2438"/>
        <w:gridCol w:w="2359"/>
        <w:gridCol w:w="21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22"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lang w:val="en-US" w:eastAsia="zh-CN"/>
              </w:rPr>
              <w:t>建设项目名称</w:t>
            </w:r>
          </w:p>
        </w:tc>
        <w:tc>
          <w:tcPr>
            <w:tcW w:w="6966" w:type="dxa"/>
            <w:gridSpan w:val="3"/>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color w:val="auto"/>
                <w:sz w:val="24"/>
                <w:szCs w:val="24"/>
                <w:lang w:eastAsia="zh-CN"/>
              </w:rPr>
              <w:t>衡阳</w:t>
            </w:r>
            <w:r>
              <w:rPr>
                <w:rFonts w:hint="eastAsia"/>
                <w:color w:val="auto"/>
                <w:sz w:val="24"/>
                <w:szCs w:val="24"/>
                <w:lang w:val="en-US" w:eastAsia="zh-CN"/>
              </w:rPr>
              <w:t>侨城</w:t>
            </w:r>
            <w:r>
              <w:rPr>
                <w:rFonts w:hint="eastAsia"/>
                <w:color w:val="auto"/>
                <w:sz w:val="24"/>
                <w:szCs w:val="24"/>
                <w:lang w:eastAsia="zh-CN"/>
              </w:rPr>
              <w:t>文化旅游度假区一期建设项目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22"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lang w:val="en-US" w:eastAsia="zh-CN"/>
              </w:rPr>
              <w:t>项目代码</w:t>
            </w:r>
          </w:p>
        </w:tc>
        <w:tc>
          <w:tcPr>
            <w:tcW w:w="6966" w:type="dxa"/>
            <w:gridSpan w:val="3"/>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cs="Times New Roman"/>
                <w:color w:val="auto"/>
                <w:sz w:val="24"/>
                <w:szCs w:val="24"/>
                <w:lang w:val="en-US" w:eastAsia="zh-CN"/>
              </w:rPr>
              <w:t>2020-430407-88-03-061162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22"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lang w:val="en-US" w:eastAsia="zh-CN"/>
              </w:rPr>
              <w:t>建设单位联系人</w:t>
            </w:r>
          </w:p>
        </w:tc>
        <w:tc>
          <w:tcPr>
            <w:tcW w:w="2438"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color w:val="auto"/>
                <w:sz w:val="24"/>
                <w:szCs w:val="24"/>
              </w:rPr>
              <w:t>彭明学</w:t>
            </w:r>
          </w:p>
        </w:tc>
        <w:tc>
          <w:tcPr>
            <w:tcW w:w="2359"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lang w:val="en-US" w:eastAsia="zh-CN"/>
              </w:rPr>
              <w:t>联系方式</w:t>
            </w:r>
          </w:p>
        </w:tc>
        <w:tc>
          <w:tcPr>
            <w:tcW w:w="2169"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default" w:ascii="Times New Roman" w:hAnsi="Times New Roman" w:cs="Times New Roman"/>
                <w:color w:val="auto"/>
                <w:sz w:val="24"/>
                <w:szCs w:val="24"/>
              </w:rPr>
              <w:t>18674767511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22"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lang w:val="en-US" w:eastAsia="zh-CN"/>
              </w:rPr>
              <w:t>建设地点</w:t>
            </w:r>
          </w:p>
        </w:tc>
        <w:tc>
          <w:tcPr>
            <w:tcW w:w="6966" w:type="dxa"/>
            <w:gridSpan w:val="3"/>
            <w:vAlign w:val="center"/>
          </w:tcPr>
          <w:p>
            <w:pPr>
              <w:keepNext w:val="0"/>
              <w:keepLines w:val="0"/>
              <w:pageBreakBefore w:val="0"/>
              <w:widowControl w:val="0"/>
              <w:kinsoku/>
              <w:wordWrap/>
              <w:overflowPunct/>
              <w:topLinePunct w:val="0"/>
              <w:bidi w:val="0"/>
              <w:adjustRightInd w:val="0"/>
              <w:snapToGrid w:val="0"/>
              <w:spacing w:line="240" w:lineRule="auto"/>
              <w:ind w:firstLine="480" w:firstLineChars="200"/>
              <w:jc w:val="center"/>
              <w:textAlignment w:val="auto"/>
              <w:rPr>
                <w:rFonts w:hint="default"/>
                <w:lang w:val="en-US" w:eastAsia="zh-CN"/>
              </w:rPr>
            </w:pPr>
            <w:r>
              <w:rPr>
                <w:rFonts w:hint="eastAsia"/>
                <w:color w:val="auto"/>
                <w:sz w:val="24"/>
                <w:szCs w:val="24"/>
              </w:rPr>
              <w:t>湖南省衡阳市石鼓区来雁新城范围内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22"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lang w:val="en-US" w:eastAsia="zh-CN"/>
              </w:rPr>
              <w:t>地理坐标</w:t>
            </w:r>
          </w:p>
        </w:tc>
        <w:tc>
          <w:tcPr>
            <w:tcW w:w="6966" w:type="dxa"/>
            <w:gridSpan w:val="3"/>
            <w:vAlign w:val="center"/>
          </w:tcPr>
          <w:p>
            <w:pPr>
              <w:keepNext w:val="0"/>
              <w:keepLines w:val="0"/>
              <w:pageBreakBefore w:val="0"/>
              <w:widowControl w:val="0"/>
              <w:kinsoku/>
              <w:wordWrap/>
              <w:overflowPunct/>
              <w:topLinePunct w:val="0"/>
              <w:bidi w:val="0"/>
              <w:adjustRightInd w:val="0"/>
              <w:snapToGrid w:val="0"/>
              <w:spacing w:line="240" w:lineRule="auto"/>
              <w:ind w:firstLine="480" w:firstLineChars="200"/>
              <w:jc w:val="center"/>
              <w:textAlignment w:val="auto"/>
              <w:rPr>
                <w:rFonts w:hint="default"/>
                <w:lang w:val="en-US" w:eastAsia="zh-CN"/>
              </w:rPr>
            </w:pPr>
            <w:r>
              <w:rPr>
                <w:rFonts w:hint="eastAsia" w:ascii="Times New Roman" w:hAnsi="Times New Roman" w:cs="Times New Roman"/>
                <w:color w:val="auto"/>
                <w:sz w:val="24"/>
                <w:szCs w:val="24"/>
                <w:lang w:eastAsia="zh-CN"/>
              </w:rPr>
              <w:t>26</w:t>
            </w:r>
            <w:r>
              <w:rPr>
                <w:rFonts w:hint="default"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57</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13.947</w:t>
            </w:r>
            <w:r>
              <w:rPr>
                <w:rFonts w:hint="eastAsia" w:ascii="Times New Roman" w:hAnsi="Times New Roman" w:cs="Times New Roman"/>
                <w:color w:val="auto"/>
                <w:sz w:val="24"/>
                <w:szCs w:val="24"/>
                <w:lang w:eastAsia="zh-CN"/>
              </w:rPr>
              <w:t>"北</w:t>
            </w: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eastAsia="zh-CN"/>
              </w:rPr>
              <w:t>112</w:t>
            </w:r>
            <w:r>
              <w:rPr>
                <w:rFonts w:hint="default"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39'2.512</w:t>
            </w:r>
            <w:r>
              <w:rPr>
                <w:rFonts w:hint="eastAsia" w:ascii="Times New Roman" w:hAnsi="Times New Roman" w:cs="Times New Roman"/>
                <w:color w:val="auto"/>
                <w:sz w:val="24"/>
                <w:szCs w:val="24"/>
                <w:lang w:eastAsia="zh-CN"/>
              </w:rPr>
              <w:t>"东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22"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lang w:val="en-US" w:eastAsia="zh-CN"/>
              </w:rPr>
              <w:t>建设项目行业类别</w:t>
            </w:r>
          </w:p>
        </w:tc>
        <w:tc>
          <w:tcPr>
            <w:tcW w:w="2438"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left"/>
              <w:textAlignment w:val="auto"/>
              <w:rPr>
                <w:rFonts w:hint="default"/>
                <w:lang w:val="en-US" w:eastAsia="zh-CN"/>
              </w:rPr>
            </w:pPr>
            <w:r>
              <w:rPr>
                <w:rFonts w:hint="eastAsia"/>
                <w:color w:val="auto"/>
                <w:spacing w:val="0"/>
                <w:sz w:val="24"/>
                <w:szCs w:val="24"/>
                <w:lang w:eastAsia="zh-CN"/>
              </w:rPr>
              <w:t>五十</w:t>
            </w:r>
            <w:r>
              <w:rPr>
                <w:rFonts w:hint="default"/>
                <w:color w:val="auto"/>
                <w:spacing w:val="0"/>
                <w:sz w:val="24"/>
                <w:szCs w:val="24"/>
              </w:rPr>
              <w:t>、社会事业与服务业</w:t>
            </w:r>
            <w:r>
              <w:rPr>
                <w:rFonts w:hint="default" w:ascii="Times New Roman" w:hAnsi="Times New Roman" w:eastAsia="Times New Roman"/>
                <w:color w:val="auto"/>
                <w:spacing w:val="0"/>
                <w:sz w:val="24"/>
                <w:szCs w:val="24"/>
              </w:rPr>
              <w:t>—1</w:t>
            </w:r>
            <w:r>
              <w:rPr>
                <w:rFonts w:hint="eastAsia" w:ascii="Times New Roman" w:hAnsi="Times New Roman"/>
                <w:color w:val="auto"/>
                <w:spacing w:val="0"/>
                <w:sz w:val="24"/>
                <w:szCs w:val="24"/>
                <w:lang w:val="en-US" w:eastAsia="zh-CN"/>
              </w:rPr>
              <w:t>14</w:t>
            </w:r>
            <w:r>
              <w:rPr>
                <w:rFonts w:hint="default"/>
                <w:color w:val="auto"/>
                <w:spacing w:val="0"/>
                <w:sz w:val="24"/>
                <w:szCs w:val="24"/>
              </w:rPr>
              <w:t>、公园（含动物园、主题公园</w:t>
            </w:r>
            <w:r>
              <w:rPr>
                <w:rFonts w:hint="eastAsia"/>
                <w:color w:val="auto"/>
                <w:spacing w:val="0"/>
                <w:sz w:val="24"/>
                <w:szCs w:val="24"/>
                <w:lang w:eastAsia="zh-CN"/>
              </w:rPr>
              <w:t>；</w:t>
            </w:r>
            <w:r>
              <w:rPr>
                <w:rFonts w:hint="eastAsia"/>
                <w:color w:val="auto"/>
                <w:spacing w:val="0"/>
                <w:sz w:val="24"/>
                <w:szCs w:val="24"/>
                <w:lang w:val="en-US" w:eastAsia="zh-CN"/>
              </w:rPr>
              <w:t>不含城市公园、植物园、村庄公园）；人工湖、人工湿地</w:t>
            </w:r>
          </w:p>
        </w:tc>
        <w:tc>
          <w:tcPr>
            <w:tcW w:w="2359"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lang w:val="en-US" w:eastAsia="zh-CN"/>
              </w:rPr>
              <w:t>用地（用海）面积（m</w:t>
            </w:r>
            <w:r>
              <w:rPr>
                <w:rFonts w:hint="eastAsia"/>
                <w:vertAlign w:val="superscript"/>
                <w:lang w:val="en-US" w:eastAsia="zh-CN"/>
              </w:rPr>
              <w:t>2</w:t>
            </w:r>
            <w:r>
              <w:rPr>
                <w:rFonts w:hint="eastAsia"/>
                <w:lang w:val="en-US" w:eastAsia="zh-CN"/>
              </w:rPr>
              <w:t>）/长度（km）</w:t>
            </w:r>
          </w:p>
        </w:tc>
        <w:tc>
          <w:tcPr>
            <w:tcW w:w="2169"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eastAsia="宋体"/>
                <w:lang w:val="en-US" w:eastAsia="zh-CN"/>
              </w:rPr>
            </w:pPr>
            <w:r>
              <w:rPr>
                <w:rFonts w:hint="default"/>
              </w:rPr>
              <w:t>176795</w:t>
            </w:r>
            <w:r>
              <w:rPr>
                <w:rFonts w:hint="eastAsia"/>
                <w:lang w:val="en-US" w:eastAsia="zh-CN"/>
              </w:rPr>
              <w:t>m</w:t>
            </w:r>
            <w:r>
              <w:rPr>
                <w:rFonts w:hint="eastAsia"/>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22" w:type="dxa"/>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lang w:val="en-US" w:eastAsia="zh-CN"/>
              </w:rPr>
            </w:pPr>
            <w:r>
              <w:rPr>
                <w:rFonts w:hint="eastAsia"/>
                <w:lang w:val="en-US" w:eastAsia="zh-CN"/>
              </w:rPr>
              <w:t>建设性质</w:t>
            </w:r>
          </w:p>
        </w:tc>
        <w:tc>
          <w:tcPr>
            <w:tcW w:w="2438" w:type="dxa"/>
            <w:vAlign w:val="center"/>
          </w:tcPr>
          <w:p>
            <w:pPr>
              <w:keepNext w:val="0"/>
              <w:keepLines w:val="0"/>
              <w:pageBreakBefore w:val="0"/>
              <w:widowControl w:val="0"/>
              <w:kinsoku/>
              <w:wordWrap/>
              <w:overflowPunct/>
              <w:topLinePunct w:val="0"/>
              <w:bidi w:val="0"/>
              <w:adjustRightInd w:val="0"/>
              <w:snapToGrid w:val="0"/>
              <w:spacing w:line="360" w:lineRule="auto"/>
              <w:ind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w:char="00FE"/>
            </w:r>
            <w:r>
              <w:rPr>
                <w:rFonts w:hint="default" w:ascii="Times New Roman" w:hAnsi="Times New Roman" w:cs="Times New Roman"/>
                <w:color w:val="auto"/>
                <w:sz w:val="24"/>
                <w:szCs w:val="24"/>
              </w:rPr>
              <w:t>新建（迁建）</w:t>
            </w:r>
          </w:p>
          <w:p>
            <w:pPr>
              <w:keepNext w:val="0"/>
              <w:keepLines w:val="0"/>
              <w:pageBreakBefore w:val="0"/>
              <w:widowControl w:val="0"/>
              <w:kinsoku/>
              <w:wordWrap/>
              <w:overflowPunct/>
              <w:topLinePunct w:val="0"/>
              <w:bidi w:val="0"/>
              <w:adjustRightInd w:val="0"/>
              <w:snapToGrid w:val="0"/>
              <w:spacing w:line="360" w:lineRule="auto"/>
              <w:ind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w:char="00A8"/>
            </w:r>
            <w:r>
              <w:rPr>
                <w:rFonts w:hint="default" w:ascii="Times New Roman" w:hAnsi="Times New Roman" w:cs="Times New Roman"/>
                <w:color w:val="auto"/>
                <w:sz w:val="24"/>
                <w:szCs w:val="24"/>
              </w:rPr>
              <w:t>改建</w:t>
            </w:r>
          </w:p>
          <w:p>
            <w:pPr>
              <w:keepNext w:val="0"/>
              <w:keepLines w:val="0"/>
              <w:pageBreakBefore w:val="0"/>
              <w:widowControl w:val="0"/>
              <w:kinsoku/>
              <w:wordWrap/>
              <w:overflowPunct/>
              <w:topLinePunct w:val="0"/>
              <w:bidi w:val="0"/>
              <w:adjustRightInd w:val="0"/>
              <w:snapToGrid w:val="0"/>
              <w:spacing w:line="360" w:lineRule="auto"/>
              <w:ind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w:char="00A8"/>
            </w:r>
            <w:r>
              <w:rPr>
                <w:rFonts w:hint="default" w:ascii="Times New Roman" w:hAnsi="Times New Roman" w:cs="Times New Roman"/>
                <w:color w:val="auto"/>
                <w:sz w:val="24"/>
                <w:szCs w:val="24"/>
              </w:rPr>
              <w:t>扩建</w:t>
            </w:r>
          </w:p>
          <w:p>
            <w:pPr>
              <w:keepNext w:val="0"/>
              <w:keepLines w:val="0"/>
              <w:pageBreakBefore w:val="0"/>
              <w:kinsoku/>
              <w:wordWrap/>
              <w:overflowPunct/>
              <w:topLinePunct w:val="0"/>
              <w:autoSpaceDE/>
              <w:autoSpaceDN/>
              <w:bidi w:val="0"/>
              <w:adjustRightInd/>
              <w:spacing w:line="360" w:lineRule="auto"/>
              <w:ind w:left="0" w:leftChars="0" w:firstLine="0" w:firstLineChars="0"/>
              <w:jc w:val="left"/>
              <w:textAlignment w:val="auto"/>
              <w:rPr>
                <w:rFonts w:hint="default"/>
                <w:lang w:val="en-US" w:eastAsia="zh-CN"/>
              </w:rPr>
            </w:pPr>
            <w:r>
              <w:rPr>
                <w:rFonts w:hint="default" w:ascii="Times New Roman" w:hAnsi="Times New Roman" w:cs="Times New Roman"/>
                <w:color w:val="auto"/>
                <w:sz w:val="24"/>
                <w:szCs w:val="24"/>
              </w:rPr>
              <w:sym w:font="Wingdings" w:char="00A8"/>
            </w:r>
            <w:r>
              <w:rPr>
                <w:rFonts w:hint="default" w:ascii="Times New Roman" w:hAnsi="Times New Roman" w:cs="Times New Roman"/>
                <w:color w:val="auto"/>
                <w:sz w:val="24"/>
                <w:szCs w:val="24"/>
              </w:rPr>
              <w:t>技术改造</w:t>
            </w:r>
          </w:p>
        </w:tc>
        <w:tc>
          <w:tcPr>
            <w:tcW w:w="2359" w:type="dxa"/>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lang w:val="en-US" w:eastAsia="zh-CN"/>
              </w:rPr>
            </w:pPr>
            <w:r>
              <w:rPr>
                <w:rFonts w:hint="eastAsia"/>
                <w:lang w:val="en-US" w:eastAsia="zh-CN"/>
              </w:rPr>
              <w:t>建设项目申报情形</w:t>
            </w:r>
          </w:p>
        </w:tc>
        <w:tc>
          <w:tcPr>
            <w:tcW w:w="2169" w:type="dxa"/>
            <w:vAlign w:val="center"/>
          </w:tcPr>
          <w:p>
            <w:pPr>
              <w:keepNext w:val="0"/>
              <w:keepLines w:val="0"/>
              <w:pageBreakBefore w:val="0"/>
              <w:widowControl w:val="0"/>
              <w:kinsoku/>
              <w:wordWrap/>
              <w:overflowPunct/>
              <w:topLinePunct w:val="0"/>
              <w:bidi w:val="0"/>
              <w:adjustRightInd w:val="0"/>
              <w:snapToGrid w:val="0"/>
              <w:spacing w:line="360" w:lineRule="auto"/>
              <w:ind w:left="0" w:leftChars="0"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w:char="00FE"/>
            </w:r>
            <w:r>
              <w:rPr>
                <w:rFonts w:hint="default" w:ascii="Times New Roman" w:hAnsi="Times New Roman" w:cs="Times New Roman"/>
                <w:color w:val="auto"/>
                <w:sz w:val="24"/>
                <w:szCs w:val="24"/>
              </w:rPr>
              <w:t>首次申报项目</w:t>
            </w:r>
          </w:p>
          <w:p>
            <w:pPr>
              <w:keepNext w:val="0"/>
              <w:keepLines w:val="0"/>
              <w:pageBreakBefore w:val="0"/>
              <w:widowControl w:val="0"/>
              <w:kinsoku/>
              <w:wordWrap/>
              <w:overflowPunct/>
              <w:topLinePunct w:val="0"/>
              <w:bidi w:val="0"/>
              <w:adjustRightInd w:val="0"/>
              <w:snapToGrid w:val="0"/>
              <w:spacing w:line="360" w:lineRule="auto"/>
              <w:ind w:left="0" w:leftChars="0"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w:char="00A8"/>
            </w:r>
            <w:r>
              <w:rPr>
                <w:rFonts w:hint="default" w:ascii="Times New Roman" w:hAnsi="Times New Roman" w:cs="Times New Roman"/>
                <w:color w:val="auto"/>
                <w:sz w:val="24"/>
                <w:szCs w:val="24"/>
              </w:rPr>
              <w:t>不予批准后再次申报项目</w:t>
            </w:r>
          </w:p>
          <w:p>
            <w:pPr>
              <w:keepNext w:val="0"/>
              <w:keepLines w:val="0"/>
              <w:pageBreakBefore w:val="0"/>
              <w:widowControl w:val="0"/>
              <w:kinsoku/>
              <w:wordWrap/>
              <w:overflowPunct/>
              <w:topLinePunct w:val="0"/>
              <w:bidi w:val="0"/>
              <w:adjustRightInd w:val="0"/>
              <w:snapToGrid w:val="0"/>
              <w:spacing w:line="360" w:lineRule="auto"/>
              <w:ind w:left="0" w:leftChars="0"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w:char="00A8"/>
            </w:r>
            <w:r>
              <w:rPr>
                <w:rFonts w:hint="default" w:ascii="Times New Roman" w:hAnsi="Times New Roman" w:cs="Times New Roman"/>
                <w:color w:val="auto"/>
                <w:sz w:val="24"/>
                <w:szCs w:val="24"/>
              </w:rPr>
              <w:t>超五年重新审核项目</w:t>
            </w:r>
          </w:p>
          <w:p>
            <w:pPr>
              <w:keepNext w:val="0"/>
              <w:keepLines w:val="0"/>
              <w:pageBreakBefore w:val="0"/>
              <w:widowControl w:val="0"/>
              <w:kinsoku/>
              <w:wordWrap/>
              <w:overflowPunct/>
              <w:topLinePunct w:val="0"/>
              <w:bidi w:val="0"/>
              <w:adjustRightInd w:val="0"/>
              <w:snapToGrid w:val="0"/>
              <w:spacing w:line="360" w:lineRule="auto"/>
              <w:ind w:left="0" w:leftChars="0" w:firstLine="0" w:firstLineChars="0"/>
              <w:jc w:val="left"/>
              <w:textAlignment w:val="auto"/>
              <w:rPr>
                <w:rFonts w:hint="default"/>
                <w:lang w:val="en-US" w:eastAsia="zh-CN"/>
              </w:rPr>
            </w:pPr>
            <w:r>
              <w:rPr>
                <w:rFonts w:hint="default" w:ascii="Times New Roman" w:hAnsi="Times New Roman" w:cs="Times New Roman"/>
                <w:color w:val="auto"/>
                <w:sz w:val="24"/>
                <w:szCs w:val="24"/>
              </w:rPr>
              <w:sym w:font="Wingdings" w:char="00A8"/>
            </w:r>
            <w:r>
              <w:rPr>
                <w:rFonts w:hint="default" w:ascii="Times New Roman" w:hAnsi="Times New Roman" w:cs="Times New Roman"/>
                <w:color w:val="auto"/>
                <w:sz w:val="24"/>
                <w:szCs w:val="24"/>
              </w:rPr>
              <w:t>重大变动重新报批项目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22"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lang w:val="en-US" w:eastAsia="zh-CN"/>
              </w:rPr>
              <w:t>项目审批（核准/备案）部门（选填）</w:t>
            </w:r>
          </w:p>
        </w:tc>
        <w:tc>
          <w:tcPr>
            <w:tcW w:w="2438"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lang w:val="en-US" w:eastAsia="zh-CN"/>
              </w:rPr>
              <w:t>无</w:t>
            </w:r>
          </w:p>
        </w:tc>
        <w:tc>
          <w:tcPr>
            <w:tcW w:w="2359"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lang w:val="en-US" w:eastAsia="zh-CN"/>
              </w:rPr>
              <w:t>项目审批（核准/备案）文号（选填）</w:t>
            </w:r>
          </w:p>
        </w:tc>
        <w:tc>
          <w:tcPr>
            <w:tcW w:w="2169" w:type="dxa"/>
            <w:vAlign w:val="center"/>
          </w:tcPr>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lang w:val="en-US" w:eastAsia="zh-CN"/>
              </w:rPr>
            </w:pPr>
            <w:r>
              <w:rPr>
                <w:rFonts w:hint="default" w:ascii="Times New Roman" w:hAnsi="Times New Roman" w:cs="Times New Roman"/>
                <w:color w:val="auto"/>
                <w:kern w:val="0"/>
                <w:sz w:val="24"/>
                <w:szCs w:val="24"/>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22"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lang w:val="en-US" w:eastAsia="zh-CN"/>
              </w:rPr>
              <w:t>总投资（万元）</w:t>
            </w:r>
          </w:p>
        </w:tc>
        <w:tc>
          <w:tcPr>
            <w:tcW w:w="2438" w:type="dxa"/>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Autospacing="0" w:line="240" w:lineRule="auto"/>
              <w:ind w:left="0" w:leftChars="0" w:firstLine="0" w:firstLineChars="0"/>
              <w:jc w:val="center"/>
              <w:textAlignment w:val="auto"/>
              <w:rPr>
                <w:rFonts w:hint="default"/>
                <w:lang w:val="en-US" w:eastAsia="zh-CN"/>
              </w:rPr>
            </w:pPr>
            <w:r>
              <w:rPr>
                <w:rFonts w:hint="eastAsia"/>
                <w:color w:val="auto"/>
                <w:sz w:val="24"/>
                <w:szCs w:val="24"/>
                <w:lang w:val="en-US" w:eastAsia="zh-CN"/>
              </w:rPr>
              <w:t>12</w:t>
            </w:r>
            <w:r>
              <w:rPr>
                <w:rFonts w:hint="default" w:ascii="Times New Roman"/>
                <w:color w:val="auto"/>
                <w:sz w:val="24"/>
                <w:szCs w:val="24"/>
              </w:rPr>
              <w:t>0000</w:t>
            </w:r>
          </w:p>
        </w:tc>
        <w:tc>
          <w:tcPr>
            <w:tcW w:w="2359"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lang w:val="en-US" w:eastAsia="zh-CN"/>
              </w:rPr>
              <w:t>环保投资（万元）</w:t>
            </w:r>
          </w:p>
        </w:tc>
        <w:tc>
          <w:tcPr>
            <w:tcW w:w="2169"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ascii="Times New Roman"/>
                <w:color w:val="auto"/>
                <w:sz w:val="24"/>
                <w:szCs w:val="24"/>
                <w:lang w:val="en-US" w:eastAsia="zh-CN"/>
              </w:rPr>
              <w:t>2400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22"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lang w:val="en-US" w:eastAsia="zh-CN"/>
              </w:rPr>
              <w:t>环保投资占比（%）</w:t>
            </w:r>
          </w:p>
        </w:tc>
        <w:tc>
          <w:tcPr>
            <w:tcW w:w="2438" w:type="dxa"/>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Autospacing="0" w:line="240" w:lineRule="auto"/>
              <w:ind w:left="0" w:leftChars="0" w:firstLine="0" w:firstLineChars="0"/>
              <w:jc w:val="center"/>
              <w:textAlignment w:val="auto"/>
              <w:rPr>
                <w:rFonts w:hint="default"/>
                <w:lang w:val="en-US" w:eastAsia="zh-CN"/>
              </w:rPr>
            </w:pPr>
            <w:r>
              <w:rPr>
                <w:rFonts w:hint="eastAsia"/>
                <w:color w:val="auto"/>
                <w:sz w:val="24"/>
                <w:szCs w:val="24"/>
                <w:lang w:val="en-US" w:eastAsia="zh-CN"/>
              </w:rPr>
              <w:t>2</w:t>
            </w:r>
          </w:p>
        </w:tc>
        <w:tc>
          <w:tcPr>
            <w:tcW w:w="2359"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lang w:val="en-US" w:eastAsia="zh-CN"/>
              </w:rPr>
              <w:t>施工工期</w:t>
            </w:r>
          </w:p>
        </w:tc>
        <w:tc>
          <w:tcPr>
            <w:tcW w:w="2169"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lang w:val="en-US" w:eastAsia="zh-CN"/>
              </w:rPr>
              <w:t>14个月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22"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lang w:val="en-US" w:eastAsia="zh-CN"/>
              </w:rPr>
              <w:t>是否开工建设</w:t>
            </w:r>
          </w:p>
        </w:tc>
        <w:tc>
          <w:tcPr>
            <w:tcW w:w="6966" w:type="dxa"/>
            <w:gridSpan w:val="3"/>
            <w:vAlign w:val="center"/>
          </w:tcPr>
          <w:p>
            <w:pPr>
              <w:adjustRightInd w:val="0"/>
              <w:snapToGrid w:val="0"/>
              <w:spacing w:line="360" w:lineRule="auto"/>
              <w:ind w:firstLine="0" w:firstLineChars="0"/>
              <w:jc w:val="left"/>
              <w:rPr>
                <w:rFonts w:ascii="Times New Roman" w:hAnsi="Times New Roman" w:cs="Times New Roman"/>
                <w:color w:val="auto"/>
                <w:highlight w:val="none"/>
              </w:rPr>
            </w:pPr>
            <w:r>
              <w:rPr>
                <w:rFonts w:ascii="Times New Roman" w:hAnsi="Times New Roman" w:cs="Times New Roman"/>
                <w:color w:val="auto"/>
                <w:highlight w:val="none"/>
              </w:rPr>
              <w:sym w:font="Wingdings 2" w:char="0052"/>
            </w:r>
            <w:r>
              <w:rPr>
                <w:rFonts w:ascii="Times New Roman" w:hAnsi="Times New Roman" w:cs="Times New Roman"/>
                <w:color w:val="auto"/>
                <w:highlight w:val="none"/>
              </w:rPr>
              <w:t>否</w:t>
            </w:r>
          </w:p>
          <w:p>
            <w:pPr>
              <w:keepNext w:val="0"/>
              <w:keepLines w:val="0"/>
              <w:pageBreakBefore w:val="0"/>
              <w:kinsoku/>
              <w:wordWrap/>
              <w:overflowPunct/>
              <w:topLinePunct w:val="0"/>
              <w:autoSpaceDE/>
              <w:autoSpaceDN/>
              <w:bidi w:val="0"/>
              <w:adjustRightInd/>
              <w:spacing w:line="360" w:lineRule="auto"/>
              <w:ind w:firstLine="0" w:firstLineChars="0"/>
              <w:jc w:val="left"/>
              <w:textAlignment w:val="auto"/>
              <w:rPr>
                <w:rFonts w:hint="default"/>
                <w:lang w:val="en-US" w:eastAsia="zh-CN"/>
              </w:rPr>
            </w:pPr>
            <w:r>
              <w:rPr>
                <w:rFonts w:ascii="Times New Roman" w:hAnsi="Times New Roman" w:cs="Times New Roman"/>
                <w:color w:val="auto"/>
                <w:highlight w:val="none"/>
              </w:rPr>
              <w:sym w:font="Wingdings 2" w:char="00A3"/>
            </w:r>
            <w:r>
              <w:rPr>
                <w:rFonts w:ascii="Times New Roman" w:hAnsi="Times New Roman" w:cs="Times New Roman"/>
                <w:color w:val="auto"/>
                <w:highlight w:val="none"/>
              </w:rPr>
              <w:t>是：</w:t>
            </w:r>
            <w:r>
              <w:rPr>
                <w:rFonts w:hint="eastAsia" w:cs="Times New Roman"/>
                <w:color w:val="auto"/>
                <w:highlight w:val="none"/>
                <w:u w:val="single"/>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22"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lang w:val="en-US" w:eastAsia="zh-CN"/>
              </w:rPr>
              <w:t>专项评价设置情况</w:t>
            </w:r>
          </w:p>
        </w:tc>
        <w:tc>
          <w:tcPr>
            <w:tcW w:w="6966" w:type="dxa"/>
            <w:gridSpan w:val="3"/>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lang w:val="en-US" w:eastAsia="zh-CN"/>
              </w:rPr>
            </w:pPr>
            <w:r>
              <w:rPr>
                <w:rFonts w:hint="eastAsia"/>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22"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lang w:val="en-US" w:eastAsia="zh-CN"/>
              </w:rPr>
              <w:t>规划情况</w:t>
            </w:r>
          </w:p>
        </w:tc>
        <w:tc>
          <w:tcPr>
            <w:tcW w:w="6966" w:type="dxa"/>
            <w:gridSpan w:val="3"/>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trPr>
        <w:tc>
          <w:tcPr>
            <w:tcW w:w="2322"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lang w:val="en-US" w:eastAsia="zh-CN"/>
              </w:rPr>
              <w:t>规划环境影响评价情况</w:t>
            </w:r>
          </w:p>
        </w:tc>
        <w:tc>
          <w:tcPr>
            <w:tcW w:w="6966" w:type="dxa"/>
            <w:gridSpan w:val="3"/>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22" w:type="dxa"/>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lang w:val="en-US" w:eastAsia="zh-CN"/>
              </w:rPr>
              <w:t>规划及规划环境影响评价符合型分析</w:t>
            </w:r>
          </w:p>
        </w:tc>
        <w:tc>
          <w:tcPr>
            <w:tcW w:w="6966" w:type="dxa"/>
            <w:gridSpan w:val="3"/>
            <w:vAlign w:val="center"/>
          </w:tcPr>
          <w:p>
            <w:pPr>
              <w:keepNext w:val="0"/>
              <w:keepLines w:val="0"/>
              <w:pageBreakBefore w:val="0"/>
              <w:kinsoku/>
              <w:wordWrap/>
              <w:overflowPunct/>
              <w:topLinePunct w:val="0"/>
              <w:autoSpaceDE/>
              <w:autoSpaceDN/>
              <w:bidi w:val="0"/>
              <w:adjustRightInd/>
              <w:spacing w:line="360" w:lineRule="auto"/>
              <w:ind w:firstLine="0" w:firstLineChars="0"/>
              <w:jc w:val="center"/>
              <w:textAlignment w:val="auto"/>
              <w:rPr>
                <w:rFonts w:hint="default"/>
                <w:lang w:val="en-US" w:eastAsia="zh-CN"/>
              </w:rPr>
            </w:pPr>
            <w:r>
              <w:rPr>
                <w:rFonts w:hint="eastAsia"/>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22" w:type="dxa"/>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lang w:val="en-US" w:eastAsia="zh-CN"/>
              </w:rPr>
            </w:pPr>
            <w:r>
              <w:rPr>
                <w:rFonts w:hint="eastAsia"/>
                <w:lang w:val="en-US" w:eastAsia="zh-CN"/>
              </w:rPr>
              <w:t>其他符合性分析</w:t>
            </w:r>
          </w:p>
        </w:tc>
        <w:tc>
          <w:tcPr>
            <w:tcW w:w="6966" w:type="dxa"/>
            <w:gridSpan w:val="3"/>
            <w:vAlign w:val="center"/>
          </w:tcPr>
          <w:p>
            <w:pPr>
              <w:pStyle w:val="8"/>
              <w:numPr>
                <w:ilvl w:val="0"/>
                <w:numId w:val="1"/>
              </w:numPr>
              <w:bidi w:val="0"/>
              <w:rPr>
                <w:rFonts w:hint="eastAsia"/>
                <w:lang w:val="en-US" w:eastAsia="zh-CN"/>
              </w:rPr>
            </w:pPr>
            <w:r>
              <w:rPr>
                <w:rFonts w:hint="eastAsia"/>
                <w:lang w:val="en-US" w:eastAsia="zh-CN"/>
              </w:rPr>
              <w:t>产业政策的相符性</w:t>
            </w:r>
          </w:p>
          <w:p>
            <w:pPr>
              <w:bidi w:val="0"/>
              <w:rPr>
                <w:rFonts w:hint="eastAsia"/>
                <w:lang w:val="en-US" w:eastAsia="zh-CN"/>
              </w:rPr>
            </w:pPr>
            <w:r>
              <w:rPr>
                <w:rFonts w:hint="eastAsia"/>
                <w:lang w:val="en-US" w:eastAsia="zh-CN"/>
              </w:rPr>
              <w:t>本项目属于社会事业与服务业建设项目，不属于《产业结构调整指导目录（2019年本）》中限制类和淘汰类的项目，属于允许类项目，且未使用限制、淘汰类设备。因此本次项目的建设内容符合当前国家产业政策的要求。</w:t>
            </w:r>
          </w:p>
          <w:p>
            <w:pPr>
              <w:numPr>
                <w:ilvl w:val="0"/>
                <w:numId w:val="1"/>
              </w:numPr>
              <w:bidi w:val="0"/>
              <w:ind w:left="0" w:leftChars="0" w:firstLine="0" w:firstLineChars="0"/>
              <w:rPr>
                <w:rFonts w:hint="eastAsia" w:ascii="Times New Roman" w:hAnsi="Times New Roman" w:eastAsia="宋体" w:cs="Times New Roman"/>
                <w:b/>
                <w:bCs/>
                <w:color w:val="auto"/>
                <w:kern w:val="0"/>
                <w:sz w:val="24"/>
                <w:szCs w:val="24"/>
                <w:lang w:val="en-US" w:eastAsia="zh-CN"/>
              </w:rPr>
            </w:pPr>
            <w:r>
              <w:rPr>
                <w:rFonts w:hint="eastAsia" w:ascii="Times New Roman" w:hAnsi="Times New Roman" w:eastAsia="宋体" w:cs="Times New Roman"/>
                <w:b/>
                <w:bCs/>
                <w:color w:val="auto"/>
                <w:kern w:val="0"/>
                <w:sz w:val="24"/>
                <w:szCs w:val="24"/>
                <w:lang w:val="en-US" w:eastAsia="zh-CN"/>
              </w:rPr>
              <w:t>选址合理性分析</w:t>
            </w:r>
          </w:p>
          <w:p>
            <w:pPr>
              <w:bidi w:val="0"/>
              <w:rPr>
                <w:rFonts w:hint="eastAsia"/>
                <w:color w:val="auto"/>
                <w:lang w:val="en-US" w:eastAsia="zh-CN"/>
              </w:rPr>
            </w:pPr>
            <w:r>
              <w:rPr>
                <w:rFonts w:hint="eastAsia"/>
                <w:color w:val="auto"/>
                <w:lang w:val="en-US" w:eastAsia="zh-CN"/>
              </w:rPr>
              <w:t>根据《衡阳市城市总体规划（2006-2020）》的规划定位：把该地区发展成为具有面向区域的综合服务功能、新的城市服务功能及居住功能的新区。根据《衡阳市合江套老工业区搬迁改造实施方案（2014-2022）》，合江套老工业区搬迁改造完成后，建设发展定位为：衡阳市城市服务功能副中心，形成并承载着旅游休闲区、实地花廊商住区、养老产业区、旧城区提升区、文化风情街区五大功能区，成为生态宜居之城、文化休闲之城、商业金融之城、创新创业之城。为此，根据合江套老工业区实施整体搬迁改造的要求，在衡阳市城市总体规划的基础上，已编制</w:t>
            </w:r>
            <w:r>
              <w:rPr>
                <w:rFonts w:hint="eastAsia"/>
                <w:color w:val="auto"/>
                <w:highlight w:val="none"/>
                <w:lang w:val="en-US" w:eastAsia="zh-CN"/>
              </w:rPr>
              <w:t>《衡阳市石鼓第八片“来雁新城”（华侨城）控制性详细规划》</w:t>
            </w:r>
            <w:r>
              <w:rPr>
                <w:rFonts w:hint="eastAsia"/>
                <w:color w:val="auto"/>
                <w:lang w:val="en-US" w:eastAsia="zh-CN"/>
              </w:rPr>
              <w:t>。</w:t>
            </w:r>
          </w:p>
          <w:p>
            <w:pPr>
              <w:bidi w:val="0"/>
              <w:rPr>
                <w:rFonts w:hint="default"/>
                <w:color w:val="auto"/>
                <w:highlight w:val="yellow"/>
                <w:lang w:val="en-US" w:eastAsia="zh-CN"/>
              </w:rPr>
            </w:pPr>
            <w:r>
              <w:rPr>
                <w:rFonts w:hint="eastAsia"/>
                <w:color w:val="auto"/>
                <w:highlight w:val="none"/>
                <w:lang w:val="en-US" w:eastAsia="zh-CN"/>
              </w:rPr>
              <w:t>根据《衡阳市石鼓第八片“来雁新城”（华侨城）控制性详细规划》，来雁新城规划范围为东至湘江北路，南至书院路、来雁路，西至蒸阳北路、衡岳大道，北至三环，规划总面积为11.7228km</w:t>
            </w:r>
            <w:r>
              <w:rPr>
                <w:rFonts w:hint="eastAsia"/>
                <w:color w:val="auto"/>
                <w:highlight w:val="none"/>
                <w:vertAlign w:val="superscript"/>
                <w:lang w:val="en-US" w:eastAsia="zh-CN"/>
              </w:rPr>
              <w:t>2</w:t>
            </w:r>
            <w:r>
              <w:rPr>
                <w:rFonts w:hint="eastAsia"/>
                <w:color w:val="auto"/>
                <w:highlight w:val="none"/>
                <w:lang w:val="en-US" w:eastAsia="zh-CN"/>
              </w:rPr>
              <w:t>。规划定位为：以湘江、耒水和蒸水“三江汇流”生态环境和交通区位优势为导向，以文旅休闲、生态宜居为主线，交通便捷、配套完善的衡阳市新型休闲城市住区。</w:t>
            </w:r>
          </w:p>
          <w:p>
            <w:pPr>
              <w:bidi w:val="0"/>
              <w:rPr>
                <w:rFonts w:hint="eastAsia"/>
                <w:color w:val="auto"/>
                <w:lang w:val="en-US" w:eastAsia="zh-CN"/>
              </w:rPr>
            </w:pPr>
            <w:r>
              <w:rPr>
                <w:rFonts w:hint="eastAsia"/>
                <w:color w:val="auto"/>
                <w:lang w:val="en-US" w:eastAsia="zh-CN"/>
              </w:rPr>
              <w:t>衡阳侨城文化旅游度假区一期建设项目为来雁新城规划项目中的子项目，位于来雁新城范围内，东至湘江北路，西至草后街，南至北三环，北至依石路。根据衡阳市自然资源和规划局发布的规划条件通知书（衡资规划函（条）〔2021〕81号），本项目用地性质为娱乐康体用地，符合衡阳市石鼓第八片“来雁新城”控制性详细规划设计土地利用规划，故本项目选址合理。</w:t>
            </w:r>
          </w:p>
          <w:p>
            <w:pPr>
              <w:pStyle w:val="8"/>
              <w:bidi w:val="0"/>
              <w:rPr>
                <w:rFonts w:hint="eastAsia"/>
                <w:lang w:val="en-US" w:eastAsia="zh-CN"/>
              </w:rPr>
            </w:pPr>
            <w:r>
              <w:rPr>
                <w:rFonts w:hint="eastAsia"/>
                <w:lang w:val="en-US" w:eastAsia="zh-CN"/>
              </w:rPr>
              <w:t>3、与“三线一单”要求相符性分析</w:t>
            </w:r>
          </w:p>
          <w:p>
            <w:pPr>
              <w:bidi w:val="0"/>
              <w:ind w:left="0" w:leftChars="0" w:firstLine="480" w:firstLineChars="200"/>
              <w:jc w:val="both"/>
              <w:rPr>
                <w:rFonts w:hint="eastAsia"/>
                <w:lang w:val="en-US" w:eastAsia="zh-CN"/>
              </w:rPr>
            </w:pPr>
            <w:r>
              <w:rPr>
                <w:rFonts w:hint="eastAsia"/>
                <w:lang w:val="en-US" w:eastAsia="zh-CN"/>
              </w:rPr>
              <w:t>（1）生态保护红线相符性分析</w:t>
            </w:r>
          </w:p>
          <w:p>
            <w:pPr>
              <w:bidi w:val="0"/>
              <w:rPr>
                <w:rFonts w:hint="eastAsia"/>
              </w:rPr>
            </w:pPr>
            <w:r>
              <w:rPr>
                <w:rFonts w:hint="eastAsia"/>
              </w:rPr>
              <w:t>根据《湖南省生态保护红线》，湖南省生态保护红线划定面积为4.28万平方公里，占全省国土面积的20.23%。全省生态保护红线空间格局为“一湖三山四水”：“一湖”为洞庭湖（主要包括东洞庭湖、南洞庭湖、横岭湖、西洞庭湖等自然保护区和长江岸线），主要生态功能为生物多样性维护、洪水调蓄。“三山”包括武陵—雪峰山脉生态屏障，主要生态功能为生物多样性维护与水土保持；罗霄—幕阜山脉生态屏障，主要生态功能为生物多样性维护、水源涵养和水土保持；南岭山脉生态屏障，主要生态功能为水源涵养和生物多样性维护，其中南岭山脉生态屏障是南方丘陵山地带的重要组成部分。“四水”为湘资沅澧（湘江、资水、沅江、澧水）的源头区及重要水域。</w:t>
            </w:r>
          </w:p>
          <w:p>
            <w:pPr>
              <w:bidi w:val="0"/>
              <w:rPr>
                <w:rFonts w:hint="eastAsia"/>
                <w:lang w:val="en-US" w:eastAsia="zh-CN"/>
              </w:rPr>
            </w:pPr>
            <w:r>
              <w:rPr>
                <w:rFonts w:hint="eastAsia"/>
                <w:lang w:val="en-US" w:eastAsia="zh-CN"/>
              </w:rPr>
              <w:t>本项目位于衡阳市石鼓区来雁新城范围内，不在上述生态保护红线范围内。因此，本项目建设符合《湖南省生态保护红线》相关要求。</w:t>
            </w:r>
          </w:p>
          <w:p>
            <w:pPr>
              <w:bidi w:val="0"/>
              <w:ind w:left="0" w:leftChars="0" w:firstLine="480" w:firstLineChars="200"/>
              <w:jc w:val="both"/>
              <w:rPr>
                <w:rFonts w:hint="eastAsia"/>
                <w:lang w:val="en-US" w:eastAsia="zh-CN"/>
              </w:rPr>
            </w:pPr>
            <w:r>
              <w:rPr>
                <w:rFonts w:hint="eastAsia"/>
                <w:lang w:val="en-US" w:eastAsia="zh-CN"/>
              </w:rPr>
              <w:t>（2）环境质量底线相符性分析</w:t>
            </w:r>
          </w:p>
          <w:p>
            <w:pPr>
              <w:bidi w:val="0"/>
              <w:rPr>
                <w:rFonts w:hint="eastAsia"/>
                <w:lang w:val="en-US" w:eastAsia="zh-CN"/>
              </w:rPr>
            </w:pPr>
            <w:r>
              <w:rPr>
                <w:rFonts w:hint="eastAsia"/>
                <w:lang w:val="en-US" w:eastAsia="zh-CN"/>
              </w:rPr>
              <w:t>根据本项目环境质量现状分析章节内容知，项目选址所在区域环境空气各监测因子年均浓度监测值均满足《环境空气质量标准》（GB 3095-2012）及其修改单二级标准，即区域尚有一定的环境容量，在采取相应的措施后，项目运营期废气对周围环境影响较小；项目所在区域地表水监测因子质量均满足《地表水质量标准》（GB 3838-2002）中</w:t>
            </w:r>
            <w:r>
              <w:rPr>
                <w:rFonts w:hint="default" w:ascii="Times New Roman" w:hAnsi="Times New Roman" w:cs="Times New Roman"/>
                <w:lang w:val="en-US" w:eastAsia="zh-CN"/>
              </w:rPr>
              <w:t>Ⅱ</w:t>
            </w:r>
            <w:r>
              <w:rPr>
                <w:rFonts w:hint="eastAsia"/>
                <w:lang w:val="en-US" w:eastAsia="zh-CN"/>
              </w:rPr>
              <w:t>类标准，即区域尚有一定的环境容量；采取隔声、减振等降噪措施后，项目噪声对周围声环境影响不大。</w:t>
            </w:r>
          </w:p>
          <w:p>
            <w:pPr>
              <w:bidi w:val="0"/>
              <w:rPr>
                <w:rFonts w:hint="eastAsia"/>
                <w:lang w:val="en-US" w:eastAsia="zh-CN"/>
              </w:rPr>
            </w:pPr>
            <w:r>
              <w:rPr>
                <w:rFonts w:hint="eastAsia"/>
                <w:lang w:val="en-US" w:eastAsia="zh-CN"/>
              </w:rPr>
              <w:t>根据工程及环境影响分析，项目实施后污染物能够达标排放，不降低区域现有大气环境功能级别；废水进入污水处理厂处理，不降低区域水环境功能级别；场界噪声能够达标，不会降低区域声环境质量现状；项目产生的固体废物均进行合规处置。项目建设不会对区域环境功能要求产生明显影响。</w:t>
            </w:r>
          </w:p>
          <w:p>
            <w:pPr>
              <w:bidi w:val="0"/>
              <w:ind w:left="0" w:leftChars="0" w:firstLine="480" w:firstLineChars="200"/>
              <w:jc w:val="both"/>
              <w:rPr>
                <w:rFonts w:hint="default"/>
                <w:lang w:val="en-US" w:eastAsia="zh-CN"/>
              </w:rPr>
            </w:pPr>
            <w:r>
              <w:rPr>
                <w:rFonts w:hint="eastAsia"/>
                <w:lang w:val="en-US" w:eastAsia="zh-CN"/>
              </w:rPr>
              <w:t>（3）资源利用上线相符性分析</w:t>
            </w:r>
          </w:p>
          <w:p>
            <w:pPr>
              <w:bidi w:val="0"/>
              <w:rPr>
                <w:rFonts w:hint="eastAsia"/>
                <w:lang w:val="en-US" w:eastAsia="zh-CN"/>
              </w:rPr>
            </w:pPr>
            <w:r>
              <w:rPr>
                <w:rFonts w:hint="eastAsia"/>
                <w:lang w:val="en-US" w:eastAsia="zh-CN"/>
              </w:rPr>
              <w:t>本项目生产过程中所用的资源主要为水资源、电能。本项目给水由市政供水接入；电能由区域电网供应，严格执行主管部门资源利用的管理要求，不会突破当地的资源利用上线。</w:t>
            </w:r>
          </w:p>
          <w:p>
            <w:pPr>
              <w:bidi w:val="0"/>
              <w:ind w:left="0" w:leftChars="0" w:firstLine="480" w:firstLineChars="200"/>
              <w:jc w:val="both"/>
              <w:rPr>
                <w:rFonts w:hint="eastAsia"/>
                <w:lang w:val="en-US" w:eastAsia="zh-CN"/>
              </w:rPr>
            </w:pPr>
            <w:r>
              <w:rPr>
                <w:rFonts w:hint="eastAsia"/>
                <w:lang w:val="en-US" w:eastAsia="zh-CN"/>
              </w:rPr>
              <w:t>（4）</w:t>
            </w:r>
            <w:r>
              <w:rPr>
                <w:rFonts w:hint="eastAsia"/>
                <w:color w:val="auto"/>
                <w:lang w:val="en-US" w:eastAsia="zh-CN"/>
              </w:rPr>
              <w:t>生态环境准入清单相符性</w:t>
            </w:r>
          </w:p>
          <w:p>
            <w:pPr>
              <w:bidi w:val="0"/>
              <w:rPr>
                <w:rFonts w:hint="eastAsia"/>
                <w:lang w:val="en-US" w:eastAsia="zh-CN"/>
              </w:rPr>
            </w:pPr>
            <w:r>
              <w:rPr>
                <w:rFonts w:hint="eastAsia"/>
                <w:lang w:val="en-US" w:eastAsia="zh-CN"/>
              </w:rPr>
              <w:t>生态环境准入清单是基于生态保护红线、环境质量底线和资源利用上线，以清单方式列出的禁止、限制等差别化环境准入条件和要求。对照《国家发展改革委商务部关于印发〈市场准入负面清单（2020年版）〉的通知》中的产业准入负面清单、</w:t>
            </w:r>
            <w:r>
              <w:rPr>
                <w:rFonts w:hint="default"/>
                <w:lang w:val="en-US" w:eastAsia="zh-CN"/>
              </w:rPr>
              <w:t>《</w:t>
            </w:r>
            <w:r>
              <w:rPr>
                <w:rFonts w:hint="eastAsia"/>
                <w:lang w:eastAsia="zh-CN"/>
              </w:rPr>
              <w:t>湖南省国家重点生态功能区产业准入负面清单</w:t>
            </w:r>
            <w:r>
              <w:rPr>
                <w:rFonts w:hint="default"/>
                <w:lang w:val="en-US" w:eastAsia="zh-CN"/>
              </w:rPr>
              <w:t>》</w:t>
            </w:r>
            <w:r>
              <w:rPr>
                <w:rFonts w:hint="eastAsia"/>
                <w:lang w:val="en-US" w:eastAsia="zh-CN"/>
              </w:rPr>
              <w:t>（湘发改规划〔2016〕659号）和</w:t>
            </w:r>
            <w:r>
              <w:rPr>
                <w:rFonts w:hint="default"/>
                <w:lang w:val="en-US" w:eastAsia="zh-CN"/>
              </w:rPr>
              <w:t>《湖南省新增19个国家重点生态功能区产业准入负面清单（试行）》</w:t>
            </w:r>
            <w:r>
              <w:rPr>
                <w:rFonts w:hint="eastAsia"/>
                <w:lang w:val="en-US" w:eastAsia="zh-CN"/>
              </w:rPr>
              <w:t>（湘发改规划〔2018〕972号）内容</w:t>
            </w:r>
            <w:r>
              <w:rPr>
                <w:rFonts w:hint="default"/>
                <w:lang w:val="en-US" w:eastAsia="zh-CN"/>
              </w:rPr>
              <w:t>，本项目不在所涉及的负面清单中</w:t>
            </w:r>
            <w:r>
              <w:rPr>
                <w:rFonts w:hint="eastAsia"/>
                <w:lang w:val="en-US" w:eastAsia="zh-CN"/>
              </w:rPr>
              <w:t>，符合生态环境准入清单要求相关要求。</w:t>
            </w:r>
          </w:p>
          <w:p>
            <w:pPr>
              <w:bidi w:val="0"/>
              <w:rPr>
                <w:rFonts w:hint="eastAsia"/>
                <w:color w:val="auto"/>
                <w:lang w:val="en-US" w:eastAsia="zh-CN"/>
              </w:rPr>
            </w:pPr>
            <w:r>
              <w:rPr>
                <w:rFonts w:hint="eastAsia"/>
                <w:color w:val="auto"/>
                <w:lang w:val="en-US" w:eastAsia="zh-CN"/>
              </w:rPr>
              <w:t>根据《衡阳市人民政府关于实施“三线一单”生态环境分区管控的意见》，项目与其相符性分析见表1。</w:t>
            </w:r>
          </w:p>
          <w:p>
            <w:pPr>
              <w:bidi w:val="0"/>
              <w:rPr>
                <w:rFonts w:hint="eastAsia"/>
                <w:color w:val="auto"/>
                <w:lang w:val="en-US" w:eastAsia="zh-CN"/>
              </w:rPr>
            </w:pPr>
            <w:r>
              <w:rPr>
                <w:rFonts w:hint="eastAsia"/>
                <w:color w:val="auto"/>
              </w:rPr>
              <w:t>本项目位于</w:t>
            </w:r>
            <w:r>
              <w:rPr>
                <w:rFonts w:hint="eastAsia"/>
                <w:color w:val="auto"/>
                <w:lang w:eastAsia="zh-CN"/>
              </w:rPr>
              <w:t>衡阳市</w:t>
            </w:r>
            <w:r>
              <w:rPr>
                <w:rFonts w:hint="eastAsia"/>
                <w:color w:val="auto"/>
              </w:rPr>
              <w:t>石鼓区来雁新城</w:t>
            </w:r>
            <w:r>
              <w:rPr>
                <w:rFonts w:hint="eastAsia"/>
                <w:color w:val="auto"/>
                <w:lang w:val="en-US" w:eastAsia="zh-CN"/>
              </w:rPr>
              <w:t>，根据《衡阳市人民政府关于实施“三线一单”生态环境分区管控的意见（衡政发〔2020〕9号）》中附件3：衡阳市环境管控单元图，可知本项目属于衡阳市重点管控单元。现本环评对照衡阳市生态环境准入清单分析本项目是否与生态环境分区管控相适应，具体内容如下：</w:t>
            </w:r>
          </w:p>
          <w:p>
            <w:pPr>
              <w:pStyle w:val="18"/>
              <w:bidi w:val="0"/>
              <w:rPr>
                <w:rFonts w:hint="eastAsia"/>
                <w:color w:val="auto"/>
                <w:highlight w:val="none"/>
                <w:lang w:val="en-US" w:eastAsia="zh-CN"/>
              </w:rPr>
            </w:pPr>
            <w:r>
              <w:rPr>
                <w:rFonts w:hint="eastAsia"/>
                <w:color w:val="auto"/>
                <w:highlight w:val="none"/>
                <w:lang w:val="en-US" w:eastAsia="zh-CN"/>
              </w:rPr>
              <w:t xml:space="preserve">表1 </w:t>
            </w:r>
            <w:r>
              <w:rPr>
                <w:rFonts w:hint="eastAsia"/>
                <w:color w:val="auto"/>
                <w:lang w:val="en-US" w:eastAsia="zh-CN"/>
              </w:rPr>
              <w:t>与衡阳市石鼓区合江街道准入清单相符性分析</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701"/>
              <w:gridCol w:w="3115"/>
              <w:gridCol w:w="1639"/>
              <w:gridCol w:w="8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pPr>
                    <w:pStyle w:val="19"/>
                    <w:bidi w:val="0"/>
                    <w:jc w:val="center"/>
                    <w:rPr>
                      <w:rFonts w:hint="default"/>
                      <w:color w:val="auto"/>
                      <w:lang w:val="en-US" w:eastAsia="zh-CN"/>
                    </w:rPr>
                  </w:pPr>
                  <w:r>
                    <w:rPr>
                      <w:rFonts w:hint="eastAsia"/>
                      <w:color w:val="auto"/>
                      <w:lang w:val="en-US" w:eastAsia="zh-CN"/>
                    </w:rPr>
                    <w:t>序号</w:t>
                  </w:r>
                </w:p>
              </w:tc>
              <w:tc>
                <w:tcPr>
                  <w:tcW w:w="701" w:type="dxa"/>
                  <w:vAlign w:val="center"/>
                </w:tcPr>
                <w:p>
                  <w:pPr>
                    <w:pStyle w:val="19"/>
                    <w:bidi w:val="0"/>
                    <w:jc w:val="center"/>
                    <w:rPr>
                      <w:rFonts w:hint="default"/>
                      <w:color w:val="auto"/>
                      <w:lang w:val="en-US" w:eastAsia="zh-CN"/>
                    </w:rPr>
                  </w:pPr>
                  <w:r>
                    <w:rPr>
                      <w:rFonts w:hint="eastAsia"/>
                      <w:color w:val="auto"/>
                      <w:lang w:val="en-US" w:eastAsia="zh-CN"/>
                    </w:rPr>
                    <w:t>类别</w:t>
                  </w:r>
                </w:p>
              </w:tc>
              <w:tc>
                <w:tcPr>
                  <w:tcW w:w="3115" w:type="dxa"/>
                  <w:vAlign w:val="center"/>
                </w:tcPr>
                <w:p>
                  <w:pPr>
                    <w:pStyle w:val="19"/>
                    <w:bidi w:val="0"/>
                    <w:jc w:val="center"/>
                    <w:rPr>
                      <w:rFonts w:hint="default"/>
                      <w:color w:val="auto"/>
                      <w:lang w:val="en-US" w:eastAsia="zh-CN"/>
                    </w:rPr>
                  </w:pPr>
                  <w:r>
                    <w:rPr>
                      <w:rFonts w:hint="eastAsia"/>
                      <w:color w:val="auto"/>
                      <w:lang w:val="en-US" w:eastAsia="zh-CN"/>
                    </w:rPr>
                    <w:t>管控要求</w:t>
                  </w:r>
                </w:p>
              </w:tc>
              <w:tc>
                <w:tcPr>
                  <w:tcW w:w="1639" w:type="dxa"/>
                  <w:vAlign w:val="center"/>
                </w:tcPr>
                <w:p>
                  <w:pPr>
                    <w:pStyle w:val="19"/>
                    <w:bidi w:val="0"/>
                    <w:jc w:val="center"/>
                    <w:rPr>
                      <w:rFonts w:hint="default"/>
                      <w:color w:val="auto"/>
                      <w:lang w:val="en-US" w:eastAsia="zh-CN"/>
                    </w:rPr>
                  </w:pPr>
                  <w:r>
                    <w:rPr>
                      <w:rFonts w:hint="eastAsia"/>
                      <w:color w:val="auto"/>
                      <w:lang w:val="en-US" w:eastAsia="zh-CN"/>
                    </w:rPr>
                    <w:t>符合性分析</w:t>
                  </w:r>
                </w:p>
              </w:tc>
              <w:tc>
                <w:tcPr>
                  <w:tcW w:w="859" w:type="dxa"/>
                  <w:vAlign w:val="center"/>
                </w:tcPr>
                <w:p>
                  <w:pPr>
                    <w:pStyle w:val="19"/>
                    <w:bidi w:val="0"/>
                    <w:jc w:val="center"/>
                    <w:rPr>
                      <w:rFonts w:hint="default"/>
                      <w:color w:val="auto"/>
                      <w:lang w:val="en-US" w:eastAsia="zh-CN"/>
                    </w:rPr>
                  </w:pPr>
                  <w:r>
                    <w:rPr>
                      <w:rFonts w:hint="eastAsia"/>
                      <w:color w:val="auto"/>
                      <w:lang w:val="en-US" w:eastAsia="zh-CN"/>
                    </w:rPr>
                    <w:t>是否符合要求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pPr>
                    <w:pStyle w:val="19"/>
                    <w:bidi w:val="0"/>
                    <w:jc w:val="center"/>
                    <w:rPr>
                      <w:rFonts w:hint="default"/>
                      <w:color w:val="auto"/>
                      <w:lang w:val="en-US" w:eastAsia="zh-CN"/>
                    </w:rPr>
                  </w:pPr>
                  <w:r>
                    <w:rPr>
                      <w:rFonts w:hint="eastAsia"/>
                      <w:color w:val="auto"/>
                      <w:lang w:val="en-US" w:eastAsia="zh-CN"/>
                    </w:rPr>
                    <w:t>1</w:t>
                  </w:r>
                </w:p>
              </w:tc>
              <w:tc>
                <w:tcPr>
                  <w:tcW w:w="701" w:type="dxa"/>
                  <w:vAlign w:val="center"/>
                </w:tcPr>
                <w:p>
                  <w:pPr>
                    <w:pStyle w:val="19"/>
                    <w:bidi w:val="0"/>
                    <w:jc w:val="center"/>
                    <w:rPr>
                      <w:rFonts w:hint="default"/>
                      <w:color w:val="auto"/>
                      <w:lang w:val="en-US" w:eastAsia="zh-CN"/>
                    </w:rPr>
                  </w:pPr>
                  <w:r>
                    <w:rPr>
                      <w:rFonts w:hint="eastAsia"/>
                      <w:color w:val="auto"/>
                      <w:lang w:val="en-US" w:eastAsia="zh-CN"/>
                    </w:rPr>
                    <w:t>环境管控单元</w:t>
                  </w:r>
                </w:p>
              </w:tc>
              <w:tc>
                <w:tcPr>
                  <w:tcW w:w="3115" w:type="dxa"/>
                  <w:vAlign w:val="center"/>
                </w:tcPr>
                <w:p>
                  <w:pPr>
                    <w:pStyle w:val="19"/>
                    <w:bidi w:val="0"/>
                    <w:rPr>
                      <w:rFonts w:hint="default"/>
                      <w:color w:val="auto"/>
                      <w:lang w:val="en-US" w:eastAsia="zh-CN"/>
                    </w:rPr>
                  </w:pPr>
                  <w:r>
                    <w:rPr>
                      <w:rFonts w:hint="default"/>
                      <w:color w:val="auto"/>
                    </w:rPr>
                    <w:t>环境管控单元分为三类，分为优先保护单元；重点管控单元；一般管控单元。</w:t>
                  </w:r>
                </w:p>
              </w:tc>
              <w:tc>
                <w:tcPr>
                  <w:tcW w:w="1639" w:type="dxa"/>
                  <w:vAlign w:val="center"/>
                </w:tcPr>
                <w:p>
                  <w:pPr>
                    <w:pStyle w:val="19"/>
                    <w:bidi w:val="0"/>
                    <w:rPr>
                      <w:rFonts w:hint="default"/>
                      <w:color w:val="auto"/>
                      <w:lang w:val="en-US" w:eastAsia="zh-CN"/>
                    </w:rPr>
                  </w:pPr>
                  <w:r>
                    <w:rPr>
                      <w:rFonts w:hint="eastAsia"/>
                      <w:color w:val="auto"/>
                      <w:lang w:val="en-US" w:eastAsia="zh-CN"/>
                    </w:rPr>
                    <w:t>本项目位于衡阳市石鼓区，属于重点管控单元。</w:t>
                  </w:r>
                </w:p>
              </w:tc>
              <w:tc>
                <w:tcPr>
                  <w:tcW w:w="859" w:type="dxa"/>
                  <w:vAlign w:val="center"/>
                </w:tcPr>
                <w:p>
                  <w:pPr>
                    <w:pStyle w:val="19"/>
                    <w:bidi w:val="0"/>
                    <w:rPr>
                      <w:rFonts w:hint="default"/>
                      <w:color w:val="auto"/>
                      <w:lang w:val="en-US" w:eastAsia="zh-CN"/>
                    </w:rPr>
                  </w:pPr>
                  <w:r>
                    <w:rPr>
                      <w:rFonts w:hint="default"/>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pPr>
                    <w:pStyle w:val="19"/>
                    <w:bidi w:val="0"/>
                    <w:jc w:val="center"/>
                    <w:rPr>
                      <w:rFonts w:hint="default"/>
                      <w:color w:val="auto"/>
                      <w:lang w:val="en-US" w:eastAsia="zh-CN"/>
                    </w:rPr>
                  </w:pPr>
                  <w:r>
                    <w:rPr>
                      <w:rFonts w:hint="eastAsia"/>
                      <w:color w:val="auto"/>
                      <w:lang w:val="en-US" w:eastAsia="zh-CN"/>
                    </w:rPr>
                    <w:t>2</w:t>
                  </w:r>
                </w:p>
              </w:tc>
              <w:tc>
                <w:tcPr>
                  <w:tcW w:w="701" w:type="dxa"/>
                  <w:vAlign w:val="center"/>
                </w:tcPr>
                <w:p>
                  <w:pPr>
                    <w:pStyle w:val="19"/>
                    <w:bidi w:val="0"/>
                    <w:jc w:val="center"/>
                    <w:rPr>
                      <w:rFonts w:hint="default"/>
                      <w:color w:val="auto"/>
                      <w:lang w:val="en-US" w:eastAsia="zh-CN"/>
                    </w:rPr>
                  </w:pPr>
                  <w:r>
                    <w:rPr>
                      <w:rFonts w:hint="eastAsia"/>
                      <w:color w:val="auto"/>
                      <w:lang w:val="en-US" w:eastAsia="zh-CN"/>
                    </w:rPr>
                    <w:t>主要属性</w:t>
                  </w:r>
                </w:p>
              </w:tc>
              <w:tc>
                <w:tcPr>
                  <w:tcW w:w="3115" w:type="dxa"/>
                  <w:vAlign w:val="center"/>
                </w:tcPr>
                <w:p>
                  <w:pPr>
                    <w:pStyle w:val="19"/>
                    <w:bidi w:val="0"/>
                    <w:rPr>
                      <w:rFonts w:hint="eastAsia"/>
                      <w:color w:val="auto"/>
                      <w:lang w:val="en-US" w:eastAsia="zh-CN"/>
                    </w:rPr>
                  </w:pPr>
                  <w:r>
                    <w:rPr>
                      <w:rFonts w:hint="eastAsia"/>
                      <w:color w:val="auto"/>
                      <w:lang w:eastAsia="zh-CN"/>
                    </w:rPr>
                    <w:t>▉红线/一般生态空间——</w:t>
                  </w:r>
                  <w:r>
                    <w:rPr>
                      <w:color w:val="auto"/>
                    </w:rPr>
                    <w:t>水产种质资源保护区/水源涵养重要</w:t>
                  </w:r>
                  <w:r>
                    <w:rPr>
                      <w:rFonts w:hint="eastAsia"/>
                      <w:color w:val="auto"/>
                      <w:lang w:val="en-US" w:eastAsia="zh-CN"/>
                    </w:rPr>
                    <w:t>区</w:t>
                  </w:r>
                </w:p>
                <w:p>
                  <w:pPr>
                    <w:pStyle w:val="19"/>
                    <w:bidi w:val="0"/>
                    <w:rPr>
                      <w:rFonts w:hint="eastAsia"/>
                      <w:color w:val="auto"/>
                      <w:lang w:eastAsia="zh-CN"/>
                    </w:rPr>
                  </w:pPr>
                  <w:r>
                    <w:rPr>
                      <w:rFonts w:hint="eastAsia"/>
                      <w:color w:val="auto"/>
                      <w:lang w:eastAsia="zh-CN"/>
                    </w:rPr>
                    <w:t>▉水环境优先保护区——</w:t>
                  </w:r>
                  <w:r>
                    <w:rPr>
                      <w:color w:val="auto"/>
                    </w:rPr>
                    <w:t>湘江衡阳段四大家鱼国家级水产种质资源保护区</w:t>
                  </w:r>
                </w:p>
                <w:p>
                  <w:pPr>
                    <w:pStyle w:val="19"/>
                    <w:bidi w:val="0"/>
                    <w:rPr>
                      <w:rFonts w:hint="eastAsia"/>
                      <w:color w:val="auto"/>
                      <w:lang w:val="en-US" w:eastAsia="zh-CN"/>
                    </w:rPr>
                  </w:pPr>
                  <w:r>
                    <w:rPr>
                      <w:rFonts w:hint="eastAsia"/>
                      <w:color w:val="auto"/>
                      <w:lang w:eastAsia="zh-CN"/>
                    </w:rPr>
                    <w:t>▉</w:t>
                  </w:r>
                  <w:r>
                    <w:rPr>
                      <w:rFonts w:hint="eastAsia"/>
                      <w:color w:val="auto"/>
                      <w:lang w:val="en-US" w:eastAsia="zh-CN"/>
                    </w:rPr>
                    <w:t>大气环境布局敏感重点管控区</w:t>
                  </w:r>
                  <w:r>
                    <w:rPr>
                      <w:rFonts w:hint="eastAsia"/>
                      <w:color w:val="auto"/>
                      <w:lang w:eastAsia="zh-CN"/>
                    </w:rPr>
                    <w:t>/</w:t>
                  </w:r>
                  <w:r>
                    <w:rPr>
                      <w:rFonts w:hint="eastAsia"/>
                      <w:color w:val="auto"/>
                      <w:lang w:val="en-US" w:eastAsia="zh-CN"/>
                    </w:rPr>
                    <w:t>大气环境受体敏感重点管控区</w:t>
                  </w:r>
                </w:p>
                <w:p>
                  <w:pPr>
                    <w:pStyle w:val="19"/>
                    <w:bidi w:val="0"/>
                    <w:rPr>
                      <w:rFonts w:hint="default"/>
                      <w:color w:val="auto"/>
                      <w:lang w:val="en-US" w:eastAsia="zh-CN"/>
                    </w:rPr>
                  </w:pPr>
                  <w:r>
                    <w:rPr>
                      <w:rFonts w:hint="eastAsia"/>
                      <w:color w:val="auto"/>
                      <w:lang w:eastAsia="zh-CN"/>
                    </w:rPr>
                    <w:t>▉</w:t>
                  </w:r>
                  <w:r>
                    <w:rPr>
                      <w:rFonts w:hint="eastAsia"/>
                      <w:color w:val="auto"/>
                      <w:lang w:val="en-US" w:eastAsia="zh-CN"/>
                    </w:rPr>
                    <w:t>建设用地污染风险重点管控区——湖南今天化肥化工股份有限公司遗留地块、衡阳市众和、翔达化工有限公司遗留地块</w:t>
                  </w:r>
                </w:p>
              </w:tc>
              <w:tc>
                <w:tcPr>
                  <w:tcW w:w="1639" w:type="dxa"/>
                  <w:vAlign w:val="center"/>
                </w:tcPr>
                <w:p>
                  <w:pPr>
                    <w:pStyle w:val="19"/>
                    <w:bidi w:val="0"/>
                    <w:rPr>
                      <w:rFonts w:hint="default"/>
                      <w:color w:val="auto"/>
                      <w:lang w:val="en-US" w:eastAsia="zh-CN"/>
                    </w:rPr>
                  </w:pPr>
                  <w:r>
                    <w:rPr>
                      <w:rFonts w:hint="eastAsia"/>
                      <w:color w:val="auto"/>
                      <w:lang w:val="en-US" w:eastAsia="zh-CN"/>
                    </w:rPr>
                    <w:t>本项目位于衡阳市石鼓区来雁新城</w:t>
                  </w:r>
                  <w:r>
                    <w:rPr>
                      <w:rFonts w:hint="default"/>
                      <w:color w:val="auto"/>
                      <w:lang w:val="en-US" w:eastAsia="zh-CN"/>
                    </w:rPr>
                    <w:t>，</w:t>
                  </w:r>
                  <w:r>
                    <w:rPr>
                      <w:rFonts w:hint="eastAsia"/>
                      <w:color w:val="auto"/>
                      <w:lang w:val="en-US" w:eastAsia="zh-CN"/>
                    </w:rPr>
                    <w:t>未在水环境优先保护区、大气环境布局敏感重点管控区和建设用地污染风险重点管控区。</w:t>
                  </w:r>
                </w:p>
              </w:tc>
              <w:tc>
                <w:tcPr>
                  <w:tcW w:w="859" w:type="dxa"/>
                  <w:vAlign w:val="center"/>
                </w:tcPr>
                <w:p>
                  <w:pPr>
                    <w:pStyle w:val="19"/>
                    <w:bidi w:val="0"/>
                    <w:jc w:val="center"/>
                    <w:rPr>
                      <w:rFonts w:hint="default"/>
                      <w:color w:val="auto"/>
                      <w:lang w:val="en-US" w:eastAsia="zh-CN"/>
                    </w:rPr>
                  </w:pPr>
                  <w:r>
                    <w:rPr>
                      <w:rFonts w:hint="default"/>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pPr>
                    <w:pStyle w:val="19"/>
                    <w:bidi w:val="0"/>
                    <w:jc w:val="center"/>
                    <w:rPr>
                      <w:rFonts w:hint="default"/>
                      <w:color w:val="auto"/>
                      <w:lang w:val="en-US" w:eastAsia="zh-CN"/>
                    </w:rPr>
                  </w:pPr>
                  <w:r>
                    <w:rPr>
                      <w:rFonts w:hint="eastAsia"/>
                      <w:color w:val="auto"/>
                      <w:lang w:val="en-US" w:eastAsia="zh-CN"/>
                    </w:rPr>
                    <w:t>3</w:t>
                  </w:r>
                </w:p>
              </w:tc>
              <w:tc>
                <w:tcPr>
                  <w:tcW w:w="701" w:type="dxa"/>
                  <w:vAlign w:val="center"/>
                </w:tcPr>
                <w:p>
                  <w:pPr>
                    <w:pStyle w:val="19"/>
                    <w:bidi w:val="0"/>
                    <w:jc w:val="center"/>
                    <w:rPr>
                      <w:rFonts w:hint="default"/>
                      <w:color w:val="auto"/>
                      <w:lang w:val="en-US" w:eastAsia="zh-CN"/>
                    </w:rPr>
                  </w:pPr>
                  <w:r>
                    <w:rPr>
                      <w:rFonts w:hint="eastAsia"/>
                      <w:color w:val="auto"/>
                      <w:lang w:val="en-US" w:eastAsia="zh-CN"/>
                    </w:rPr>
                    <w:t>空间布局约束</w:t>
                  </w:r>
                </w:p>
              </w:tc>
              <w:tc>
                <w:tcPr>
                  <w:tcW w:w="3115" w:type="dxa"/>
                  <w:vAlign w:val="center"/>
                </w:tcPr>
                <w:p>
                  <w:pPr>
                    <w:pStyle w:val="19"/>
                    <w:bidi w:val="0"/>
                    <w:rPr>
                      <w:color w:val="auto"/>
                    </w:rPr>
                  </w:pPr>
                  <w:r>
                    <w:rPr>
                      <w:color w:val="auto"/>
                    </w:rPr>
                    <w:t>（1.1）全区不再新建钢铁、水泥等产能严重过剩行业的新增产能项目。建成区不再新建35蒸吨以下燃煤锅炉。</w:t>
                  </w:r>
                </w:p>
                <w:p>
                  <w:pPr>
                    <w:pStyle w:val="19"/>
                    <w:bidi w:val="0"/>
                    <w:rPr>
                      <w:rFonts w:hint="default"/>
                      <w:color w:val="auto"/>
                      <w:lang w:val="en-US" w:eastAsia="zh-CN"/>
                    </w:rPr>
                  </w:pPr>
                  <w:r>
                    <w:rPr>
                      <w:color w:val="auto"/>
                    </w:rPr>
                    <w:t>（1.2）水产种质资源保护区按《水产种质资源保护区管理暂行办法》</w:t>
                  </w:r>
                  <w:r>
                    <w:rPr>
                      <w:rFonts w:hint="eastAsia"/>
                      <w:color w:val="auto"/>
                    </w:rPr>
                    <w:t>（2016年修正本）</w:t>
                  </w:r>
                  <w:r>
                    <w:rPr>
                      <w:color w:val="auto"/>
                    </w:rPr>
                    <w:t>要求管理。</w:t>
                  </w:r>
                </w:p>
              </w:tc>
              <w:tc>
                <w:tcPr>
                  <w:tcW w:w="1639" w:type="dxa"/>
                  <w:vAlign w:val="center"/>
                </w:tcPr>
                <w:p>
                  <w:pPr>
                    <w:pStyle w:val="19"/>
                    <w:bidi w:val="0"/>
                    <w:rPr>
                      <w:rFonts w:hint="eastAsia"/>
                      <w:color w:val="auto"/>
                      <w:lang w:val="en-US" w:eastAsia="zh-CN"/>
                    </w:rPr>
                  </w:pPr>
                  <w:r>
                    <w:rPr>
                      <w:rFonts w:hint="default"/>
                      <w:color w:val="auto"/>
                    </w:rPr>
                    <w:t>（1.1）</w:t>
                  </w:r>
                  <w:r>
                    <w:rPr>
                      <w:rFonts w:hint="eastAsia"/>
                      <w:color w:val="auto"/>
                      <w:lang w:val="en-US" w:eastAsia="zh-CN"/>
                    </w:rPr>
                    <w:t>本</w:t>
                  </w:r>
                  <w:r>
                    <w:rPr>
                      <w:rFonts w:hint="default"/>
                      <w:color w:val="auto"/>
                    </w:rPr>
                    <w:t>项目</w:t>
                  </w:r>
                  <w:r>
                    <w:rPr>
                      <w:rFonts w:hint="eastAsia"/>
                      <w:color w:val="auto"/>
                      <w:lang w:val="en-US" w:eastAsia="zh-CN"/>
                    </w:rPr>
                    <w:t>为公园</w:t>
                  </w:r>
                  <w:r>
                    <w:rPr>
                      <w:rFonts w:hint="eastAsia"/>
                      <w:color w:val="auto"/>
                      <w:lang w:eastAsia="zh-CN"/>
                    </w:rPr>
                    <w:t>，</w:t>
                  </w:r>
                  <w:r>
                    <w:rPr>
                      <w:rFonts w:hint="eastAsia"/>
                      <w:color w:val="auto"/>
                      <w:lang w:val="en-US" w:eastAsia="zh-CN"/>
                    </w:rPr>
                    <w:t>不属于钢铁、水泥等产能严重过剩项目；</w:t>
                  </w:r>
                </w:p>
                <w:p>
                  <w:pPr>
                    <w:pStyle w:val="19"/>
                    <w:bidi w:val="0"/>
                    <w:rPr>
                      <w:rFonts w:hint="default"/>
                      <w:color w:val="auto"/>
                      <w:lang w:val="en-US" w:eastAsia="zh-CN"/>
                    </w:rPr>
                  </w:pPr>
                  <w:r>
                    <w:rPr>
                      <w:rFonts w:hint="default"/>
                      <w:color w:val="auto"/>
                    </w:rPr>
                    <w:t>（1.</w:t>
                  </w:r>
                  <w:r>
                    <w:rPr>
                      <w:rFonts w:hint="eastAsia"/>
                      <w:color w:val="auto"/>
                      <w:lang w:val="en-US" w:eastAsia="zh-CN"/>
                    </w:rPr>
                    <w:t>2</w:t>
                  </w:r>
                  <w:r>
                    <w:rPr>
                      <w:rFonts w:hint="default"/>
                      <w:color w:val="auto"/>
                    </w:rPr>
                    <w:t>）</w:t>
                  </w:r>
                  <w:r>
                    <w:rPr>
                      <w:rFonts w:hint="eastAsia"/>
                      <w:color w:val="auto"/>
                      <w:lang w:val="en-US" w:eastAsia="zh-CN"/>
                    </w:rPr>
                    <w:t>项目不在</w:t>
                  </w:r>
                  <w:r>
                    <w:rPr>
                      <w:rFonts w:hint="default"/>
                      <w:color w:val="auto"/>
                    </w:rPr>
                    <w:t>水产种质资源保护</w:t>
                  </w:r>
                  <w:r>
                    <w:rPr>
                      <w:rFonts w:hint="eastAsia"/>
                      <w:color w:val="auto"/>
                      <w:lang w:val="en-US" w:eastAsia="zh-CN"/>
                    </w:rPr>
                    <w:t>区。</w:t>
                  </w:r>
                </w:p>
              </w:tc>
              <w:tc>
                <w:tcPr>
                  <w:tcW w:w="859" w:type="dxa"/>
                  <w:vAlign w:val="center"/>
                </w:tcPr>
                <w:p>
                  <w:pPr>
                    <w:pStyle w:val="19"/>
                    <w:bidi w:val="0"/>
                    <w:rPr>
                      <w:rFonts w:hint="default"/>
                      <w:color w:val="auto"/>
                      <w:lang w:val="en-US" w:eastAsia="zh-CN"/>
                    </w:rPr>
                  </w:pPr>
                  <w:r>
                    <w:rPr>
                      <w:rFonts w:hint="default"/>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pPr>
                    <w:pStyle w:val="19"/>
                    <w:bidi w:val="0"/>
                    <w:jc w:val="center"/>
                    <w:rPr>
                      <w:rFonts w:hint="default"/>
                      <w:color w:val="auto"/>
                      <w:lang w:val="en-US" w:eastAsia="zh-CN"/>
                    </w:rPr>
                  </w:pPr>
                  <w:r>
                    <w:rPr>
                      <w:rFonts w:hint="eastAsia"/>
                      <w:color w:val="auto"/>
                      <w:lang w:val="en-US" w:eastAsia="zh-CN"/>
                    </w:rPr>
                    <w:t>4</w:t>
                  </w:r>
                </w:p>
              </w:tc>
              <w:tc>
                <w:tcPr>
                  <w:tcW w:w="701" w:type="dxa"/>
                  <w:vAlign w:val="center"/>
                </w:tcPr>
                <w:p>
                  <w:pPr>
                    <w:pStyle w:val="19"/>
                    <w:bidi w:val="0"/>
                    <w:jc w:val="center"/>
                    <w:rPr>
                      <w:rFonts w:hint="default"/>
                      <w:color w:val="auto"/>
                      <w:lang w:val="en-US" w:eastAsia="zh-CN"/>
                    </w:rPr>
                  </w:pPr>
                  <w:r>
                    <w:rPr>
                      <w:rFonts w:eastAsiaTheme="minorEastAsia"/>
                      <w:color w:val="auto"/>
                      <w:kern w:val="0"/>
                      <w:szCs w:val="21"/>
                    </w:rPr>
                    <w:t>污染物排放管控</w:t>
                  </w:r>
                </w:p>
              </w:tc>
              <w:tc>
                <w:tcPr>
                  <w:tcW w:w="3115" w:type="dxa"/>
                  <w:vAlign w:val="center"/>
                </w:tcPr>
                <w:p>
                  <w:pPr>
                    <w:pStyle w:val="19"/>
                    <w:bidi w:val="0"/>
                    <w:rPr>
                      <w:color w:val="auto"/>
                    </w:rPr>
                  </w:pPr>
                  <w:r>
                    <w:rPr>
                      <w:color w:val="auto"/>
                    </w:rPr>
                    <w:t>（2.1）雁栖湖截污管网接入黄沙湾泵站，逸夫中学污水接入黄沙湾泵站，角山污水处理厂纳污范围内污水全部进入角山污水处理厂。对污水处理设施产生的污泥应进行稳定化、无害化和资源化处理处置。完成“千吨万人”饮用水水源地环境问题清理整治。</w:t>
                  </w:r>
                </w:p>
                <w:p>
                  <w:pPr>
                    <w:pStyle w:val="19"/>
                    <w:bidi w:val="0"/>
                    <w:rPr>
                      <w:color w:val="auto"/>
                    </w:rPr>
                  </w:pPr>
                  <w:r>
                    <w:rPr>
                      <w:color w:val="auto"/>
                    </w:rPr>
                    <w:t>（2.2）2020年底前，全面完成“散乱污”企业整治工作；关停拆除高污染燃料禁燃区域内的燃煤小锅炉、工业窑炉；完成年排放量100吨以上包装印刷、工业涂装、家具制造等重点行业VOCs污染治理，加油站、储油库基本完成油气回收治理工作；严禁秸秆露天焚烧。</w:t>
                  </w:r>
                </w:p>
                <w:p>
                  <w:pPr>
                    <w:pStyle w:val="19"/>
                    <w:bidi w:val="0"/>
                    <w:rPr>
                      <w:rFonts w:hint="default"/>
                      <w:color w:val="auto"/>
                      <w:lang w:val="en-US" w:eastAsia="zh-CN"/>
                    </w:rPr>
                  </w:pPr>
                  <w:r>
                    <w:rPr>
                      <w:color w:val="auto"/>
                    </w:rPr>
                    <w:t>（2.3）建立健全城镇垃圾收集转运及处理处置体系，推动生活垃圾分类，统筹布局生活垃圾转运站，逐步淘汰敞开式收运设施，在全市建成区推广密闭压缩式收运方式，加快建设生活垃圾处理设施；对于无渗滤液处理设施、渗滤液处理不达标的生活垃圾处理设施，加快完成改造。</w:t>
                  </w:r>
                </w:p>
              </w:tc>
              <w:tc>
                <w:tcPr>
                  <w:tcW w:w="1639" w:type="dxa"/>
                  <w:vAlign w:val="center"/>
                </w:tcPr>
                <w:p>
                  <w:pPr>
                    <w:pStyle w:val="19"/>
                    <w:bidi w:val="0"/>
                    <w:rPr>
                      <w:rFonts w:hint="default"/>
                      <w:color w:val="auto"/>
                      <w:lang w:val="en-US" w:eastAsia="zh-CN"/>
                    </w:rPr>
                  </w:pPr>
                  <w:r>
                    <w:rPr>
                      <w:rFonts w:hint="default"/>
                      <w:color w:val="auto"/>
                    </w:rPr>
                    <w:t>（2.1）</w:t>
                  </w:r>
                  <w:r>
                    <w:rPr>
                      <w:rFonts w:hint="default"/>
                      <w:color w:val="auto"/>
                      <w:lang w:val="en-US" w:eastAsia="zh-CN"/>
                    </w:rPr>
                    <w:t>员工食堂废水、主题餐厅废水经</w:t>
                  </w:r>
                  <w:r>
                    <w:rPr>
                      <w:rFonts w:hint="eastAsia"/>
                      <w:color w:val="auto"/>
                      <w:lang w:val="en-US" w:eastAsia="zh-CN"/>
                    </w:rPr>
                    <w:t>隔油沉淀</w:t>
                  </w:r>
                  <w:r>
                    <w:rPr>
                      <w:rFonts w:hint="default"/>
                      <w:color w:val="auto"/>
                      <w:lang w:val="en-US" w:eastAsia="zh-CN"/>
                    </w:rPr>
                    <w:t>后，与员工生活污水</w:t>
                  </w:r>
                  <w:r>
                    <w:rPr>
                      <w:rFonts w:hint="default"/>
                      <w:color w:val="auto"/>
                    </w:rPr>
                    <w:t>、游客淋浴废水、公厕废水</w:t>
                  </w:r>
                  <w:r>
                    <w:rPr>
                      <w:rFonts w:hint="eastAsia"/>
                      <w:color w:val="auto"/>
                      <w:lang w:eastAsia="zh-CN"/>
                    </w:rPr>
                    <w:t>、</w:t>
                  </w:r>
                  <w:r>
                    <w:rPr>
                      <w:rFonts w:hint="eastAsia"/>
                      <w:color w:val="auto"/>
                      <w:lang w:val="en-US" w:eastAsia="zh-CN"/>
                    </w:rPr>
                    <w:t>水池娱乐废水</w:t>
                  </w:r>
                  <w:r>
                    <w:rPr>
                      <w:rFonts w:hint="default"/>
                      <w:color w:val="auto"/>
                      <w:lang w:val="en-US" w:eastAsia="zh-CN"/>
                    </w:rPr>
                    <w:t>一起进入化粪池，经</w:t>
                  </w:r>
                  <w:r>
                    <w:rPr>
                      <w:rFonts w:hint="default"/>
                      <w:color w:val="auto"/>
                    </w:rPr>
                    <w:t>化粪池处理达标后</w:t>
                  </w:r>
                  <w:r>
                    <w:rPr>
                      <w:rFonts w:hint="default"/>
                      <w:color w:val="auto"/>
                      <w:lang w:eastAsia="zh-CN"/>
                    </w:rPr>
                    <w:t>，</w:t>
                  </w:r>
                  <w:r>
                    <w:rPr>
                      <w:rFonts w:hint="default"/>
                      <w:color w:val="auto"/>
                      <w:lang w:val="en-US" w:eastAsia="zh-CN"/>
                    </w:rPr>
                    <w:t>通过</w:t>
                  </w:r>
                  <w:r>
                    <w:rPr>
                      <w:rFonts w:hint="default"/>
                      <w:color w:val="auto"/>
                    </w:rPr>
                    <w:t>市政污水管网</w:t>
                  </w:r>
                  <w:r>
                    <w:rPr>
                      <w:rFonts w:hint="default"/>
                      <w:color w:val="auto"/>
                      <w:lang w:val="en-US" w:eastAsia="zh-CN"/>
                    </w:rPr>
                    <w:t>排入</w:t>
                  </w:r>
                  <w:r>
                    <w:rPr>
                      <w:rFonts w:hint="default"/>
                      <w:color w:val="auto"/>
                      <w:lang w:eastAsia="zh-CN"/>
                    </w:rPr>
                    <w:t>松木</w:t>
                  </w:r>
                  <w:r>
                    <w:rPr>
                      <w:rFonts w:hint="default"/>
                      <w:color w:val="auto"/>
                      <w:lang w:val="en-US" w:eastAsia="zh-CN"/>
                    </w:rPr>
                    <w:t>生活</w:t>
                  </w:r>
                  <w:r>
                    <w:rPr>
                      <w:rFonts w:hint="default"/>
                      <w:color w:val="auto"/>
                      <w:lang w:eastAsia="zh-CN"/>
                    </w:rPr>
                    <w:t>污水处理厂</w:t>
                  </w:r>
                  <w:r>
                    <w:rPr>
                      <w:rFonts w:hint="eastAsia"/>
                      <w:color w:val="auto"/>
                      <w:lang w:eastAsia="zh-CN"/>
                    </w:rPr>
                    <w:t>；</w:t>
                  </w:r>
                </w:p>
                <w:p>
                  <w:pPr>
                    <w:pStyle w:val="19"/>
                    <w:bidi w:val="0"/>
                    <w:rPr>
                      <w:rFonts w:hint="eastAsia"/>
                      <w:color w:val="auto"/>
                      <w:lang w:eastAsia="zh-CN"/>
                    </w:rPr>
                  </w:pPr>
                  <w:r>
                    <w:rPr>
                      <w:rFonts w:hint="default"/>
                      <w:color w:val="auto"/>
                    </w:rPr>
                    <w:t>（2.2）项目不属于淘汰类</w:t>
                  </w:r>
                  <w:r>
                    <w:rPr>
                      <w:rFonts w:hint="eastAsia"/>
                      <w:color w:val="auto"/>
                      <w:lang w:eastAsia="zh-CN"/>
                    </w:rPr>
                    <w:t>“</w:t>
                  </w:r>
                  <w:r>
                    <w:rPr>
                      <w:rFonts w:hint="default"/>
                      <w:color w:val="auto"/>
                    </w:rPr>
                    <w:t>散乱污</w:t>
                  </w:r>
                  <w:r>
                    <w:rPr>
                      <w:rFonts w:hint="eastAsia"/>
                      <w:color w:val="auto"/>
                      <w:lang w:eastAsia="zh-CN"/>
                    </w:rPr>
                    <w:t>”</w:t>
                  </w:r>
                  <w:r>
                    <w:rPr>
                      <w:rFonts w:hint="default"/>
                      <w:color w:val="auto"/>
                    </w:rPr>
                    <w:t>企业、化工、有色金属冶炼等行业</w:t>
                  </w:r>
                  <w:r>
                    <w:rPr>
                      <w:rFonts w:hint="eastAsia"/>
                      <w:color w:val="auto"/>
                      <w:lang w:eastAsia="zh-CN"/>
                    </w:rPr>
                    <w:t>；</w:t>
                  </w:r>
                </w:p>
                <w:p>
                  <w:pPr>
                    <w:pStyle w:val="19"/>
                    <w:bidi w:val="0"/>
                    <w:rPr>
                      <w:rFonts w:hint="default"/>
                      <w:color w:val="auto"/>
                      <w:lang w:val="en-US" w:eastAsia="zh-CN"/>
                    </w:rPr>
                  </w:pPr>
                  <w:r>
                    <w:rPr>
                      <w:rFonts w:hint="default"/>
                      <w:color w:val="auto"/>
                    </w:rPr>
                    <w:t>（2.3）项目生活垃圾统一收集后交环卫部门处理</w:t>
                  </w:r>
                  <w:r>
                    <w:rPr>
                      <w:rFonts w:hint="eastAsia"/>
                      <w:color w:val="auto"/>
                      <w:lang w:eastAsia="zh-CN"/>
                    </w:rPr>
                    <w:t>。</w:t>
                  </w:r>
                </w:p>
              </w:tc>
              <w:tc>
                <w:tcPr>
                  <w:tcW w:w="859" w:type="dxa"/>
                  <w:vAlign w:val="center"/>
                </w:tcPr>
                <w:p>
                  <w:pPr>
                    <w:pStyle w:val="19"/>
                    <w:bidi w:val="0"/>
                    <w:rPr>
                      <w:rFonts w:hint="default"/>
                      <w:color w:val="auto"/>
                      <w:lang w:val="en-US" w:eastAsia="zh-CN"/>
                    </w:rPr>
                  </w:pPr>
                  <w:r>
                    <w:rPr>
                      <w:rFonts w:hint="default"/>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pPr>
                    <w:pStyle w:val="19"/>
                    <w:bidi w:val="0"/>
                    <w:jc w:val="center"/>
                    <w:rPr>
                      <w:rFonts w:hint="default"/>
                      <w:color w:val="auto"/>
                      <w:lang w:val="en-US" w:eastAsia="zh-CN"/>
                    </w:rPr>
                  </w:pPr>
                  <w:r>
                    <w:rPr>
                      <w:rFonts w:hint="eastAsia"/>
                      <w:color w:val="auto"/>
                      <w:lang w:val="en-US" w:eastAsia="zh-CN"/>
                    </w:rPr>
                    <w:t>5</w:t>
                  </w:r>
                </w:p>
              </w:tc>
              <w:tc>
                <w:tcPr>
                  <w:tcW w:w="701" w:type="dxa"/>
                  <w:vAlign w:val="center"/>
                </w:tcPr>
                <w:p>
                  <w:pPr>
                    <w:pStyle w:val="19"/>
                    <w:bidi w:val="0"/>
                    <w:jc w:val="center"/>
                    <w:rPr>
                      <w:rFonts w:hint="default"/>
                      <w:color w:val="auto"/>
                      <w:lang w:val="en-US" w:eastAsia="zh-CN"/>
                    </w:rPr>
                  </w:pPr>
                  <w:r>
                    <w:rPr>
                      <w:rFonts w:eastAsiaTheme="minorEastAsia"/>
                      <w:color w:val="auto"/>
                      <w:kern w:val="0"/>
                      <w:szCs w:val="21"/>
                    </w:rPr>
                    <w:t>环境风险防控</w:t>
                  </w:r>
                </w:p>
              </w:tc>
              <w:tc>
                <w:tcPr>
                  <w:tcW w:w="3115" w:type="dxa"/>
                  <w:vAlign w:val="center"/>
                </w:tcPr>
                <w:p>
                  <w:pPr>
                    <w:pStyle w:val="19"/>
                    <w:bidi w:val="0"/>
                    <w:rPr>
                      <w:rFonts w:hint="default"/>
                      <w:color w:val="auto"/>
                      <w:lang w:val="en-US" w:eastAsia="zh-CN"/>
                    </w:rPr>
                  </w:pPr>
                  <w:r>
                    <w:rPr>
                      <w:color w:val="auto"/>
                    </w:rPr>
                    <w:t>（3.1）根据建设用地土壤环境调查评估及现有重金属污染场地调查结果，逐步建立污染地块名录及其开发利用的负面清单，合理确定土地用途。土地开发利用必须符合土壤环境质量要求。各部门在编制土地利用总体规划、城市总体规划、控制性详细规划等相关规划时，应充分考虑污染地块的环境风险，合理确定土地用途。制定实施受污染耕地安全利用方案，采取农艺调控、化学阻控、替代种植等措施，降低农产品重金属超标风险。暂时不能进行治理修复的污染地块，设置标志标识围栏，根据各地块的环境因地制宜采取建设撇洪导流沟渠、地表覆盖等措施减少雨水冲刷等风险管控措施。在未完成治理并通过验收前，不得用于农业、畜牧业以及工商业开发建设</w:t>
                  </w:r>
                  <w:r>
                    <w:rPr>
                      <w:rFonts w:hint="default"/>
                      <w:color w:val="auto"/>
                    </w:rPr>
                    <w:t>。</w:t>
                  </w:r>
                </w:p>
              </w:tc>
              <w:tc>
                <w:tcPr>
                  <w:tcW w:w="1639" w:type="dxa"/>
                  <w:vAlign w:val="center"/>
                </w:tcPr>
                <w:p>
                  <w:pPr>
                    <w:pStyle w:val="19"/>
                    <w:bidi w:val="0"/>
                    <w:rPr>
                      <w:rFonts w:hint="default"/>
                      <w:color w:val="auto"/>
                      <w:lang w:val="en-US" w:eastAsia="zh-CN"/>
                    </w:rPr>
                  </w:pPr>
                  <w:r>
                    <w:rPr>
                      <w:rFonts w:hint="eastAsia"/>
                      <w:color w:val="auto"/>
                      <w:lang w:val="en-US" w:eastAsia="zh-CN"/>
                    </w:rPr>
                    <w:t>根据衡阳市生态环境局印发的《衡阳市污染地块名录（第一批）》、《衡阳市污染地块名录及开发利用负面清单（第二批）》、《衡阳市建设用地污染地块开发利用负面清单（第三批）》文件可知，本项目用地不在衡阳市污染地块名录中。</w:t>
                  </w:r>
                </w:p>
              </w:tc>
              <w:tc>
                <w:tcPr>
                  <w:tcW w:w="859" w:type="dxa"/>
                  <w:vAlign w:val="center"/>
                </w:tcPr>
                <w:p>
                  <w:pPr>
                    <w:pStyle w:val="19"/>
                    <w:bidi w:val="0"/>
                    <w:jc w:val="center"/>
                    <w:rPr>
                      <w:rFonts w:hint="default"/>
                      <w:color w:val="auto"/>
                      <w:lang w:val="en-US" w:eastAsia="zh-CN"/>
                    </w:rPr>
                  </w:pPr>
                  <w:r>
                    <w:rPr>
                      <w:rFonts w:hint="eastAsia"/>
                      <w:color w:val="auto"/>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426" w:type="dxa"/>
                  <w:vAlign w:val="center"/>
                </w:tcPr>
                <w:p>
                  <w:pPr>
                    <w:pStyle w:val="19"/>
                    <w:bidi w:val="0"/>
                    <w:jc w:val="center"/>
                    <w:rPr>
                      <w:rFonts w:hint="default"/>
                      <w:color w:val="auto"/>
                      <w:lang w:val="en-US" w:eastAsia="zh-CN"/>
                    </w:rPr>
                  </w:pPr>
                  <w:r>
                    <w:rPr>
                      <w:rFonts w:hint="eastAsia"/>
                      <w:color w:val="auto"/>
                      <w:lang w:val="en-US" w:eastAsia="zh-CN"/>
                    </w:rPr>
                    <w:t>6</w:t>
                  </w:r>
                </w:p>
              </w:tc>
              <w:tc>
                <w:tcPr>
                  <w:tcW w:w="701" w:type="dxa"/>
                  <w:vAlign w:val="center"/>
                </w:tcPr>
                <w:p>
                  <w:pPr>
                    <w:pStyle w:val="19"/>
                    <w:bidi w:val="0"/>
                    <w:jc w:val="center"/>
                    <w:rPr>
                      <w:rFonts w:hint="default"/>
                      <w:color w:val="auto"/>
                      <w:lang w:val="en-US" w:eastAsia="zh-CN"/>
                    </w:rPr>
                  </w:pPr>
                  <w:r>
                    <w:rPr>
                      <w:rFonts w:eastAsiaTheme="minorEastAsia"/>
                      <w:color w:val="auto"/>
                      <w:kern w:val="0"/>
                      <w:szCs w:val="21"/>
                    </w:rPr>
                    <w:t>资源开发效率要求</w:t>
                  </w:r>
                </w:p>
              </w:tc>
              <w:tc>
                <w:tcPr>
                  <w:tcW w:w="3115" w:type="dxa"/>
                  <w:vAlign w:val="center"/>
                </w:tcPr>
                <w:p>
                  <w:pPr>
                    <w:pStyle w:val="19"/>
                    <w:bidi w:val="0"/>
                    <w:rPr>
                      <w:color w:val="auto"/>
                    </w:rPr>
                  </w:pPr>
                  <w:r>
                    <w:rPr>
                      <w:rFonts w:hint="default"/>
                      <w:color w:val="auto"/>
                    </w:rPr>
                    <w:t>（</w:t>
                  </w:r>
                  <w:r>
                    <w:rPr>
                      <w:color w:val="auto"/>
                    </w:rPr>
                    <w:t>4.1）能源：强化节能环保标准约束，严格行业规范、准入管理和节能审查，对电力、钢铁、建材、有色、化工、石油石化、煤炭、造纸等行业中，环保、能耗、安全等不达标或生产、使用淘汰类产品的企业和产能，依法依规改造升级或有序退出。推广使用优质煤、洁净型煤，推进煤改气、煤改电，鼓励利用可再生能源、天然气、电力等优质能源替代燃煤使用。到2020年，全区能耗强度降低17%，控制目标120.41万吨标准煤。</w:t>
                  </w:r>
                </w:p>
                <w:p>
                  <w:pPr>
                    <w:pStyle w:val="19"/>
                    <w:bidi w:val="0"/>
                    <w:rPr>
                      <w:rFonts w:hint="default"/>
                      <w:color w:val="auto"/>
                      <w:lang w:val="en-US" w:eastAsia="zh-CN"/>
                    </w:rPr>
                  </w:pPr>
                  <w:r>
                    <w:rPr>
                      <w:color w:val="auto"/>
                    </w:rPr>
                    <w:t>（4.2）水资源：到2020年，</w:t>
                  </w:r>
                  <w:r>
                    <w:rPr>
                      <w:rFonts w:hint="eastAsia"/>
                      <w:color w:val="auto"/>
                    </w:rPr>
                    <w:t>全区</w:t>
                  </w:r>
                  <w:r>
                    <w:rPr>
                      <w:color w:val="auto"/>
                    </w:rPr>
                    <w:t>万元国内生产总值用水量、万元工业增加值用水量分别比2015年降低30%和32.7%；农田灌溉水有效利用系数提高到0.597</w:t>
                  </w:r>
                  <w:r>
                    <w:rPr>
                      <w:rFonts w:hint="default"/>
                      <w:color w:val="auto"/>
                    </w:rPr>
                    <w:t>。</w:t>
                  </w:r>
                </w:p>
              </w:tc>
              <w:tc>
                <w:tcPr>
                  <w:tcW w:w="1639" w:type="dxa"/>
                  <w:vAlign w:val="center"/>
                </w:tcPr>
                <w:p>
                  <w:pPr>
                    <w:pStyle w:val="19"/>
                    <w:bidi w:val="0"/>
                    <w:rPr>
                      <w:rFonts w:hint="eastAsia"/>
                      <w:color w:val="auto"/>
                      <w:lang w:val="en-US" w:eastAsia="zh-CN"/>
                    </w:rPr>
                  </w:pPr>
                  <w:r>
                    <w:rPr>
                      <w:rFonts w:hint="default"/>
                      <w:color w:val="auto"/>
                    </w:rPr>
                    <w:t>（4.1）本项目</w:t>
                  </w:r>
                  <w:r>
                    <w:rPr>
                      <w:rFonts w:hint="eastAsia"/>
                      <w:color w:val="auto"/>
                      <w:lang w:val="en-US" w:eastAsia="zh-CN"/>
                    </w:rPr>
                    <w:t>运营</w:t>
                  </w:r>
                  <w:r>
                    <w:rPr>
                      <w:rFonts w:hint="default"/>
                      <w:color w:val="auto"/>
                    </w:rPr>
                    <w:t>过程中所用的资源主要为水、电资源，为清洁能</w:t>
                  </w:r>
                  <w:r>
                    <w:rPr>
                      <w:rFonts w:hint="eastAsia"/>
                      <w:color w:val="auto"/>
                      <w:lang w:val="en-US" w:eastAsia="zh-CN"/>
                    </w:rPr>
                    <w:t>源；</w:t>
                  </w:r>
                </w:p>
                <w:p>
                  <w:pPr>
                    <w:pStyle w:val="19"/>
                    <w:bidi w:val="0"/>
                    <w:rPr>
                      <w:rFonts w:hint="default"/>
                      <w:color w:val="auto"/>
                      <w:lang w:val="en-US" w:eastAsia="zh-CN"/>
                    </w:rPr>
                  </w:pPr>
                  <w:r>
                    <w:rPr>
                      <w:rFonts w:hint="default"/>
                      <w:color w:val="auto"/>
                    </w:rPr>
                    <w:t>（4.2）项目属于</w:t>
                  </w:r>
                  <w:r>
                    <w:rPr>
                      <w:rFonts w:hint="eastAsia"/>
                      <w:color w:val="auto"/>
                      <w:lang w:val="en-US" w:eastAsia="zh-CN"/>
                    </w:rPr>
                    <w:t>其他公园</w:t>
                  </w:r>
                  <w:r>
                    <w:rPr>
                      <w:rFonts w:hint="default"/>
                      <w:color w:val="auto"/>
                    </w:rPr>
                    <w:t>，同时项目提倡节水，且区域水资源丰富，因此，符合资源开发效率要求</w:t>
                  </w:r>
                  <w:r>
                    <w:rPr>
                      <w:rFonts w:hint="eastAsia"/>
                      <w:color w:val="auto"/>
                      <w:lang w:eastAsia="zh-CN"/>
                    </w:rPr>
                    <w:t>。</w:t>
                  </w:r>
                </w:p>
              </w:tc>
              <w:tc>
                <w:tcPr>
                  <w:tcW w:w="859" w:type="dxa"/>
                  <w:vAlign w:val="center"/>
                </w:tcPr>
                <w:p>
                  <w:pPr>
                    <w:pStyle w:val="19"/>
                    <w:bidi w:val="0"/>
                    <w:jc w:val="center"/>
                    <w:rPr>
                      <w:rFonts w:hint="default"/>
                      <w:color w:val="auto"/>
                      <w:lang w:val="en-US" w:eastAsia="zh-CN"/>
                    </w:rPr>
                  </w:pPr>
                  <w:r>
                    <w:rPr>
                      <w:rFonts w:hint="eastAsia"/>
                      <w:color w:val="auto"/>
                      <w:lang w:val="en-US" w:eastAsia="zh-CN"/>
                    </w:rPr>
                    <w:t>符合</w:t>
                  </w:r>
                </w:p>
              </w:tc>
            </w:tr>
          </w:tbl>
          <w:p>
            <w:pPr>
              <w:bidi w:val="0"/>
              <w:rPr>
                <w:rFonts w:hint="default"/>
                <w:lang w:val="en-US" w:eastAsia="zh-CN"/>
              </w:rPr>
            </w:pPr>
            <w:r>
              <w:rPr>
                <w:rFonts w:hint="default"/>
                <w:color w:val="auto"/>
                <w:lang w:val="en-US" w:eastAsia="zh-CN"/>
              </w:rPr>
              <w:t>综上，本项目符合《衡阳市人民政府关于实施</w:t>
            </w:r>
            <w:r>
              <w:rPr>
                <w:rFonts w:hint="eastAsia"/>
                <w:color w:val="auto"/>
                <w:lang w:val="en-US" w:eastAsia="zh-CN"/>
              </w:rPr>
              <w:t>“</w:t>
            </w:r>
            <w:r>
              <w:rPr>
                <w:rFonts w:hint="default"/>
                <w:color w:val="auto"/>
                <w:lang w:val="en-US" w:eastAsia="zh-CN"/>
              </w:rPr>
              <w:t>三线一单</w:t>
            </w:r>
            <w:r>
              <w:rPr>
                <w:rFonts w:hint="eastAsia"/>
                <w:color w:val="auto"/>
                <w:lang w:val="en-US" w:eastAsia="zh-CN"/>
              </w:rPr>
              <w:t>”</w:t>
            </w:r>
            <w:r>
              <w:rPr>
                <w:rFonts w:hint="default"/>
                <w:color w:val="auto"/>
                <w:lang w:val="en-US" w:eastAsia="zh-CN"/>
              </w:rPr>
              <w:t>生态环境分区管控的意见（衡政发〔2020〕9号）》中的</w:t>
            </w:r>
            <w:r>
              <w:rPr>
                <w:rFonts w:hint="eastAsia"/>
                <w:color w:val="auto"/>
                <w:lang w:val="en-US" w:eastAsia="zh-CN"/>
              </w:rPr>
              <w:t>衡阳市石鼓区合江街道</w:t>
            </w:r>
            <w:r>
              <w:rPr>
                <w:rFonts w:hint="default"/>
                <w:color w:val="auto"/>
                <w:lang w:val="en-US" w:eastAsia="zh-CN"/>
              </w:rPr>
              <w:t>准入清单要求。</w:t>
            </w:r>
          </w:p>
        </w:tc>
      </w:tr>
    </w:tbl>
    <w:p>
      <w:pPr>
        <w:ind w:left="0" w:leftChars="0" w:firstLine="0" w:firstLineChars="0"/>
        <w:rPr>
          <w:rFonts w:hint="default"/>
          <w:lang w:val="en-US" w:eastAsia="zh-CN"/>
        </w:rPr>
        <w:sectPr>
          <w:footerReference r:id="rId11" w:type="default"/>
          <w:pgSz w:w="11906" w:h="16838"/>
          <w:pgMar w:top="1417" w:right="1417" w:bottom="1417" w:left="1417" w:header="851" w:footer="567" w:gutter="0"/>
          <w:pgNumType w:fmt="decimal" w:start="1"/>
          <w:cols w:space="425" w:num="1"/>
          <w:docGrid w:type="lines" w:linePitch="312" w:charSpace="0"/>
        </w:sectPr>
      </w:pPr>
    </w:p>
    <w:p>
      <w:pPr>
        <w:pStyle w:val="4"/>
        <w:bidi w:val="0"/>
        <w:rPr>
          <w:rFonts w:hint="eastAsia"/>
          <w:lang w:val="en-US" w:eastAsia="zh-CN"/>
        </w:rPr>
      </w:pPr>
      <w:bookmarkStart w:id="4" w:name="_Toc2164"/>
      <w:r>
        <w:rPr>
          <w:rFonts w:hint="eastAsia"/>
          <w:lang w:val="en-US" w:eastAsia="zh-CN"/>
        </w:rPr>
        <w:t>二、建设内容</w:t>
      </w:r>
      <w:bookmarkEnd w:id="4"/>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9"/>
        <w:gridCol w:w="88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lang w:val="en-US" w:eastAsia="zh-CN"/>
              </w:rPr>
            </w:pPr>
            <w:r>
              <w:rPr>
                <w:rFonts w:hint="eastAsia"/>
                <w:lang w:val="en-US" w:eastAsia="zh-CN"/>
              </w:rPr>
              <w:t>地理位置</w:t>
            </w:r>
          </w:p>
        </w:tc>
        <w:tc>
          <w:tcPr>
            <w:tcW w:w="8859" w:type="dxa"/>
          </w:tcPr>
          <w:p>
            <w:pPr>
              <w:bidi w:val="0"/>
              <w:rPr>
                <w:rFonts w:hint="eastAsia"/>
                <w:lang w:val="en-US" w:eastAsia="zh-CN"/>
              </w:rPr>
            </w:pPr>
            <w:r>
              <w:rPr>
                <w:rFonts w:hint="eastAsia"/>
                <w:lang w:val="en-US" w:eastAsia="zh-CN"/>
              </w:rPr>
              <w:t>衡阳侨城文化旅游度假区一期建设项目位于湖南省衡阳市石鼓区来雁新城范围内，东至湘江北路，西至草后街，南至北三环，北至依石路。项目设置黄金海岸、丛林</w:t>
            </w:r>
            <w:r>
              <w:rPr>
                <w:rFonts w:hint="default"/>
                <w:lang w:eastAsia="zh-CN"/>
              </w:rPr>
              <w:t>派对</w:t>
            </w:r>
            <w:r>
              <w:rPr>
                <w:rFonts w:hint="eastAsia"/>
                <w:lang w:val="en-US" w:eastAsia="zh-CN"/>
              </w:rPr>
              <w:t>、异域圣殿、阿兹特兰等4大主题片区，为一座集都市娱乐、休闲度假、文化体验等业态为一体的玛雅主题水公园。水公园地理坐标为东经</w:t>
            </w:r>
            <w:r>
              <w:rPr>
                <w:rFonts w:hint="eastAsia"/>
                <w:lang w:eastAsia="zh-CN"/>
              </w:rPr>
              <w:t>112</w:t>
            </w:r>
            <w:r>
              <w:rPr>
                <w:rFonts w:hint="default"/>
                <w:lang w:eastAsia="zh-CN"/>
              </w:rPr>
              <w:t>°</w:t>
            </w:r>
            <w:r>
              <w:rPr>
                <w:rFonts w:hint="eastAsia"/>
                <w:lang w:val="en-US" w:eastAsia="zh-CN"/>
              </w:rPr>
              <w:t>39'2.512</w:t>
            </w:r>
            <w:r>
              <w:rPr>
                <w:rFonts w:hint="eastAsia"/>
                <w:lang w:eastAsia="zh-CN"/>
              </w:rPr>
              <w:t>"，</w:t>
            </w:r>
            <w:r>
              <w:rPr>
                <w:rFonts w:hint="eastAsia"/>
                <w:lang w:val="en-US" w:eastAsia="zh-CN"/>
              </w:rPr>
              <w:t>北纬</w:t>
            </w:r>
            <w:r>
              <w:rPr>
                <w:rFonts w:hint="eastAsia"/>
                <w:lang w:eastAsia="zh-CN"/>
              </w:rPr>
              <w:t>26</w:t>
            </w:r>
            <w:r>
              <w:rPr>
                <w:rFonts w:hint="default"/>
                <w:lang w:eastAsia="zh-CN"/>
              </w:rPr>
              <w:t>°</w:t>
            </w:r>
            <w:r>
              <w:rPr>
                <w:rFonts w:hint="eastAsia"/>
                <w:lang w:val="en-US" w:eastAsia="zh-CN"/>
              </w:rPr>
              <w:t>57</w:t>
            </w:r>
            <w:r>
              <w:rPr>
                <w:rFonts w:hint="eastAsia"/>
                <w:lang w:eastAsia="zh-CN"/>
              </w:rPr>
              <w:t>'</w:t>
            </w:r>
            <w:r>
              <w:rPr>
                <w:rFonts w:hint="eastAsia"/>
                <w:lang w:val="en-US" w:eastAsia="zh-CN"/>
              </w:rPr>
              <w:t>13.947</w:t>
            </w:r>
            <w:r>
              <w:rPr>
                <w:rFonts w:hint="eastAsia"/>
                <w:lang w:eastAsia="zh-CN"/>
              </w:rPr>
              <w:t>"。</w:t>
            </w:r>
          </w:p>
          <w:p>
            <w:pPr>
              <w:bidi w:val="0"/>
              <w:rPr>
                <w:rFonts w:hint="default" w:cs="Times New Roman"/>
                <w:lang w:val="en-US" w:eastAsia="zh-CN"/>
              </w:rPr>
            </w:pPr>
            <w:r>
              <w:rPr>
                <w:rFonts w:hint="eastAsia"/>
                <w:lang w:val="en-US" w:eastAsia="zh-CN"/>
              </w:rPr>
              <w:t>项目具体位置见附图1。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8" w:hRule="atLeast"/>
        </w:trPr>
        <w:tc>
          <w:tcPr>
            <w:tcW w:w="42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lang w:val="en-US" w:eastAsia="zh-CN"/>
              </w:rPr>
            </w:pPr>
            <w:r>
              <w:rPr>
                <w:rFonts w:hint="eastAsia"/>
                <w:lang w:val="en-US" w:eastAsia="zh-CN"/>
              </w:rPr>
              <w:t>项目组成及规模</w:t>
            </w:r>
          </w:p>
        </w:tc>
        <w:tc>
          <w:tcPr>
            <w:tcW w:w="8859" w:type="dxa"/>
          </w:tcPr>
          <w:p>
            <w:pPr>
              <w:pStyle w:val="8"/>
              <w:bidi w:val="0"/>
              <w:rPr>
                <w:rFonts w:hint="eastAsia"/>
                <w:lang w:val="en-US" w:eastAsia="zh-CN"/>
              </w:rPr>
            </w:pPr>
            <w:r>
              <w:rPr>
                <w:rFonts w:hint="eastAsia"/>
                <w:lang w:val="en-US" w:eastAsia="zh-CN"/>
              </w:rPr>
              <w:t>1、项目由来</w:t>
            </w:r>
          </w:p>
          <w:p>
            <w:pPr>
              <w:bidi w:val="0"/>
              <w:jc w:val="left"/>
              <w:rPr>
                <w:rFonts w:hint="eastAsia"/>
                <w:lang w:val="en-US" w:eastAsia="zh-CN"/>
              </w:rPr>
            </w:pPr>
            <w:r>
              <w:rPr>
                <w:rFonts w:hint="eastAsia"/>
                <w:lang w:eastAsia="zh-CN"/>
              </w:rPr>
              <w:t>衡阳侨城乐园旅游发展有限公司</w:t>
            </w:r>
            <w:r>
              <w:rPr>
                <w:rFonts w:hint="default"/>
              </w:rPr>
              <w:t>成立于20</w:t>
            </w:r>
            <w:r>
              <w:rPr>
                <w:rFonts w:hint="eastAsia"/>
                <w:lang w:val="en-US" w:eastAsia="zh-CN"/>
              </w:rPr>
              <w:t>21</w:t>
            </w:r>
            <w:r>
              <w:rPr>
                <w:rFonts w:hint="default"/>
              </w:rPr>
              <w:t>年9月</w:t>
            </w:r>
            <w:r>
              <w:rPr>
                <w:rFonts w:hint="eastAsia"/>
                <w:lang w:val="en-US" w:eastAsia="zh-CN"/>
              </w:rPr>
              <w:t>6</w:t>
            </w:r>
            <w:r>
              <w:rPr>
                <w:rFonts w:hint="default"/>
              </w:rPr>
              <w:t>日，统一社会信用代码为91430400MA7AX2UR6C，</w:t>
            </w:r>
            <w:r>
              <w:rPr>
                <w:rFonts w:hint="eastAsia"/>
                <w:lang w:eastAsia="zh-CN"/>
              </w:rPr>
              <w:t>衡阳侨城乐园旅游发展有限公司</w:t>
            </w:r>
            <w:r>
              <w:rPr>
                <w:rFonts w:hint="eastAsia"/>
                <w:lang w:val="en-US" w:eastAsia="zh-CN"/>
              </w:rPr>
              <w:t>拟投资12亿元在衡阳市石鼓区来雁新城范围内建设衡阳侨城文化</w:t>
            </w:r>
            <w:r>
              <w:rPr>
                <w:rFonts w:hint="default"/>
              </w:rPr>
              <w:t>旅游度假区一期建设项目</w:t>
            </w:r>
            <w:r>
              <w:rPr>
                <w:rFonts w:hint="eastAsia"/>
                <w:lang w:eastAsia="zh-CN"/>
              </w:rPr>
              <w:t>。</w:t>
            </w:r>
          </w:p>
          <w:p>
            <w:pPr>
              <w:bidi w:val="0"/>
              <w:rPr>
                <w:rFonts w:hint="eastAsia"/>
                <w:lang w:val="en-US" w:eastAsia="zh-CN"/>
              </w:rPr>
            </w:pPr>
            <w:r>
              <w:rPr>
                <w:rFonts w:hint="default"/>
                <w:lang w:eastAsia="zh-CN"/>
              </w:rPr>
              <w:t>根据初步设计方案，</w:t>
            </w:r>
            <w:r>
              <w:rPr>
                <w:rFonts w:hint="default"/>
              </w:rPr>
              <w:t>衡阳侨城文化旅游度假区一期建设项目</w:t>
            </w:r>
            <w:r>
              <w:rPr>
                <w:rFonts w:hint="default"/>
                <w:lang w:eastAsia="zh-CN"/>
              </w:rPr>
              <w:t>占地</w:t>
            </w:r>
            <w:r>
              <w:rPr>
                <w:rFonts w:hint="default"/>
              </w:rPr>
              <w:t>176795</w:t>
            </w:r>
            <w:r>
              <w:rPr>
                <w:rFonts w:hint="default"/>
                <w:lang w:eastAsia="zh-CN"/>
              </w:rPr>
              <w:t>平方米</w:t>
            </w:r>
            <w:r>
              <w:rPr>
                <w:rFonts w:hint="eastAsia"/>
                <w:lang w:eastAsia="zh-CN"/>
              </w:rPr>
              <w:t>，</w:t>
            </w:r>
            <w:r>
              <w:rPr>
                <w:rFonts w:hint="default"/>
                <w:lang w:eastAsia="zh-CN"/>
              </w:rPr>
              <w:t>总建筑面积</w:t>
            </w:r>
            <w:r>
              <w:rPr>
                <w:rFonts w:hint="default"/>
                <w:lang w:val="en-US" w:eastAsia="en-US"/>
              </w:rPr>
              <w:t>3608</w:t>
            </w:r>
            <w:r>
              <w:rPr>
                <w:rFonts w:hint="eastAsia"/>
                <w:lang w:val="en-US" w:eastAsia="zh-CN"/>
              </w:rPr>
              <w:t>8</w:t>
            </w:r>
            <w:r>
              <w:rPr>
                <w:rFonts w:hint="default"/>
                <w:lang w:eastAsia="zh-CN"/>
              </w:rPr>
              <w:t>平方米</w:t>
            </w:r>
            <w:r>
              <w:rPr>
                <w:rFonts w:hint="eastAsia"/>
                <w:lang w:eastAsia="zh-CN"/>
              </w:rPr>
              <w:t>，</w:t>
            </w:r>
            <w:r>
              <w:rPr>
                <w:rFonts w:hint="default"/>
                <w:lang w:eastAsia="zh-CN"/>
              </w:rPr>
              <w:t>主要建设内容</w:t>
            </w:r>
            <w:r>
              <w:rPr>
                <w:rFonts w:hint="eastAsia"/>
                <w:lang w:val="en-US" w:eastAsia="zh-CN"/>
              </w:rPr>
              <w:t>为水上乐园及后勤区。项目设置黄金海岸、丛林</w:t>
            </w:r>
            <w:r>
              <w:rPr>
                <w:rFonts w:hint="default"/>
                <w:lang w:eastAsia="zh-CN"/>
              </w:rPr>
              <w:t>派对</w:t>
            </w:r>
            <w:r>
              <w:rPr>
                <w:rFonts w:hint="eastAsia"/>
                <w:lang w:val="en-US" w:eastAsia="zh-CN"/>
              </w:rPr>
              <w:t>、异域圣殿、阿兹特兰等4大主题片区，为一座集都市娱乐、休闲度假、文化体验等业态为一体的玛雅主题水公园。</w:t>
            </w:r>
          </w:p>
          <w:p>
            <w:pPr>
              <w:bidi w:val="0"/>
              <w:rPr>
                <w:rFonts w:hint="default"/>
                <w:lang w:val="en-US" w:eastAsia="zh-CN"/>
              </w:rPr>
            </w:pPr>
            <w:r>
              <w:rPr>
                <w:rFonts w:hint="default"/>
              </w:rPr>
              <w:t>根据《中华人民共和国环境影响评价法》、国家生态环境部《建设项目环境影响评价分类管理名录》（2021年版）中的规定，本项目属于“</w:t>
            </w:r>
            <w:r>
              <w:rPr>
                <w:rFonts w:hint="eastAsia"/>
                <w:lang w:eastAsia="zh-CN"/>
              </w:rPr>
              <w:t>五十</w:t>
            </w:r>
            <w:r>
              <w:rPr>
                <w:rFonts w:hint="default"/>
              </w:rPr>
              <w:t>、社会事业与服务业—1</w:t>
            </w:r>
            <w:r>
              <w:rPr>
                <w:rFonts w:hint="eastAsia"/>
                <w:lang w:val="en-US" w:eastAsia="zh-CN"/>
              </w:rPr>
              <w:t>14</w:t>
            </w:r>
            <w:r>
              <w:rPr>
                <w:rFonts w:hint="default"/>
              </w:rPr>
              <w:t>、公园（含动物园、主题公园</w:t>
            </w:r>
            <w:r>
              <w:rPr>
                <w:rFonts w:hint="eastAsia"/>
                <w:lang w:eastAsia="zh-CN"/>
              </w:rPr>
              <w:t>；</w:t>
            </w:r>
            <w:r>
              <w:rPr>
                <w:rFonts w:hint="eastAsia"/>
                <w:lang w:val="en-US" w:eastAsia="zh-CN"/>
              </w:rPr>
              <w:t>不含城市公园、植物园、村庄公园）；人工湖、人工湿地</w:t>
            </w:r>
            <w:r>
              <w:rPr>
                <w:rFonts w:hint="default"/>
              </w:rPr>
              <w:t>”</w:t>
            </w:r>
            <w:r>
              <w:rPr>
                <w:rFonts w:hint="eastAsia"/>
                <w:lang w:val="en-US" w:eastAsia="zh-CN"/>
              </w:rPr>
              <w:t>中的其他公园</w:t>
            </w:r>
            <w:r>
              <w:rPr>
                <w:rFonts w:hint="default"/>
              </w:rPr>
              <w:t>类别</w:t>
            </w:r>
            <w:r>
              <w:rPr>
                <w:rFonts w:hint="eastAsia"/>
                <w:lang w:eastAsia="zh-CN"/>
              </w:rPr>
              <w:t>，</w:t>
            </w:r>
            <w:r>
              <w:rPr>
                <w:rFonts w:hint="eastAsia"/>
                <w:lang w:val="en-US" w:eastAsia="zh-CN"/>
              </w:rPr>
              <w:t>应编制环境影响报告表</w:t>
            </w:r>
            <w:r>
              <w:rPr>
                <w:rFonts w:hint="default"/>
              </w:rPr>
              <w:t>。</w:t>
            </w:r>
            <w:r>
              <w:rPr>
                <w:rFonts w:hint="eastAsia"/>
                <w:lang w:val="en-US" w:eastAsia="zh-CN"/>
              </w:rPr>
              <w:t>本次评价范围仅包括</w:t>
            </w:r>
            <w:r>
              <w:rPr>
                <w:rFonts w:hint="default"/>
              </w:rPr>
              <w:t>衡阳侨城文化旅游度假区</w:t>
            </w:r>
            <w:r>
              <w:rPr>
                <w:rFonts w:hint="eastAsia"/>
                <w:lang w:val="en-US" w:eastAsia="zh-CN"/>
              </w:rPr>
              <w:t>一</w:t>
            </w:r>
            <w:r>
              <w:rPr>
                <w:rFonts w:hint="default"/>
              </w:rPr>
              <w:t>期建设项目</w:t>
            </w:r>
            <w:r>
              <w:rPr>
                <w:rFonts w:hint="eastAsia"/>
                <w:lang w:val="en-US" w:eastAsia="zh-CN"/>
              </w:rPr>
              <w:t>。</w:t>
            </w:r>
          </w:p>
          <w:p>
            <w:pPr>
              <w:pStyle w:val="8"/>
              <w:numPr>
                <w:ilvl w:val="0"/>
                <w:numId w:val="2"/>
              </w:numPr>
              <w:bidi w:val="0"/>
              <w:rPr>
                <w:rFonts w:hint="eastAsia"/>
                <w:lang w:val="en-US" w:eastAsia="zh-CN"/>
              </w:rPr>
            </w:pPr>
            <w:r>
              <w:rPr>
                <w:rFonts w:hint="eastAsia"/>
                <w:lang w:val="en-US" w:eastAsia="zh-CN"/>
              </w:rPr>
              <w:t>项目基本情况</w:t>
            </w:r>
          </w:p>
          <w:p>
            <w:pPr>
              <w:numPr>
                <w:ilvl w:val="0"/>
                <w:numId w:val="3"/>
              </w:numPr>
              <w:bidi w:val="0"/>
              <w:ind w:left="480" w:leftChars="0" w:firstLine="0" w:firstLineChars="0"/>
              <w:jc w:val="left"/>
              <w:rPr>
                <w:rFonts w:hint="eastAsia"/>
                <w:lang w:val="en-US" w:eastAsia="zh-CN"/>
              </w:rPr>
            </w:pPr>
            <w:r>
              <w:rPr>
                <w:rFonts w:hint="eastAsia"/>
                <w:lang w:val="en-US" w:eastAsia="zh-CN"/>
              </w:rPr>
              <w:t>项目名称：衡阳侨城文化旅游度假区一期建设项目</w:t>
            </w:r>
          </w:p>
          <w:p>
            <w:pPr>
              <w:numPr>
                <w:ilvl w:val="0"/>
                <w:numId w:val="3"/>
              </w:numPr>
              <w:bidi w:val="0"/>
              <w:ind w:left="480" w:leftChars="0" w:firstLine="0" w:firstLineChars="0"/>
              <w:jc w:val="left"/>
              <w:rPr>
                <w:rFonts w:hint="default"/>
                <w:lang w:val="en-US" w:eastAsia="zh-CN"/>
              </w:rPr>
            </w:pPr>
            <w:r>
              <w:rPr>
                <w:rFonts w:hint="eastAsia"/>
                <w:lang w:val="en-US" w:eastAsia="zh-CN"/>
              </w:rPr>
              <w:t>建设单位：衡阳侨城乐园旅游发展有限公司</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jc w:val="both"/>
              <w:textAlignment w:val="auto"/>
              <w:rPr>
                <w:rFonts w:hint="eastAsia"/>
                <w:lang w:eastAsia="zh-CN"/>
              </w:rPr>
            </w:pPr>
            <w:r>
              <w:rPr>
                <w:rFonts w:hint="eastAsia"/>
                <w:lang w:val="en-US" w:eastAsia="zh-CN"/>
              </w:rPr>
              <w:t>（3）建设地点：湖南省衡阳市石鼓区来雁新城范围内，地理坐标：东经</w:t>
            </w:r>
            <w:r>
              <w:rPr>
                <w:rFonts w:hint="eastAsia"/>
                <w:lang w:eastAsia="zh-CN"/>
              </w:rPr>
              <w:t>112</w:t>
            </w:r>
            <w:r>
              <w:rPr>
                <w:rFonts w:hint="default"/>
                <w:lang w:eastAsia="zh-CN"/>
              </w:rPr>
              <w:t>°</w:t>
            </w:r>
            <w:r>
              <w:rPr>
                <w:rFonts w:hint="eastAsia"/>
                <w:lang w:val="en-US" w:eastAsia="zh-CN"/>
              </w:rPr>
              <w:t>39'2.512</w:t>
            </w:r>
            <w:r>
              <w:rPr>
                <w:rFonts w:hint="eastAsia"/>
                <w:lang w:eastAsia="zh-CN"/>
              </w:rPr>
              <w:t>"，</w:t>
            </w:r>
            <w:r>
              <w:rPr>
                <w:rFonts w:hint="eastAsia"/>
                <w:lang w:val="en-US" w:eastAsia="zh-CN"/>
              </w:rPr>
              <w:t>北纬</w:t>
            </w:r>
            <w:r>
              <w:rPr>
                <w:rFonts w:hint="eastAsia"/>
                <w:lang w:eastAsia="zh-CN"/>
              </w:rPr>
              <w:t>26</w:t>
            </w:r>
            <w:r>
              <w:rPr>
                <w:rFonts w:hint="default"/>
                <w:lang w:eastAsia="zh-CN"/>
              </w:rPr>
              <w:t>°</w:t>
            </w:r>
            <w:r>
              <w:rPr>
                <w:rFonts w:hint="eastAsia"/>
                <w:lang w:val="en-US" w:eastAsia="zh-CN"/>
              </w:rPr>
              <w:t>57</w:t>
            </w:r>
            <w:r>
              <w:rPr>
                <w:rFonts w:hint="eastAsia"/>
                <w:lang w:eastAsia="zh-CN"/>
              </w:rPr>
              <w:t>'</w:t>
            </w:r>
            <w:r>
              <w:rPr>
                <w:rFonts w:hint="eastAsia"/>
                <w:lang w:val="en-US" w:eastAsia="zh-CN"/>
              </w:rPr>
              <w:t>13.947</w:t>
            </w:r>
            <w:r>
              <w:rPr>
                <w:rFonts w:hint="eastAsia"/>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jc w:val="left"/>
              <w:textAlignment w:val="auto"/>
              <w:rPr>
                <w:rFonts w:hint="eastAsia"/>
                <w:lang w:val="en-US" w:eastAsia="zh-CN"/>
              </w:rPr>
            </w:pPr>
            <w:r>
              <w:rPr>
                <w:rFonts w:hint="eastAsia"/>
                <w:lang w:val="en-US" w:eastAsia="zh-CN"/>
              </w:rPr>
              <w:t>（4）建设性质：新建</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jc w:val="left"/>
              <w:textAlignment w:val="auto"/>
              <w:rPr>
                <w:rFonts w:hint="eastAsia"/>
                <w:lang w:val="en-US" w:eastAsia="zh-CN"/>
              </w:rPr>
            </w:pPr>
            <w:r>
              <w:rPr>
                <w:rFonts w:hint="eastAsia"/>
                <w:lang w:val="en-US" w:eastAsia="zh-CN"/>
              </w:rPr>
              <w:t>（5）总投资：120000万元，其中环保投资2400万元</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jc w:val="left"/>
              <w:textAlignment w:val="auto"/>
              <w:rPr>
                <w:rFonts w:hint="eastAsia"/>
                <w:lang w:val="en-US" w:eastAsia="zh-CN"/>
              </w:rPr>
            </w:pPr>
            <w:r>
              <w:rPr>
                <w:rFonts w:hint="eastAsia"/>
                <w:lang w:val="en-US" w:eastAsia="zh-CN"/>
              </w:rPr>
              <w:t>（6）建设规模：规划用地面积176795m</w:t>
            </w:r>
            <w:r>
              <w:rPr>
                <w:rFonts w:hint="eastAsia"/>
                <w:vertAlign w:val="superscript"/>
                <w:lang w:val="en-US" w:eastAsia="zh-CN"/>
              </w:rPr>
              <w:t>2</w:t>
            </w:r>
            <w:r>
              <w:rPr>
                <w:rFonts w:hint="eastAsia"/>
                <w:lang w:val="en-US" w:eastAsia="zh-CN"/>
              </w:rPr>
              <w:t>，总建筑面积36087.91m</w:t>
            </w:r>
            <w:r>
              <w:rPr>
                <w:rFonts w:hint="eastAsia"/>
                <w:vertAlign w:val="superscript"/>
                <w:lang w:val="en-US" w:eastAsia="zh-CN"/>
              </w:rPr>
              <w:t>2</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jc w:val="left"/>
              <w:textAlignment w:val="auto"/>
              <w:rPr>
                <w:rFonts w:hint="eastAsia" w:eastAsia="宋体"/>
                <w:lang w:val="en-US" w:eastAsia="zh-CN"/>
              </w:rPr>
            </w:pPr>
            <w:r>
              <w:rPr>
                <w:rFonts w:hint="eastAsia"/>
                <w:lang w:val="en-US" w:eastAsia="zh-CN"/>
              </w:rPr>
              <w:t>（7）职工人数：职工人数6</w:t>
            </w:r>
            <w:r>
              <w:rPr>
                <w:rFonts w:hint="default"/>
              </w:rPr>
              <w:t>00人，设员工宿舍</w:t>
            </w:r>
            <w:r>
              <w:rPr>
                <w:rFonts w:hint="eastAsia"/>
                <w:lang w:val="en-US" w:eastAsia="zh-CN"/>
              </w:rPr>
              <w:t>食堂</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jc w:val="left"/>
              <w:textAlignment w:val="auto"/>
              <w:rPr>
                <w:rFonts w:hint="eastAsia"/>
                <w:lang w:val="en-US" w:eastAsia="zh-CN"/>
              </w:rPr>
            </w:pPr>
            <w:r>
              <w:rPr>
                <w:rFonts w:hint="eastAsia"/>
                <w:lang w:eastAsia="zh-CN"/>
              </w:rPr>
              <w:t>（</w:t>
            </w:r>
            <w:r>
              <w:rPr>
                <w:rFonts w:hint="eastAsia"/>
                <w:lang w:val="en-US" w:eastAsia="zh-CN"/>
              </w:rPr>
              <w:t>8</w:t>
            </w:r>
            <w:r>
              <w:rPr>
                <w:rFonts w:hint="eastAsia"/>
                <w:lang w:eastAsia="zh-CN"/>
              </w:rPr>
              <w:t>）</w:t>
            </w:r>
            <w:r>
              <w:rPr>
                <w:rFonts w:hint="eastAsia"/>
                <w:lang w:val="en-US" w:eastAsia="zh-CN"/>
              </w:rPr>
              <w:t>工作制度：</w:t>
            </w:r>
            <w:r>
              <w:rPr>
                <w:rFonts w:hint="default"/>
                <w:highlight w:val="none"/>
              </w:rPr>
              <w:t>一日一班制，每天工作10小时，年工作</w:t>
            </w:r>
            <w:r>
              <w:rPr>
                <w:rFonts w:hint="eastAsia"/>
                <w:highlight w:val="none"/>
                <w:lang w:val="en-US" w:eastAsia="zh-CN"/>
              </w:rPr>
              <w:t>80</w:t>
            </w:r>
            <w:r>
              <w:rPr>
                <w:rFonts w:hint="default"/>
                <w:highlight w:val="none"/>
              </w:rPr>
              <w:t>天</w:t>
            </w:r>
          </w:p>
          <w:p>
            <w:pPr>
              <w:bidi w:val="0"/>
              <w:ind w:left="0" w:leftChars="0" w:firstLine="0" w:firstLineChars="0"/>
              <w:rPr>
                <w:rFonts w:hint="eastAsia"/>
                <w:lang w:val="en-US" w:eastAsia="zh-CN"/>
              </w:rPr>
            </w:pPr>
            <w:r>
              <w:rPr>
                <w:rFonts w:hint="eastAsia"/>
                <w:lang w:val="en-US" w:eastAsia="zh-CN"/>
              </w:rPr>
              <w:t>3、建设内容概况</w:t>
            </w:r>
          </w:p>
          <w:p>
            <w:pPr>
              <w:bidi w:val="0"/>
              <w:jc w:val="both"/>
              <w:rPr>
                <w:rFonts w:hint="eastAsia"/>
                <w:lang w:val="en-US" w:eastAsia="zh-CN"/>
              </w:rPr>
            </w:pPr>
            <w:r>
              <w:rPr>
                <w:rFonts w:hint="eastAsia"/>
                <w:lang w:val="en-US" w:eastAsia="zh-CN"/>
              </w:rPr>
              <w:t>本项目建设内容为玛雅水上主题乐园和管理用房及其配套设施。玛雅水上主题乐园包括黄金海岸、丛林</w:t>
            </w:r>
            <w:r>
              <w:rPr>
                <w:rFonts w:hint="default"/>
                <w:lang w:eastAsia="zh-CN"/>
              </w:rPr>
              <w:t>派对</w:t>
            </w:r>
            <w:r>
              <w:rPr>
                <w:rFonts w:hint="eastAsia"/>
                <w:lang w:val="en-US" w:eastAsia="zh-CN"/>
              </w:rPr>
              <w:t>、异域圣殿、阿兹特兰等4大主题片区；管理用房及其配套设施主要包括后勤区、临时停车区域等。</w:t>
            </w:r>
          </w:p>
          <w:p>
            <w:pPr>
              <w:bidi w:val="0"/>
              <w:rPr>
                <w:rFonts w:hint="default"/>
              </w:rPr>
            </w:pPr>
            <w:r>
              <w:rPr>
                <w:rFonts w:hint="default"/>
              </w:rPr>
              <w:t>根据建设单位提供的资料，主要技术经济指标及设备如下：</w:t>
            </w:r>
          </w:p>
          <w:p>
            <w:pPr>
              <w:pStyle w:val="18"/>
              <w:bidi w:val="0"/>
              <w:rPr>
                <w:rFonts w:hint="default"/>
                <w:lang w:val="en-US"/>
              </w:rPr>
            </w:pPr>
            <w:r>
              <w:t>表</w:t>
            </w:r>
            <w:r>
              <w:fldChar w:fldCharType="begin"/>
            </w:r>
            <w:r>
              <w:instrText xml:space="preserve"> SEQ 表 \* ARABIC </w:instrText>
            </w:r>
            <w:r>
              <w:fldChar w:fldCharType="separate"/>
            </w:r>
            <w:r>
              <w:t>2</w:t>
            </w:r>
            <w:r>
              <w:fldChar w:fldCharType="end"/>
            </w:r>
            <w:r>
              <w:rPr>
                <w:rFonts w:hint="eastAsia"/>
                <w:lang w:val="en-US" w:eastAsia="zh-CN"/>
              </w:rPr>
              <w:t xml:space="preserve"> 主要技术经济指标</w:t>
            </w:r>
          </w:p>
          <w:tbl>
            <w:tblPr>
              <w:tblStyle w:val="16"/>
              <w:tblW w:w="86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0"/>
              <w:gridCol w:w="1580"/>
              <w:gridCol w:w="945"/>
              <w:gridCol w:w="1185"/>
              <w:gridCol w:w="1125"/>
              <w:gridCol w:w="687"/>
              <w:gridCol w:w="2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2020" w:type="dxa"/>
                  <w:gridSpan w:val="2"/>
                  <w:vMerge w:val="restart"/>
                  <w:vAlign w:val="center"/>
                </w:tcPr>
                <w:p>
                  <w:pPr>
                    <w:pStyle w:val="19"/>
                    <w:bidi w:val="0"/>
                    <w:rPr>
                      <w:rFonts w:hint="eastAsia"/>
                      <w:lang w:val="en-US" w:eastAsia="zh-CN"/>
                    </w:rPr>
                  </w:pPr>
                  <w:r>
                    <w:rPr>
                      <w:rFonts w:hint="eastAsia"/>
                      <w:lang w:val="en-US" w:eastAsia="zh-CN"/>
                    </w:rPr>
                    <w:t>项目</w:t>
                  </w:r>
                </w:p>
              </w:tc>
              <w:tc>
                <w:tcPr>
                  <w:tcW w:w="945" w:type="dxa"/>
                  <w:vMerge w:val="restart"/>
                  <w:vAlign w:val="center"/>
                </w:tcPr>
                <w:p>
                  <w:pPr>
                    <w:pStyle w:val="19"/>
                    <w:bidi w:val="0"/>
                    <w:rPr>
                      <w:rFonts w:hint="eastAsia"/>
                      <w:lang w:val="en-US" w:eastAsia="zh-CN"/>
                    </w:rPr>
                  </w:pPr>
                  <w:r>
                    <w:rPr>
                      <w:rFonts w:hint="eastAsia"/>
                      <w:lang w:val="en-US" w:eastAsia="zh-CN"/>
                    </w:rPr>
                    <w:t>总地块</w:t>
                  </w:r>
                </w:p>
              </w:tc>
              <w:tc>
                <w:tcPr>
                  <w:tcW w:w="2310" w:type="dxa"/>
                  <w:gridSpan w:val="2"/>
                  <w:vAlign w:val="center"/>
                </w:tcPr>
                <w:p>
                  <w:pPr>
                    <w:pStyle w:val="19"/>
                    <w:bidi w:val="0"/>
                    <w:rPr>
                      <w:rFonts w:hint="default"/>
                    </w:rPr>
                  </w:pPr>
                  <w:r>
                    <w:rPr>
                      <w:rFonts w:hint="eastAsia"/>
                      <w:lang w:val="en-US" w:eastAsia="zh-CN"/>
                    </w:rPr>
                    <w:t>其中</w:t>
                  </w:r>
                </w:p>
              </w:tc>
              <w:tc>
                <w:tcPr>
                  <w:tcW w:w="687" w:type="dxa"/>
                  <w:vMerge w:val="restart"/>
                  <w:vAlign w:val="center"/>
                </w:tcPr>
                <w:p>
                  <w:pPr>
                    <w:pStyle w:val="19"/>
                    <w:bidi w:val="0"/>
                    <w:rPr>
                      <w:rFonts w:hint="eastAsia"/>
                      <w:lang w:val="en-US" w:eastAsia="zh-CN"/>
                    </w:rPr>
                  </w:pPr>
                  <w:r>
                    <w:rPr>
                      <w:rFonts w:hint="eastAsia"/>
                      <w:lang w:val="en-US" w:eastAsia="zh-CN"/>
                    </w:rPr>
                    <w:t>单位</w:t>
                  </w:r>
                </w:p>
              </w:tc>
              <w:tc>
                <w:tcPr>
                  <w:tcW w:w="2670" w:type="dxa"/>
                  <w:vMerge w:val="restart"/>
                  <w:vAlign w:val="center"/>
                </w:tcPr>
                <w:p>
                  <w:pPr>
                    <w:pStyle w:val="19"/>
                    <w:bidi w:val="0"/>
                    <w:rPr>
                      <w:rFonts w:hint="eastAsia"/>
                      <w:lang w:val="en-US" w:eastAsia="zh-CN"/>
                    </w:rPr>
                  </w:pPr>
                  <w:r>
                    <w:rPr>
                      <w:rFonts w:hint="eastAsia"/>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 w:hRule="atLeast"/>
              </w:trPr>
              <w:tc>
                <w:tcPr>
                  <w:tcW w:w="2020" w:type="dxa"/>
                  <w:gridSpan w:val="2"/>
                  <w:vMerge w:val="continue"/>
                  <w:vAlign w:val="center"/>
                </w:tcPr>
                <w:p>
                  <w:pPr>
                    <w:pStyle w:val="19"/>
                    <w:bidi w:val="0"/>
                    <w:rPr>
                      <w:rFonts w:hint="default"/>
                    </w:rPr>
                  </w:pPr>
                </w:p>
              </w:tc>
              <w:tc>
                <w:tcPr>
                  <w:tcW w:w="945" w:type="dxa"/>
                  <w:vMerge w:val="continue"/>
                  <w:vAlign w:val="center"/>
                </w:tcPr>
                <w:p>
                  <w:pPr>
                    <w:pStyle w:val="19"/>
                    <w:bidi w:val="0"/>
                    <w:rPr>
                      <w:rFonts w:hint="default"/>
                    </w:rPr>
                  </w:pPr>
                </w:p>
              </w:tc>
              <w:tc>
                <w:tcPr>
                  <w:tcW w:w="1185" w:type="dxa"/>
                  <w:vAlign w:val="center"/>
                </w:tcPr>
                <w:p>
                  <w:pPr>
                    <w:pStyle w:val="19"/>
                    <w:bidi w:val="0"/>
                    <w:rPr>
                      <w:rFonts w:hint="default"/>
                      <w:lang w:val="en-US" w:eastAsia="zh-CN"/>
                    </w:rPr>
                  </w:pPr>
                  <w:r>
                    <w:rPr>
                      <w:rFonts w:hint="eastAsia"/>
                      <w:lang w:val="en-US" w:eastAsia="zh-CN"/>
                    </w:rPr>
                    <w:t>一期</w:t>
                  </w:r>
                </w:p>
              </w:tc>
              <w:tc>
                <w:tcPr>
                  <w:tcW w:w="1125" w:type="dxa"/>
                  <w:vAlign w:val="center"/>
                </w:tcPr>
                <w:p>
                  <w:pPr>
                    <w:pStyle w:val="19"/>
                    <w:bidi w:val="0"/>
                    <w:rPr>
                      <w:rFonts w:hint="eastAsia"/>
                      <w:lang w:val="en-US" w:eastAsia="zh-CN"/>
                    </w:rPr>
                  </w:pPr>
                  <w:r>
                    <w:rPr>
                      <w:rFonts w:hint="eastAsia"/>
                      <w:lang w:val="en-US" w:eastAsia="zh-CN"/>
                    </w:rPr>
                    <w:t>拓展用地</w:t>
                  </w:r>
                </w:p>
              </w:tc>
              <w:tc>
                <w:tcPr>
                  <w:tcW w:w="687" w:type="dxa"/>
                  <w:vMerge w:val="continue"/>
                  <w:vAlign w:val="center"/>
                </w:tcPr>
                <w:p>
                  <w:pPr>
                    <w:pStyle w:val="19"/>
                    <w:bidi w:val="0"/>
                    <w:rPr>
                      <w:rFonts w:hint="eastAsia"/>
                      <w:lang w:val="en-US" w:eastAsia="zh-CN"/>
                    </w:rPr>
                  </w:pPr>
                </w:p>
              </w:tc>
              <w:tc>
                <w:tcPr>
                  <w:tcW w:w="2670" w:type="dxa"/>
                  <w:vMerge w:val="continue"/>
                  <w:vAlign w:val="center"/>
                </w:tcPr>
                <w:p>
                  <w:pPr>
                    <w:pStyle w:val="19"/>
                    <w:bidi w:val="0"/>
                    <w:rPr>
                      <w:rFonts w:hint="eastAsia"/>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2020" w:type="dxa"/>
                  <w:gridSpan w:val="2"/>
                  <w:vAlign w:val="center"/>
                </w:tcPr>
                <w:p>
                  <w:pPr>
                    <w:pStyle w:val="19"/>
                    <w:bidi w:val="0"/>
                    <w:rPr>
                      <w:rFonts w:hint="default"/>
                      <w:lang w:val="en-US" w:eastAsia="zh-CN"/>
                    </w:rPr>
                  </w:pPr>
                  <w:r>
                    <w:rPr>
                      <w:rFonts w:hint="eastAsia"/>
                      <w:lang w:val="en-US" w:eastAsia="zh-CN"/>
                    </w:rPr>
                    <w:t>规划用地面积</w:t>
                  </w:r>
                </w:p>
              </w:tc>
              <w:tc>
                <w:tcPr>
                  <w:tcW w:w="945" w:type="dxa"/>
                  <w:vAlign w:val="center"/>
                </w:tcPr>
                <w:p>
                  <w:pPr>
                    <w:pStyle w:val="19"/>
                    <w:bidi w:val="0"/>
                    <w:rPr>
                      <w:rFonts w:hint="default"/>
                      <w:lang w:val="en-US" w:eastAsia="zh-CN"/>
                    </w:rPr>
                  </w:pPr>
                  <w:r>
                    <w:rPr>
                      <w:rFonts w:hint="eastAsia"/>
                      <w:lang w:val="en-US" w:eastAsia="zh-CN"/>
                    </w:rPr>
                    <w:t>176795</w:t>
                  </w:r>
                </w:p>
              </w:tc>
              <w:tc>
                <w:tcPr>
                  <w:tcW w:w="1185" w:type="dxa"/>
                  <w:vAlign w:val="center"/>
                </w:tcPr>
                <w:p>
                  <w:pPr>
                    <w:pStyle w:val="19"/>
                    <w:bidi w:val="0"/>
                    <w:rPr>
                      <w:rFonts w:hint="default"/>
                      <w:lang w:val="en-US" w:eastAsia="zh-CN"/>
                    </w:rPr>
                  </w:pPr>
                  <w:r>
                    <w:rPr>
                      <w:rFonts w:hint="eastAsia"/>
                      <w:lang w:val="en-US" w:eastAsia="zh-CN"/>
                    </w:rPr>
                    <w:t>148668.6</w:t>
                  </w:r>
                </w:p>
              </w:tc>
              <w:tc>
                <w:tcPr>
                  <w:tcW w:w="1125" w:type="dxa"/>
                  <w:vAlign w:val="center"/>
                </w:tcPr>
                <w:p>
                  <w:pPr>
                    <w:pStyle w:val="19"/>
                    <w:bidi w:val="0"/>
                    <w:rPr>
                      <w:rFonts w:hint="default"/>
                      <w:lang w:val="en-US" w:eastAsia="zh-CN"/>
                    </w:rPr>
                  </w:pPr>
                  <w:r>
                    <w:rPr>
                      <w:rFonts w:hint="eastAsia"/>
                      <w:lang w:val="en-US" w:eastAsia="zh-CN"/>
                    </w:rPr>
                    <w:t>28126.5</w:t>
                  </w:r>
                </w:p>
              </w:tc>
              <w:tc>
                <w:tcPr>
                  <w:tcW w:w="687" w:type="dxa"/>
                  <w:vAlign w:val="center"/>
                </w:tcPr>
                <w:p>
                  <w:pPr>
                    <w:pStyle w:val="19"/>
                    <w:bidi w:val="0"/>
                    <w:rPr>
                      <w:rFonts w:hint="default"/>
                      <w:lang w:val="en-US" w:eastAsia="zh-CN"/>
                    </w:rPr>
                  </w:pPr>
                  <w:r>
                    <w:rPr>
                      <w:rFonts w:hint="eastAsia"/>
                      <w:lang w:val="en-US" w:eastAsia="zh-CN"/>
                    </w:rPr>
                    <w:t>m</w:t>
                  </w:r>
                  <w:r>
                    <w:rPr>
                      <w:rFonts w:hint="eastAsia" w:ascii="Times New Roman" w:hAnsi="Times New Roman" w:eastAsia="宋体" w:cs="Times New Roman"/>
                      <w:kern w:val="2"/>
                      <w:sz w:val="24"/>
                      <w:szCs w:val="24"/>
                      <w:vertAlign w:val="superscript"/>
                      <w:lang w:val="en-US" w:eastAsia="zh-CN" w:bidi="ar-SA"/>
                    </w:rPr>
                    <w:t>2</w:t>
                  </w:r>
                </w:p>
              </w:tc>
              <w:tc>
                <w:tcPr>
                  <w:tcW w:w="2670" w:type="dxa"/>
                  <w:vAlign w:val="center"/>
                </w:tcPr>
                <w:p>
                  <w:pPr>
                    <w:pStyle w:val="19"/>
                    <w:bidi w:val="0"/>
                    <w:rPr>
                      <w:rFonts w:hint="default"/>
                      <w:lang w:val="en-US" w:eastAsia="zh-CN"/>
                    </w:rPr>
                  </w:pPr>
                  <w:r>
                    <w:rPr>
                      <w:rFonts w:hint="eastAsia"/>
                      <w:lang w:val="en-US" w:eastAsia="zh-CN"/>
                    </w:rPr>
                    <w:t>一期含3万平方米临时停车场（二期）面积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2020" w:type="dxa"/>
                  <w:gridSpan w:val="2"/>
                  <w:vAlign w:val="center"/>
                </w:tcPr>
                <w:p>
                  <w:pPr>
                    <w:pStyle w:val="19"/>
                    <w:bidi w:val="0"/>
                    <w:rPr>
                      <w:rFonts w:hint="eastAsia"/>
                      <w:lang w:val="en-US" w:eastAsia="zh-CN"/>
                    </w:rPr>
                  </w:pPr>
                  <w:r>
                    <w:rPr>
                      <w:rFonts w:hint="eastAsia"/>
                      <w:lang w:val="en-US" w:eastAsia="zh-CN"/>
                    </w:rPr>
                    <w:t>容积率</w:t>
                  </w:r>
                </w:p>
              </w:tc>
              <w:tc>
                <w:tcPr>
                  <w:tcW w:w="945" w:type="dxa"/>
                  <w:vAlign w:val="center"/>
                </w:tcPr>
                <w:p>
                  <w:pPr>
                    <w:pStyle w:val="19"/>
                    <w:bidi w:val="0"/>
                    <w:rPr>
                      <w:rFonts w:hint="eastAsia"/>
                      <w:lang w:val="en-US" w:eastAsia="zh-CN"/>
                    </w:rPr>
                  </w:pPr>
                  <w:r>
                    <w:rPr>
                      <w:rFonts w:hint="eastAsia"/>
                      <w:lang w:val="en-US" w:eastAsia="zh-CN"/>
                    </w:rPr>
                    <w:t>/</w:t>
                  </w:r>
                </w:p>
              </w:tc>
              <w:tc>
                <w:tcPr>
                  <w:tcW w:w="1185" w:type="dxa"/>
                  <w:vAlign w:val="center"/>
                </w:tcPr>
                <w:p>
                  <w:pPr>
                    <w:pStyle w:val="19"/>
                    <w:bidi w:val="0"/>
                    <w:rPr>
                      <w:rFonts w:hint="default"/>
                      <w:lang w:val="en-US" w:eastAsia="zh-CN"/>
                    </w:rPr>
                  </w:pPr>
                  <w:r>
                    <w:rPr>
                      <w:rFonts w:hint="eastAsia"/>
                      <w:lang w:val="en-US" w:eastAsia="zh-CN"/>
                    </w:rPr>
                    <w:t>0.22</w:t>
                  </w:r>
                </w:p>
              </w:tc>
              <w:tc>
                <w:tcPr>
                  <w:tcW w:w="1125" w:type="dxa"/>
                  <w:vAlign w:val="center"/>
                </w:tcPr>
                <w:p>
                  <w:pPr>
                    <w:pStyle w:val="19"/>
                    <w:bidi w:val="0"/>
                    <w:rPr>
                      <w:rFonts w:hint="eastAsia"/>
                      <w:lang w:val="en-US" w:eastAsia="zh-CN"/>
                    </w:rPr>
                  </w:pPr>
                  <w:r>
                    <w:rPr>
                      <w:rFonts w:hint="eastAsia"/>
                      <w:lang w:val="en-US" w:eastAsia="zh-CN"/>
                    </w:rPr>
                    <w:t>/</w:t>
                  </w:r>
                </w:p>
              </w:tc>
              <w:tc>
                <w:tcPr>
                  <w:tcW w:w="687" w:type="dxa"/>
                  <w:vAlign w:val="center"/>
                </w:tcPr>
                <w:p>
                  <w:pPr>
                    <w:pStyle w:val="19"/>
                    <w:bidi w:val="0"/>
                    <w:rPr>
                      <w:rFonts w:hint="eastAsia"/>
                      <w:lang w:val="en-US" w:eastAsia="zh-CN"/>
                    </w:rPr>
                  </w:pPr>
                  <w:r>
                    <w:rPr>
                      <w:rFonts w:hint="eastAsia"/>
                      <w:lang w:val="en-US" w:eastAsia="zh-CN"/>
                    </w:rPr>
                    <w:t>/</w:t>
                  </w:r>
                </w:p>
              </w:tc>
              <w:tc>
                <w:tcPr>
                  <w:tcW w:w="2670" w:type="dxa"/>
                  <w:vAlign w:val="center"/>
                </w:tcPr>
                <w:p>
                  <w:pPr>
                    <w:pStyle w:val="19"/>
                    <w:bidi w:val="0"/>
                    <w:rPr>
                      <w:rFonts w:hint="default"/>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 w:hRule="atLeast"/>
              </w:trPr>
              <w:tc>
                <w:tcPr>
                  <w:tcW w:w="2020" w:type="dxa"/>
                  <w:gridSpan w:val="2"/>
                  <w:vAlign w:val="center"/>
                </w:tcPr>
                <w:p>
                  <w:pPr>
                    <w:pStyle w:val="19"/>
                    <w:bidi w:val="0"/>
                    <w:rPr>
                      <w:rFonts w:hint="default"/>
                      <w:lang w:val="en-US" w:eastAsia="zh-CN"/>
                    </w:rPr>
                  </w:pPr>
                  <w:r>
                    <w:rPr>
                      <w:rFonts w:hint="eastAsia"/>
                      <w:lang w:val="en-US" w:eastAsia="zh-CN"/>
                    </w:rPr>
                    <w:t>总建筑面积</w:t>
                  </w:r>
                </w:p>
              </w:tc>
              <w:tc>
                <w:tcPr>
                  <w:tcW w:w="945" w:type="dxa"/>
                  <w:vAlign w:val="center"/>
                </w:tcPr>
                <w:p>
                  <w:pPr>
                    <w:pStyle w:val="19"/>
                    <w:bidi w:val="0"/>
                    <w:rPr>
                      <w:rFonts w:hint="eastAsia"/>
                      <w:lang w:val="en-US" w:eastAsia="zh-CN"/>
                    </w:rPr>
                  </w:pPr>
                  <w:r>
                    <w:rPr>
                      <w:rFonts w:hint="eastAsia"/>
                      <w:lang w:val="en-US" w:eastAsia="zh-CN"/>
                    </w:rPr>
                    <w:t>/</w:t>
                  </w:r>
                </w:p>
              </w:tc>
              <w:tc>
                <w:tcPr>
                  <w:tcW w:w="1185" w:type="dxa"/>
                  <w:vAlign w:val="center"/>
                </w:tcPr>
                <w:p>
                  <w:pPr>
                    <w:pStyle w:val="19"/>
                    <w:bidi w:val="0"/>
                    <w:rPr>
                      <w:rFonts w:hint="default"/>
                      <w:lang w:val="en-US" w:eastAsia="zh-CN"/>
                    </w:rPr>
                  </w:pPr>
                  <w:r>
                    <w:rPr>
                      <w:rFonts w:hint="eastAsia"/>
                      <w:lang w:val="en-US" w:eastAsia="zh-CN"/>
                    </w:rPr>
                    <w:t>36087.91</w:t>
                  </w:r>
                </w:p>
              </w:tc>
              <w:tc>
                <w:tcPr>
                  <w:tcW w:w="1125" w:type="dxa"/>
                  <w:vAlign w:val="center"/>
                </w:tcPr>
                <w:p>
                  <w:pPr>
                    <w:pStyle w:val="19"/>
                    <w:bidi w:val="0"/>
                    <w:rPr>
                      <w:rFonts w:hint="eastAsia"/>
                      <w:lang w:val="en-US" w:eastAsia="zh-CN"/>
                    </w:rPr>
                  </w:pPr>
                  <w:r>
                    <w:rPr>
                      <w:rFonts w:hint="eastAsia"/>
                      <w:lang w:val="en-US" w:eastAsia="zh-CN"/>
                    </w:rPr>
                    <w:t>/</w:t>
                  </w:r>
                </w:p>
              </w:tc>
              <w:tc>
                <w:tcPr>
                  <w:tcW w:w="687" w:type="dxa"/>
                  <w:vAlign w:val="center"/>
                </w:tcPr>
                <w:p>
                  <w:pPr>
                    <w:pStyle w:val="19"/>
                    <w:bidi w:val="0"/>
                    <w:rPr>
                      <w:rFonts w:hint="eastAsia"/>
                      <w:lang w:val="en-US" w:eastAsia="zh-CN"/>
                    </w:rPr>
                  </w:pPr>
                  <w:r>
                    <w:rPr>
                      <w:rFonts w:hint="eastAsia"/>
                      <w:lang w:val="en-US" w:eastAsia="zh-CN"/>
                    </w:rPr>
                    <w:t>m</w:t>
                  </w:r>
                  <w:r>
                    <w:rPr>
                      <w:rFonts w:hint="eastAsia" w:ascii="Times New Roman" w:hAnsi="Times New Roman" w:eastAsia="宋体" w:cs="Times New Roman"/>
                      <w:kern w:val="2"/>
                      <w:sz w:val="24"/>
                      <w:szCs w:val="24"/>
                      <w:vertAlign w:val="superscript"/>
                      <w:lang w:val="en-US" w:eastAsia="zh-CN" w:bidi="ar-SA"/>
                    </w:rPr>
                    <w:t>2</w:t>
                  </w:r>
                </w:p>
              </w:tc>
              <w:tc>
                <w:tcPr>
                  <w:tcW w:w="2670" w:type="dxa"/>
                  <w:vAlign w:val="center"/>
                </w:tcPr>
                <w:p>
                  <w:pPr>
                    <w:pStyle w:val="19"/>
                    <w:bidi w:val="0"/>
                    <w:rPr>
                      <w:rFonts w:hint="eastAsia"/>
                      <w:lang w:val="en-US"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440" w:type="dxa"/>
                  <w:vMerge w:val="restart"/>
                  <w:vAlign w:val="center"/>
                </w:tcPr>
                <w:p>
                  <w:pPr>
                    <w:pStyle w:val="19"/>
                    <w:bidi w:val="0"/>
                    <w:rPr>
                      <w:rFonts w:hint="default"/>
                      <w:lang w:val="en-US" w:eastAsia="zh-CN"/>
                    </w:rPr>
                  </w:pPr>
                  <w:r>
                    <w:rPr>
                      <w:rFonts w:hint="eastAsia"/>
                      <w:lang w:val="en-US" w:eastAsia="zh-CN"/>
                    </w:rPr>
                    <w:t>其中</w:t>
                  </w:r>
                </w:p>
              </w:tc>
              <w:tc>
                <w:tcPr>
                  <w:tcW w:w="1580" w:type="dxa"/>
                  <w:vAlign w:val="center"/>
                </w:tcPr>
                <w:p>
                  <w:pPr>
                    <w:pStyle w:val="19"/>
                    <w:bidi w:val="0"/>
                    <w:rPr>
                      <w:rFonts w:hint="default"/>
                      <w:lang w:val="en-US" w:eastAsia="zh-CN"/>
                    </w:rPr>
                  </w:pPr>
                  <w:r>
                    <w:rPr>
                      <w:rFonts w:hint="eastAsia"/>
                      <w:lang w:val="en-US" w:eastAsia="zh-CN"/>
                    </w:rPr>
                    <w:t>地上建筑面积</w:t>
                  </w:r>
                </w:p>
              </w:tc>
              <w:tc>
                <w:tcPr>
                  <w:tcW w:w="945" w:type="dxa"/>
                  <w:vAlign w:val="center"/>
                </w:tcPr>
                <w:p>
                  <w:pPr>
                    <w:pStyle w:val="19"/>
                    <w:bidi w:val="0"/>
                    <w:rPr>
                      <w:rFonts w:hint="default"/>
                    </w:rPr>
                  </w:pPr>
                  <w:r>
                    <w:rPr>
                      <w:rFonts w:hint="eastAsia"/>
                      <w:lang w:val="en-US" w:eastAsia="zh-CN"/>
                    </w:rPr>
                    <w:t>/</w:t>
                  </w:r>
                </w:p>
              </w:tc>
              <w:tc>
                <w:tcPr>
                  <w:tcW w:w="1185" w:type="dxa"/>
                  <w:vAlign w:val="center"/>
                </w:tcPr>
                <w:p>
                  <w:pPr>
                    <w:pStyle w:val="19"/>
                    <w:bidi w:val="0"/>
                    <w:rPr>
                      <w:rFonts w:hint="default"/>
                      <w:lang w:val="en-US" w:eastAsia="zh-CN"/>
                    </w:rPr>
                  </w:pPr>
                  <w:r>
                    <w:rPr>
                      <w:rFonts w:hint="eastAsia"/>
                      <w:lang w:val="en-US" w:eastAsia="zh-CN"/>
                    </w:rPr>
                    <w:t>31974.65</w:t>
                  </w:r>
                </w:p>
              </w:tc>
              <w:tc>
                <w:tcPr>
                  <w:tcW w:w="1125" w:type="dxa"/>
                  <w:vAlign w:val="center"/>
                </w:tcPr>
                <w:p>
                  <w:pPr>
                    <w:pStyle w:val="19"/>
                    <w:bidi w:val="0"/>
                    <w:rPr>
                      <w:rFonts w:hint="default"/>
                    </w:rPr>
                  </w:pPr>
                  <w:r>
                    <w:rPr>
                      <w:rFonts w:hint="eastAsia"/>
                      <w:lang w:val="en-US" w:eastAsia="zh-CN"/>
                    </w:rPr>
                    <w:t>/</w:t>
                  </w:r>
                </w:p>
              </w:tc>
              <w:tc>
                <w:tcPr>
                  <w:tcW w:w="687" w:type="dxa"/>
                  <w:vAlign w:val="center"/>
                </w:tcPr>
                <w:p>
                  <w:pPr>
                    <w:pStyle w:val="19"/>
                    <w:bidi w:val="0"/>
                    <w:rPr>
                      <w:rFonts w:hint="default"/>
                    </w:rPr>
                  </w:pPr>
                  <w:r>
                    <w:rPr>
                      <w:rFonts w:hint="eastAsia"/>
                      <w:lang w:val="en-US" w:eastAsia="zh-CN"/>
                    </w:rPr>
                    <w:t>m</w:t>
                  </w:r>
                  <w:r>
                    <w:rPr>
                      <w:rFonts w:hint="eastAsia" w:ascii="Times New Roman" w:hAnsi="Times New Roman" w:eastAsia="宋体" w:cs="Times New Roman"/>
                      <w:kern w:val="2"/>
                      <w:sz w:val="24"/>
                      <w:szCs w:val="24"/>
                      <w:vertAlign w:val="superscript"/>
                      <w:lang w:val="en-US" w:eastAsia="zh-CN" w:bidi="ar-SA"/>
                    </w:rPr>
                    <w:t>2</w:t>
                  </w:r>
                </w:p>
              </w:tc>
              <w:tc>
                <w:tcPr>
                  <w:tcW w:w="2670" w:type="dxa"/>
                  <w:vAlign w:val="center"/>
                </w:tcPr>
                <w:p>
                  <w:pPr>
                    <w:pStyle w:val="19"/>
                    <w:bidi w:val="0"/>
                    <w:rPr>
                      <w:rFonts w:hint="default"/>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440" w:type="dxa"/>
                  <w:vMerge w:val="continue"/>
                  <w:vAlign w:val="center"/>
                </w:tcPr>
                <w:p>
                  <w:pPr>
                    <w:pStyle w:val="19"/>
                    <w:bidi w:val="0"/>
                    <w:rPr>
                      <w:rFonts w:hint="default"/>
                    </w:rPr>
                  </w:pPr>
                </w:p>
              </w:tc>
              <w:tc>
                <w:tcPr>
                  <w:tcW w:w="1580" w:type="dxa"/>
                  <w:vAlign w:val="center"/>
                </w:tcPr>
                <w:p>
                  <w:pPr>
                    <w:pStyle w:val="19"/>
                    <w:bidi w:val="0"/>
                    <w:rPr>
                      <w:rFonts w:hint="default"/>
                      <w:lang w:val="en-US" w:eastAsia="zh-CN"/>
                    </w:rPr>
                  </w:pPr>
                  <w:r>
                    <w:rPr>
                      <w:rFonts w:hint="eastAsia"/>
                      <w:lang w:val="en-US" w:eastAsia="zh-CN"/>
                    </w:rPr>
                    <w:t>地下建筑面积</w:t>
                  </w:r>
                </w:p>
              </w:tc>
              <w:tc>
                <w:tcPr>
                  <w:tcW w:w="945" w:type="dxa"/>
                  <w:vAlign w:val="center"/>
                </w:tcPr>
                <w:p>
                  <w:pPr>
                    <w:pStyle w:val="19"/>
                    <w:bidi w:val="0"/>
                    <w:rPr>
                      <w:rFonts w:hint="default"/>
                    </w:rPr>
                  </w:pPr>
                  <w:r>
                    <w:rPr>
                      <w:rFonts w:hint="eastAsia"/>
                      <w:lang w:val="en-US" w:eastAsia="zh-CN"/>
                    </w:rPr>
                    <w:t>/</w:t>
                  </w:r>
                </w:p>
              </w:tc>
              <w:tc>
                <w:tcPr>
                  <w:tcW w:w="1185" w:type="dxa"/>
                  <w:vAlign w:val="center"/>
                </w:tcPr>
                <w:p>
                  <w:pPr>
                    <w:pStyle w:val="19"/>
                    <w:bidi w:val="0"/>
                    <w:rPr>
                      <w:rFonts w:hint="default"/>
                      <w:lang w:val="en-US" w:eastAsia="zh-CN"/>
                    </w:rPr>
                  </w:pPr>
                  <w:r>
                    <w:rPr>
                      <w:rFonts w:hint="eastAsia"/>
                      <w:lang w:val="en-US" w:eastAsia="zh-CN"/>
                    </w:rPr>
                    <w:t>4113.26</w:t>
                  </w:r>
                </w:p>
              </w:tc>
              <w:tc>
                <w:tcPr>
                  <w:tcW w:w="1125" w:type="dxa"/>
                  <w:vAlign w:val="center"/>
                </w:tcPr>
                <w:p>
                  <w:pPr>
                    <w:pStyle w:val="19"/>
                    <w:bidi w:val="0"/>
                    <w:rPr>
                      <w:rFonts w:hint="default"/>
                    </w:rPr>
                  </w:pPr>
                  <w:r>
                    <w:rPr>
                      <w:rFonts w:hint="eastAsia"/>
                      <w:lang w:val="en-US" w:eastAsia="zh-CN"/>
                    </w:rPr>
                    <w:t>/</w:t>
                  </w:r>
                </w:p>
              </w:tc>
              <w:tc>
                <w:tcPr>
                  <w:tcW w:w="687" w:type="dxa"/>
                  <w:vAlign w:val="center"/>
                </w:tcPr>
                <w:p>
                  <w:pPr>
                    <w:pStyle w:val="19"/>
                    <w:bidi w:val="0"/>
                    <w:rPr>
                      <w:rFonts w:hint="default"/>
                    </w:rPr>
                  </w:pPr>
                  <w:r>
                    <w:rPr>
                      <w:rFonts w:hint="eastAsia"/>
                      <w:lang w:val="en-US" w:eastAsia="zh-CN"/>
                    </w:rPr>
                    <w:t>m</w:t>
                  </w:r>
                  <w:r>
                    <w:rPr>
                      <w:rFonts w:hint="eastAsia" w:ascii="Times New Roman" w:hAnsi="Times New Roman" w:eastAsia="宋体" w:cs="Times New Roman"/>
                      <w:kern w:val="2"/>
                      <w:sz w:val="24"/>
                      <w:szCs w:val="24"/>
                      <w:vertAlign w:val="superscript"/>
                      <w:lang w:val="en-US" w:eastAsia="zh-CN" w:bidi="ar-SA"/>
                    </w:rPr>
                    <w:t>2</w:t>
                  </w:r>
                </w:p>
              </w:tc>
              <w:tc>
                <w:tcPr>
                  <w:tcW w:w="2670" w:type="dxa"/>
                  <w:vAlign w:val="center"/>
                </w:tcPr>
                <w:p>
                  <w:pPr>
                    <w:pStyle w:val="19"/>
                    <w:bidi w:val="0"/>
                    <w:rPr>
                      <w:rFonts w:hint="default"/>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2020" w:type="dxa"/>
                  <w:gridSpan w:val="2"/>
                  <w:vAlign w:val="center"/>
                </w:tcPr>
                <w:p>
                  <w:pPr>
                    <w:pStyle w:val="19"/>
                    <w:bidi w:val="0"/>
                    <w:rPr>
                      <w:rFonts w:hint="default"/>
                      <w:lang w:val="en-US" w:eastAsia="zh-CN"/>
                    </w:rPr>
                  </w:pPr>
                  <w:r>
                    <w:rPr>
                      <w:rFonts w:hint="eastAsia"/>
                      <w:lang w:val="en-US" w:eastAsia="zh-CN"/>
                    </w:rPr>
                    <w:t>建筑占地面积</w:t>
                  </w:r>
                </w:p>
              </w:tc>
              <w:tc>
                <w:tcPr>
                  <w:tcW w:w="945" w:type="dxa"/>
                  <w:vAlign w:val="center"/>
                </w:tcPr>
                <w:p>
                  <w:pPr>
                    <w:pStyle w:val="19"/>
                    <w:bidi w:val="0"/>
                    <w:rPr>
                      <w:rFonts w:hint="default"/>
                    </w:rPr>
                  </w:pPr>
                  <w:r>
                    <w:rPr>
                      <w:rFonts w:hint="eastAsia"/>
                      <w:lang w:val="en-US" w:eastAsia="zh-CN"/>
                    </w:rPr>
                    <w:t>/</w:t>
                  </w:r>
                </w:p>
              </w:tc>
              <w:tc>
                <w:tcPr>
                  <w:tcW w:w="1185" w:type="dxa"/>
                  <w:vAlign w:val="center"/>
                </w:tcPr>
                <w:p>
                  <w:pPr>
                    <w:pStyle w:val="19"/>
                    <w:bidi w:val="0"/>
                    <w:rPr>
                      <w:rFonts w:hint="default"/>
                      <w:lang w:val="en-US" w:eastAsia="zh-CN"/>
                    </w:rPr>
                  </w:pPr>
                  <w:r>
                    <w:rPr>
                      <w:rFonts w:hint="eastAsia"/>
                      <w:lang w:val="en-US" w:eastAsia="zh-CN"/>
                    </w:rPr>
                    <w:t>17137.95</w:t>
                  </w:r>
                </w:p>
              </w:tc>
              <w:tc>
                <w:tcPr>
                  <w:tcW w:w="1125" w:type="dxa"/>
                  <w:vAlign w:val="center"/>
                </w:tcPr>
                <w:p>
                  <w:pPr>
                    <w:pStyle w:val="19"/>
                    <w:bidi w:val="0"/>
                    <w:rPr>
                      <w:rFonts w:hint="default"/>
                    </w:rPr>
                  </w:pPr>
                  <w:r>
                    <w:rPr>
                      <w:rFonts w:hint="eastAsia"/>
                      <w:lang w:val="en-US" w:eastAsia="zh-CN"/>
                    </w:rPr>
                    <w:t>/</w:t>
                  </w:r>
                </w:p>
              </w:tc>
              <w:tc>
                <w:tcPr>
                  <w:tcW w:w="687" w:type="dxa"/>
                  <w:vAlign w:val="center"/>
                </w:tcPr>
                <w:p>
                  <w:pPr>
                    <w:pStyle w:val="19"/>
                    <w:bidi w:val="0"/>
                    <w:rPr>
                      <w:rFonts w:hint="default"/>
                    </w:rPr>
                  </w:pPr>
                  <w:r>
                    <w:rPr>
                      <w:rFonts w:hint="eastAsia"/>
                      <w:lang w:val="en-US" w:eastAsia="zh-CN"/>
                    </w:rPr>
                    <w:t>m</w:t>
                  </w:r>
                  <w:r>
                    <w:rPr>
                      <w:rFonts w:hint="eastAsia" w:ascii="Times New Roman" w:hAnsi="Times New Roman" w:eastAsia="宋体" w:cs="Times New Roman"/>
                      <w:kern w:val="2"/>
                      <w:sz w:val="24"/>
                      <w:szCs w:val="24"/>
                      <w:vertAlign w:val="superscript"/>
                      <w:lang w:val="en-US" w:eastAsia="zh-CN" w:bidi="ar-SA"/>
                    </w:rPr>
                    <w:t>2</w:t>
                  </w:r>
                </w:p>
              </w:tc>
              <w:tc>
                <w:tcPr>
                  <w:tcW w:w="2670" w:type="dxa"/>
                  <w:vAlign w:val="center"/>
                </w:tcPr>
                <w:p>
                  <w:pPr>
                    <w:pStyle w:val="19"/>
                    <w:bidi w:val="0"/>
                    <w:rPr>
                      <w:rFonts w:hint="default"/>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2020" w:type="dxa"/>
                  <w:gridSpan w:val="2"/>
                  <w:vAlign w:val="center"/>
                </w:tcPr>
                <w:p>
                  <w:pPr>
                    <w:pStyle w:val="19"/>
                    <w:bidi w:val="0"/>
                    <w:rPr>
                      <w:rFonts w:hint="default"/>
                      <w:lang w:val="en-US" w:eastAsia="zh-CN"/>
                    </w:rPr>
                  </w:pPr>
                  <w:r>
                    <w:rPr>
                      <w:rFonts w:hint="eastAsia"/>
                      <w:lang w:val="en-US" w:eastAsia="zh-CN"/>
                    </w:rPr>
                    <w:t>建筑密度</w:t>
                  </w:r>
                </w:p>
              </w:tc>
              <w:tc>
                <w:tcPr>
                  <w:tcW w:w="945" w:type="dxa"/>
                  <w:vAlign w:val="center"/>
                </w:tcPr>
                <w:p>
                  <w:pPr>
                    <w:pStyle w:val="19"/>
                    <w:bidi w:val="0"/>
                    <w:rPr>
                      <w:rFonts w:hint="default"/>
                    </w:rPr>
                  </w:pPr>
                  <w:r>
                    <w:rPr>
                      <w:rFonts w:hint="eastAsia"/>
                      <w:lang w:val="en-US" w:eastAsia="zh-CN"/>
                    </w:rPr>
                    <w:t>/</w:t>
                  </w:r>
                </w:p>
              </w:tc>
              <w:tc>
                <w:tcPr>
                  <w:tcW w:w="1185" w:type="dxa"/>
                  <w:vAlign w:val="center"/>
                </w:tcPr>
                <w:p>
                  <w:pPr>
                    <w:pStyle w:val="19"/>
                    <w:bidi w:val="0"/>
                    <w:rPr>
                      <w:rFonts w:hint="default"/>
                      <w:lang w:val="en-US" w:eastAsia="zh-CN"/>
                    </w:rPr>
                  </w:pPr>
                  <w:r>
                    <w:rPr>
                      <w:rFonts w:hint="eastAsia"/>
                      <w:lang w:val="en-US" w:eastAsia="zh-CN"/>
                    </w:rPr>
                    <w:t>11.53%</w:t>
                  </w:r>
                </w:p>
              </w:tc>
              <w:tc>
                <w:tcPr>
                  <w:tcW w:w="1125" w:type="dxa"/>
                  <w:vAlign w:val="center"/>
                </w:tcPr>
                <w:p>
                  <w:pPr>
                    <w:pStyle w:val="19"/>
                    <w:bidi w:val="0"/>
                    <w:rPr>
                      <w:rFonts w:hint="default"/>
                    </w:rPr>
                  </w:pPr>
                  <w:r>
                    <w:rPr>
                      <w:rFonts w:hint="eastAsia"/>
                      <w:lang w:val="en-US" w:eastAsia="zh-CN"/>
                    </w:rPr>
                    <w:t>/</w:t>
                  </w:r>
                </w:p>
              </w:tc>
              <w:tc>
                <w:tcPr>
                  <w:tcW w:w="687" w:type="dxa"/>
                  <w:vAlign w:val="center"/>
                </w:tcPr>
                <w:p>
                  <w:pPr>
                    <w:pStyle w:val="19"/>
                    <w:bidi w:val="0"/>
                    <w:rPr>
                      <w:rFonts w:hint="eastAsia"/>
                      <w:lang w:val="en-US" w:eastAsia="zh-CN"/>
                    </w:rPr>
                  </w:pPr>
                  <w:r>
                    <w:rPr>
                      <w:rFonts w:hint="eastAsia"/>
                      <w:lang w:val="en-US" w:eastAsia="zh-CN"/>
                    </w:rPr>
                    <w:t>/</w:t>
                  </w:r>
                </w:p>
              </w:tc>
              <w:tc>
                <w:tcPr>
                  <w:tcW w:w="2670" w:type="dxa"/>
                  <w:vAlign w:val="center"/>
                </w:tcPr>
                <w:p>
                  <w:pPr>
                    <w:pStyle w:val="19"/>
                    <w:bidi w:val="0"/>
                    <w:rPr>
                      <w:rFonts w:hint="default"/>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2020" w:type="dxa"/>
                  <w:gridSpan w:val="2"/>
                  <w:vAlign w:val="center"/>
                </w:tcPr>
                <w:p>
                  <w:pPr>
                    <w:pStyle w:val="19"/>
                    <w:bidi w:val="0"/>
                    <w:rPr>
                      <w:rFonts w:hint="default"/>
                      <w:lang w:val="en-US" w:eastAsia="zh-CN"/>
                    </w:rPr>
                  </w:pPr>
                  <w:r>
                    <w:rPr>
                      <w:rFonts w:hint="eastAsia"/>
                      <w:lang w:val="en-US" w:eastAsia="zh-CN"/>
                    </w:rPr>
                    <w:t>绿地面积</w:t>
                  </w:r>
                </w:p>
              </w:tc>
              <w:tc>
                <w:tcPr>
                  <w:tcW w:w="945" w:type="dxa"/>
                  <w:vAlign w:val="center"/>
                </w:tcPr>
                <w:p>
                  <w:pPr>
                    <w:pStyle w:val="19"/>
                    <w:bidi w:val="0"/>
                    <w:rPr>
                      <w:rFonts w:hint="default"/>
                    </w:rPr>
                  </w:pPr>
                  <w:r>
                    <w:rPr>
                      <w:rFonts w:hint="eastAsia"/>
                      <w:lang w:val="en-US" w:eastAsia="zh-CN"/>
                    </w:rPr>
                    <w:t>/</w:t>
                  </w:r>
                </w:p>
              </w:tc>
              <w:tc>
                <w:tcPr>
                  <w:tcW w:w="1185" w:type="dxa"/>
                  <w:vAlign w:val="center"/>
                </w:tcPr>
                <w:p>
                  <w:pPr>
                    <w:pStyle w:val="19"/>
                    <w:bidi w:val="0"/>
                    <w:rPr>
                      <w:rFonts w:hint="default"/>
                      <w:lang w:val="en-US" w:eastAsia="zh-CN"/>
                    </w:rPr>
                  </w:pPr>
                  <w:r>
                    <w:rPr>
                      <w:rFonts w:hint="eastAsia"/>
                      <w:lang w:val="en-US" w:eastAsia="zh-CN"/>
                    </w:rPr>
                    <w:t>41976.3</w:t>
                  </w:r>
                </w:p>
              </w:tc>
              <w:tc>
                <w:tcPr>
                  <w:tcW w:w="1125" w:type="dxa"/>
                  <w:vAlign w:val="center"/>
                </w:tcPr>
                <w:p>
                  <w:pPr>
                    <w:pStyle w:val="19"/>
                    <w:bidi w:val="0"/>
                    <w:rPr>
                      <w:rFonts w:hint="default"/>
                    </w:rPr>
                  </w:pPr>
                  <w:r>
                    <w:rPr>
                      <w:rFonts w:hint="eastAsia"/>
                      <w:lang w:val="en-US" w:eastAsia="zh-CN"/>
                    </w:rPr>
                    <w:t>/</w:t>
                  </w:r>
                </w:p>
              </w:tc>
              <w:tc>
                <w:tcPr>
                  <w:tcW w:w="687" w:type="dxa"/>
                  <w:vAlign w:val="center"/>
                </w:tcPr>
                <w:p>
                  <w:pPr>
                    <w:pStyle w:val="19"/>
                    <w:bidi w:val="0"/>
                    <w:rPr>
                      <w:rFonts w:hint="default"/>
                    </w:rPr>
                  </w:pPr>
                  <w:r>
                    <w:rPr>
                      <w:rFonts w:hint="eastAsia"/>
                      <w:lang w:val="en-US" w:eastAsia="zh-CN"/>
                    </w:rPr>
                    <w:t>m</w:t>
                  </w:r>
                  <w:r>
                    <w:rPr>
                      <w:rFonts w:hint="eastAsia" w:ascii="Times New Roman" w:hAnsi="Times New Roman" w:eastAsia="宋体" w:cs="Times New Roman"/>
                      <w:kern w:val="2"/>
                      <w:sz w:val="24"/>
                      <w:szCs w:val="24"/>
                      <w:vertAlign w:val="superscript"/>
                      <w:lang w:val="en-US" w:eastAsia="zh-CN" w:bidi="ar-SA"/>
                    </w:rPr>
                    <w:t>2</w:t>
                  </w:r>
                </w:p>
              </w:tc>
              <w:tc>
                <w:tcPr>
                  <w:tcW w:w="2670" w:type="dxa"/>
                  <w:vAlign w:val="center"/>
                </w:tcPr>
                <w:p>
                  <w:pPr>
                    <w:pStyle w:val="19"/>
                    <w:bidi w:val="0"/>
                    <w:rPr>
                      <w:rFonts w:hint="default"/>
                      <w:lang w:val="en-US" w:eastAsia="zh-CN"/>
                    </w:rPr>
                  </w:pPr>
                  <w:r>
                    <w:rPr>
                      <w:rFonts w:hint="eastAsia"/>
                      <w:lang w:val="en-US" w:eastAsia="zh-CN"/>
                    </w:rPr>
                    <w:t>一期含停车场（二期）4253.3平方米的绿地面积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2020" w:type="dxa"/>
                  <w:gridSpan w:val="2"/>
                  <w:vAlign w:val="center"/>
                </w:tcPr>
                <w:p>
                  <w:pPr>
                    <w:pStyle w:val="19"/>
                    <w:bidi w:val="0"/>
                    <w:rPr>
                      <w:rFonts w:hint="default"/>
                      <w:lang w:val="en-US" w:eastAsia="zh-CN"/>
                    </w:rPr>
                  </w:pPr>
                  <w:r>
                    <w:rPr>
                      <w:rFonts w:hint="eastAsia"/>
                      <w:lang w:val="en-US" w:eastAsia="zh-CN"/>
                    </w:rPr>
                    <w:t>水域面积</w:t>
                  </w:r>
                </w:p>
              </w:tc>
              <w:tc>
                <w:tcPr>
                  <w:tcW w:w="945" w:type="dxa"/>
                  <w:vAlign w:val="center"/>
                </w:tcPr>
                <w:p>
                  <w:pPr>
                    <w:pStyle w:val="19"/>
                    <w:bidi w:val="0"/>
                    <w:rPr>
                      <w:rFonts w:hint="default"/>
                    </w:rPr>
                  </w:pPr>
                  <w:r>
                    <w:rPr>
                      <w:rFonts w:hint="eastAsia"/>
                      <w:lang w:val="en-US" w:eastAsia="zh-CN"/>
                    </w:rPr>
                    <w:t>/</w:t>
                  </w:r>
                </w:p>
              </w:tc>
              <w:tc>
                <w:tcPr>
                  <w:tcW w:w="1185" w:type="dxa"/>
                  <w:vAlign w:val="center"/>
                </w:tcPr>
                <w:p>
                  <w:pPr>
                    <w:pStyle w:val="19"/>
                    <w:bidi w:val="0"/>
                    <w:rPr>
                      <w:rFonts w:hint="default"/>
                      <w:lang w:val="en-US" w:eastAsia="zh-CN"/>
                    </w:rPr>
                  </w:pPr>
                  <w:r>
                    <w:rPr>
                      <w:rFonts w:hint="eastAsia"/>
                      <w:lang w:val="en-US" w:eastAsia="zh-CN"/>
                    </w:rPr>
                    <w:t>13164</w:t>
                  </w:r>
                </w:p>
              </w:tc>
              <w:tc>
                <w:tcPr>
                  <w:tcW w:w="1125" w:type="dxa"/>
                  <w:vAlign w:val="center"/>
                </w:tcPr>
                <w:p>
                  <w:pPr>
                    <w:pStyle w:val="19"/>
                    <w:bidi w:val="0"/>
                    <w:rPr>
                      <w:rFonts w:hint="default"/>
                    </w:rPr>
                  </w:pPr>
                  <w:r>
                    <w:rPr>
                      <w:rFonts w:hint="eastAsia"/>
                      <w:lang w:val="en-US" w:eastAsia="zh-CN"/>
                    </w:rPr>
                    <w:t>/</w:t>
                  </w:r>
                </w:p>
              </w:tc>
              <w:tc>
                <w:tcPr>
                  <w:tcW w:w="687" w:type="dxa"/>
                  <w:vAlign w:val="center"/>
                </w:tcPr>
                <w:p>
                  <w:pPr>
                    <w:pStyle w:val="19"/>
                    <w:bidi w:val="0"/>
                    <w:rPr>
                      <w:rFonts w:hint="default"/>
                    </w:rPr>
                  </w:pPr>
                  <w:r>
                    <w:rPr>
                      <w:rFonts w:hint="eastAsia"/>
                      <w:lang w:val="en-US" w:eastAsia="zh-CN"/>
                    </w:rPr>
                    <w:t>m</w:t>
                  </w:r>
                  <w:r>
                    <w:rPr>
                      <w:rFonts w:hint="eastAsia" w:ascii="Times New Roman" w:hAnsi="Times New Roman" w:eastAsia="宋体" w:cs="Times New Roman"/>
                      <w:kern w:val="2"/>
                      <w:sz w:val="24"/>
                      <w:szCs w:val="24"/>
                      <w:vertAlign w:val="superscript"/>
                      <w:lang w:val="en-US" w:eastAsia="zh-CN" w:bidi="ar-SA"/>
                    </w:rPr>
                    <w:t>2</w:t>
                  </w:r>
                </w:p>
              </w:tc>
              <w:tc>
                <w:tcPr>
                  <w:tcW w:w="2670" w:type="dxa"/>
                  <w:vAlign w:val="center"/>
                </w:tcPr>
                <w:p>
                  <w:pPr>
                    <w:pStyle w:val="19"/>
                    <w:bidi w:val="0"/>
                    <w:rPr>
                      <w:rFonts w:hint="eastAsia"/>
                      <w:lang w:val="en-US"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2020" w:type="dxa"/>
                  <w:gridSpan w:val="2"/>
                  <w:vAlign w:val="center"/>
                </w:tcPr>
                <w:p>
                  <w:pPr>
                    <w:pStyle w:val="19"/>
                    <w:bidi w:val="0"/>
                    <w:rPr>
                      <w:rFonts w:hint="eastAsia"/>
                      <w:lang w:val="en-US" w:eastAsia="zh-CN"/>
                    </w:rPr>
                  </w:pPr>
                  <w:r>
                    <w:rPr>
                      <w:rFonts w:hint="eastAsia"/>
                      <w:lang w:val="en-US" w:eastAsia="zh-CN"/>
                    </w:rPr>
                    <w:t>绿地率</w:t>
                  </w:r>
                </w:p>
              </w:tc>
              <w:tc>
                <w:tcPr>
                  <w:tcW w:w="945" w:type="dxa"/>
                  <w:vAlign w:val="center"/>
                </w:tcPr>
                <w:p>
                  <w:pPr>
                    <w:pStyle w:val="19"/>
                    <w:bidi w:val="0"/>
                    <w:rPr>
                      <w:rFonts w:hint="default"/>
                    </w:rPr>
                  </w:pPr>
                  <w:r>
                    <w:rPr>
                      <w:rFonts w:hint="eastAsia"/>
                      <w:lang w:val="en-US" w:eastAsia="zh-CN"/>
                    </w:rPr>
                    <w:t>/</w:t>
                  </w:r>
                </w:p>
              </w:tc>
              <w:tc>
                <w:tcPr>
                  <w:tcW w:w="1185" w:type="dxa"/>
                  <w:vAlign w:val="center"/>
                </w:tcPr>
                <w:p>
                  <w:pPr>
                    <w:pStyle w:val="19"/>
                    <w:bidi w:val="0"/>
                    <w:rPr>
                      <w:rFonts w:hint="default"/>
                      <w:lang w:val="en-US" w:eastAsia="zh-CN"/>
                    </w:rPr>
                  </w:pPr>
                  <w:r>
                    <w:rPr>
                      <w:rFonts w:hint="eastAsia"/>
                      <w:lang w:val="en-US" w:eastAsia="zh-CN"/>
                    </w:rPr>
                    <w:t>37%</w:t>
                  </w:r>
                </w:p>
              </w:tc>
              <w:tc>
                <w:tcPr>
                  <w:tcW w:w="1125" w:type="dxa"/>
                  <w:vAlign w:val="center"/>
                </w:tcPr>
                <w:p>
                  <w:pPr>
                    <w:pStyle w:val="19"/>
                    <w:bidi w:val="0"/>
                    <w:rPr>
                      <w:rFonts w:hint="default"/>
                    </w:rPr>
                  </w:pPr>
                  <w:r>
                    <w:rPr>
                      <w:rFonts w:hint="eastAsia"/>
                      <w:lang w:val="en-US" w:eastAsia="zh-CN"/>
                    </w:rPr>
                    <w:t>/</w:t>
                  </w:r>
                </w:p>
              </w:tc>
              <w:tc>
                <w:tcPr>
                  <w:tcW w:w="687" w:type="dxa"/>
                  <w:vAlign w:val="center"/>
                </w:tcPr>
                <w:p>
                  <w:pPr>
                    <w:pStyle w:val="19"/>
                    <w:bidi w:val="0"/>
                    <w:rPr>
                      <w:rFonts w:hint="default"/>
                    </w:rPr>
                  </w:pPr>
                  <w:r>
                    <w:rPr>
                      <w:rFonts w:hint="eastAsia"/>
                      <w:lang w:val="en-US" w:eastAsia="zh-CN"/>
                    </w:rPr>
                    <w:t>/</w:t>
                  </w:r>
                </w:p>
              </w:tc>
              <w:tc>
                <w:tcPr>
                  <w:tcW w:w="2670" w:type="dxa"/>
                  <w:vAlign w:val="center"/>
                </w:tcPr>
                <w:p>
                  <w:pPr>
                    <w:pStyle w:val="19"/>
                    <w:bidi w:val="0"/>
                    <w:rPr>
                      <w:rFonts w:hint="default"/>
                      <w:lang w:val="en-US" w:eastAsia="zh-CN"/>
                    </w:rPr>
                  </w:pPr>
                  <w:r>
                    <w:rPr>
                      <w:rFonts w:hint="eastAsia"/>
                      <w:lang w:val="en-US" w:eastAsia="zh-CN"/>
                    </w:rPr>
                    <w:t>含水域面积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2020" w:type="dxa"/>
                  <w:gridSpan w:val="2"/>
                  <w:vAlign w:val="center"/>
                </w:tcPr>
                <w:p>
                  <w:pPr>
                    <w:pStyle w:val="19"/>
                    <w:bidi w:val="0"/>
                    <w:rPr>
                      <w:rFonts w:hint="eastAsia"/>
                      <w:lang w:val="en-US" w:eastAsia="zh-CN"/>
                    </w:rPr>
                  </w:pPr>
                  <w:r>
                    <w:rPr>
                      <w:rFonts w:hint="eastAsia"/>
                      <w:lang w:val="en-US" w:eastAsia="zh-CN"/>
                    </w:rPr>
                    <w:t>绿地率</w:t>
                  </w:r>
                </w:p>
              </w:tc>
              <w:tc>
                <w:tcPr>
                  <w:tcW w:w="945" w:type="dxa"/>
                  <w:vAlign w:val="center"/>
                </w:tcPr>
                <w:p>
                  <w:pPr>
                    <w:pStyle w:val="19"/>
                    <w:bidi w:val="0"/>
                    <w:rPr>
                      <w:rFonts w:hint="default"/>
                    </w:rPr>
                  </w:pPr>
                  <w:r>
                    <w:rPr>
                      <w:rFonts w:hint="eastAsia"/>
                      <w:lang w:val="en-US" w:eastAsia="zh-CN"/>
                    </w:rPr>
                    <w:t>/</w:t>
                  </w:r>
                </w:p>
              </w:tc>
              <w:tc>
                <w:tcPr>
                  <w:tcW w:w="1185" w:type="dxa"/>
                  <w:vAlign w:val="center"/>
                </w:tcPr>
                <w:p>
                  <w:pPr>
                    <w:pStyle w:val="19"/>
                    <w:bidi w:val="0"/>
                    <w:rPr>
                      <w:rFonts w:hint="default"/>
                      <w:lang w:val="en-US" w:eastAsia="zh-CN"/>
                    </w:rPr>
                  </w:pPr>
                  <w:r>
                    <w:rPr>
                      <w:rFonts w:hint="eastAsia"/>
                      <w:lang w:val="en-US" w:eastAsia="zh-CN"/>
                    </w:rPr>
                    <w:t>28.23%</w:t>
                  </w:r>
                </w:p>
              </w:tc>
              <w:tc>
                <w:tcPr>
                  <w:tcW w:w="1125" w:type="dxa"/>
                  <w:vAlign w:val="center"/>
                </w:tcPr>
                <w:p>
                  <w:pPr>
                    <w:pStyle w:val="19"/>
                    <w:bidi w:val="0"/>
                    <w:rPr>
                      <w:rFonts w:hint="default"/>
                    </w:rPr>
                  </w:pPr>
                  <w:r>
                    <w:rPr>
                      <w:rFonts w:hint="eastAsia"/>
                      <w:lang w:val="en-US" w:eastAsia="zh-CN"/>
                    </w:rPr>
                    <w:t>/</w:t>
                  </w:r>
                </w:p>
              </w:tc>
              <w:tc>
                <w:tcPr>
                  <w:tcW w:w="687" w:type="dxa"/>
                  <w:vAlign w:val="center"/>
                </w:tcPr>
                <w:p>
                  <w:pPr>
                    <w:pStyle w:val="19"/>
                    <w:bidi w:val="0"/>
                    <w:rPr>
                      <w:rFonts w:hint="default"/>
                    </w:rPr>
                  </w:pPr>
                  <w:r>
                    <w:rPr>
                      <w:rFonts w:hint="eastAsia"/>
                      <w:lang w:val="en-US" w:eastAsia="zh-CN"/>
                    </w:rPr>
                    <w:t>/</w:t>
                  </w:r>
                </w:p>
              </w:tc>
              <w:tc>
                <w:tcPr>
                  <w:tcW w:w="2670" w:type="dxa"/>
                  <w:vAlign w:val="center"/>
                </w:tcPr>
                <w:p>
                  <w:pPr>
                    <w:pStyle w:val="19"/>
                    <w:bidi w:val="0"/>
                    <w:rPr>
                      <w:rFonts w:hint="default"/>
                      <w:lang w:val="en-US" w:eastAsia="zh-CN"/>
                    </w:rPr>
                  </w:pPr>
                  <w:r>
                    <w:rPr>
                      <w:rFonts w:hint="eastAsia"/>
                      <w:lang w:val="en-US" w:eastAsia="zh-CN"/>
                    </w:rPr>
                    <w:t>不含水域面积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440" w:type="dxa"/>
                  <w:vMerge w:val="restart"/>
                  <w:vAlign w:val="center"/>
                </w:tcPr>
                <w:p>
                  <w:pPr>
                    <w:pStyle w:val="19"/>
                    <w:bidi w:val="0"/>
                    <w:rPr>
                      <w:rFonts w:hint="eastAsia"/>
                      <w:lang w:val="en-US" w:eastAsia="zh-CN"/>
                    </w:rPr>
                  </w:pPr>
                  <w:r>
                    <w:rPr>
                      <w:rFonts w:hint="eastAsia"/>
                      <w:lang w:val="en-US" w:eastAsia="zh-CN"/>
                    </w:rPr>
                    <w:t>其中</w:t>
                  </w:r>
                </w:p>
              </w:tc>
              <w:tc>
                <w:tcPr>
                  <w:tcW w:w="1580" w:type="dxa"/>
                  <w:vAlign w:val="center"/>
                </w:tcPr>
                <w:p>
                  <w:pPr>
                    <w:pStyle w:val="19"/>
                    <w:bidi w:val="0"/>
                    <w:rPr>
                      <w:rFonts w:hint="default"/>
                      <w:lang w:val="en-US" w:eastAsia="zh-CN"/>
                    </w:rPr>
                  </w:pPr>
                  <w:r>
                    <w:rPr>
                      <w:rFonts w:hint="eastAsia"/>
                      <w:lang w:val="en-US" w:eastAsia="zh-CN"/>
                    </w:rPr>
                    <w:t>机动车停车位</w:t>
                  </w:r>
                </w:p>
              </w:tc>
              <w:tc>
                <w:tcPr>
                  <w:tcW w:w="945" w:type="dxa"/>
                  <w:vAlign w:val="center"/>
                </w:tcPr>
                <w:p>
                  <w:pPr>
                    <w:pStyle w:val="19"/>
                    <w:bidi w:val="0"/>
                    <w:rPr>
                      <w:rFonts w:hint="default"/>
                    </w:rPr>
                  </w:pPr>
                  <w:r>
                    <w:rPr>
                      <w:rFonts w:hint="eastAsia"/>
                      <w:lang w:val="en-US" w:eastAsia="zh-CN"/>
                    </w:rPr>
                    <w:t>/</w:t>
                  </w:r>
                </w:p>
              </w:tc>
              <w:tc>
                <w:tcPr>
                  <w:tcW w:w="1185" w:type="dxa"/>
                  <w:vAlign w:val="center"/>
                </w:tcPr>
                <w:p>
                  <w:pPr>
                    <w:pStyle w:val="19"/>
                    <w:bidi w:val="0"/>
                    <w:rPr>
                      <w:rFonts w:hint="default"/>
                      <w:lang w:val="en-US" w:eastAsia="zh-CN"/>
                    </w:rPr>
                  </w:pPr>
                  <w:r>
                    <w:rPr>
                      <w:rFonts w:hint="eastAsia"/>
                      <w:lang w:val="en-US" w:eastAsia="zh-CN"/>
                    </w:rPr>
                    <w:t>706（临时停车位）</w:t>
                  </w:r>
                </w:p>
              </w:tc>
              <w:tc>
                <w:tcPr>
                  <w:tcW w:w="1125" w:type="dxa"/>
                  <w:vAlign w:val="center"/>
                </w:tcPr>
                <w:p>
                  <w:pPr>
                    <w:pStyle w:val="19"/>
                    <w:bidi w:val="0"/>
                    <w:rPr>
                      <w:rFonts w:hint="eastAsia"/>
                      <w:lang w:val="en-US" w:eastAsia="zh-CN"/>
                    </w:rPr>
                  </w:pPr>
                  <w:r>
                    <w:rPr>
                      <w:rFonts w:hint="eastAsia"/>
                      <w:lang w:val="en-US" w:eastAsia="zh-CN"/>
                    </w:rPr>
                    <w:t>/</w:t>
                  </w:r>
                </w:p>
              </w:tc>
              <w:tc>
                <w:tcPr>
                  <w:tcW w:w="687" w:type="dxa"/>
                  <w:vAlign w:val="center"/>
                </w:tcPr>
                <w:p>
                  <w:pPr>
                    <w:pStyle w:val="19"/>
                    <w:bidi w:val="0"/>
                    <w:rPr>
                      <w:rFonts w:hint="eastAsia"/>
                      <w:lang w:val="en-US" w:eastAsia="zh-CN"/>
                    </w:rPr>
                  </w:pPr>
                  <w:r>
                    <w:rPr>
                      <w:rFonts w:hint="eastAsia"/>
                      <w:lang w:val="en-US" w:eastAsia="zh-CN"/>
                    </w:rPr>
                    <w:t>个</w:t>
                  </w:r>
                </w:p>
              </w:tc>
              <w:tc>
                <w:tcPr>
                  <w:tcW w:w="2670" w:type="dxa"/>
                  <w:vAlign w:val="center"/>
                </w:tcPr>
                <w:p>
                  <w:pPr>
                    <w:pStyle w:val="19"/>
                    <w:bidi w:val="0"/>
                    <w:rPr>
                      <w:rFonts w:hint="eastAsia"/>
                      <w:lang w:val="en-US"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440" w:type="dxa"/>
                  <w:vMerge w:val="continue"/>
                  <w:vAlign w:val="center"/>
                </w:tcPr>
                <w:p>
                  <w:pPr>
                    <w:pStyle w:val="19"/>
                    <w:bidi w:val="0"/>
                    <w:rPr>
                      <w:rFonts w:hint="default"/>
                    </w:rPr>
                  </w:pPr>
                </w:p>
              </w:tc>
              <w:tc>
                <w:tcPr>
                  <w:tcW w:w="1580" w:type="dxa"/>
                  <w:vAlign w:val="center"/>
                </w:tcPr>
                <w:p>
                  <w:pPr>
                    <w:pStyle w:val="19"/>
                    <w:bidi w:val="0"/>
                    <w:rPr>
                      <w:rFonts w:hint="default"/>
                      <w:lang w:val="en-US" w:eastAsia="zh-CN"/>
                    </w:rPr>
                  </w:pPr>
                  <w:r>
                    <w:rPr>
                      <w:rFonts w:hint="eastAsia"/>
                      <w:lang w:val="en-US" w:eastAsia="zh-CN"/>
                    </w:rPr>
                    <w:t>大巴车停车位</w:t>
                  </w:r>
                </w:p>
              </w:tc>
              <w:tc>
                <w:tcPr>
                  <w:tcW w:w="945" w:type="dxa"/>
                  <w:vAlign w:val="center"/>
                </w:tcPr>
                <w:p>
                  <w:pPr>
                    <w:pStyle w:val="19"/>
                    <w:bidi w:val="0"/>
                    <w:rPr>
                      <w:rFonts w:hint="default"/>
                    </w:rPr>
                  </w:pPr>
                  <w:r>
                    <w:rPr>
                      <w:rFonts w:hint="eastAsia"/>
                      <w:lang w:val="en-US" w:eastAsia="zh-CN"/>
                    </w:rPr>
                    <w:t>/</w:t>
                  </w:r>
                </w:p>
              </w:tc>
              <w:tc>
                <w:tcPr>
                  <w:tcW w:w="1185" w:type="dxa"/>
                  <w:vAlign w:val="center"/>
                </w:tcPr>
                <w:p>
                  <w:pPr>
                    <w:pStyle w:val="19"/>
                    <w:bidi w:val="0"/>
                    <w:rPr>
                      <w:rFonts w:hint="default"/>
                      <w:lang w:val="en-US" w:eastAsia="zh-CN"/>
                    </w:rPr>
                  </w:pPr>
                  <w:r>
                    <w:rPr>
                      <w:rFonts w:hint="eastAsia"/>
                      <w:lang w:val="en-US" w:eastAsia="zh-CN"/>
                    </w:rPr>
                    <w:t>12（临时停车位）</w:t>
                  </w:r>
                </w:p>
              </w:tc>
              <w:tc>
                <w:tcPr>
                  <w:tcW w:w="1125" w:type="dxa"/>
                  <w:vAlign w:val="center"/>
                </w:tcPr>
                <w:p>
                  <w:pPr>
                    <w:pStyle w:val="19"/>
                    <w:bidi w:val="0"/>
                    <w:rPr>
                      <w:rFonts w:hint="eastAsia"/>
                      <w:lang w:val="en-US" w:eastAsia="zh-CN"/>
                    </w:rPr>
                  </w:pPr>
                  <w:r>
                    <w:rPr>
                      <w:rFonts w:hint="eastAsia"/>
                      <w:lang w:val="en-US" w:eastAsia="zh-CN"/>
                    </w:rPr>
                    <w:t>/</w:t>
                  </w:r>
                </w:p>
              </w:tc>
              <w:tc>
                <w:tcPr>
                  <w:tcW w:w="687" w:type="dxa"/>
                  <w:vAlign w:val="center"/>
                </w:tcPr>
                <w:p>
                  <w:pPr>
                    <w:pStyle w:val="19"/>
                    <w:bidi w:val="0"/>
                    <w:rPr>
                      <w:rFonts w:hint="eastAsia"/>
                      <w:lang w:val="en-US" w:eastAsia="zh-CN"/>
                    </w:rPr>
                  </w:pPr>
                  <w:r>
                    <w:rPr>
                      <w:rFonts w:hint="eastAsia"/>
                      <w:lang w:val="en-US" w:eastAsia="zh-CN"/>
                    </w:rPr>
                    <w:t>个</w:t>
                  </w:r>
                </w:p>
              </w:tc>
              <w:tc>
                <w:tcPr>
                  <w:tcW w:w="2670" w:type="dxa"/>
                  <w:vAlign w:val="center"/>
                </w:tcPr>
                <w:p>
                  <w:pPr>
                    <w:pStyle w:val="19"/>
                    <w:bidi w:val="0"/>
                    <w:rPr>
                      <w:rFonts w:hint="eastAsia"/>
                      <w:lang w:val="en-US" w:eastAsia="zh-CN"/>
                    </w:rPr>
                  </w:pPr>
                  <w:r>
                    <w:rPr>
                      <w:rFonts w:hint="eastAsia"/>
                      <w:lang w:val="en-US" w:eastAsia="zh-CN"/>
                    </w:rPr>
                    <w:t>/</w:t>
                  </w:r>
                </w:p>
              </w:tc>
            </w:tr>
          </w:tbl>
          <w:p>
            <w:pPr>
              <w:bidi w:val="0"/>
              <w:rPr>
                <w:rFonts w:hint="default"/>
                <w:color w:val="auto"/>
                <w:lang w:val="en-US" w:eastAsia="zh-CN"/>
              </w:rPr>
            </w:pPr>
            <w:r>
              <w:rPr>
                <w:rFonts w:hint="eastAsia"/>
                <w:color w:val="auto"/>
                <w:lang w:val="en-US" w:eastAsia="zh-CN"/>
              </w:rPr>
              <w:t>项目主要建设内容如下：</w:t>
            </w:r>
          </w:p>
          <w:p>
            <w:pPr>
              <w:pStyle w:val="18"/>
              <w:bidi w:val="0"/>
              <w:rPr>
                <w:rFonts w:hint="default"/>
                <w:color w:val="auto"/>
                <w:lang w:val="en-US" w:eastAsia="zh-CN"/>
              </w:rPr>
            </w:pPr>
            <w:r>
              <w:rPr>
                <w:rFonts w:hint="eastAsia"/>
                <w:color w:val="auto"/>
                <w:lang w:val="en-US" w:eastAsia="zh-CN"/>
              </w:rPr>
              <w:t>表3 主要建设内容一览表</w:t>
            </w:r>
          </w:p>
          <w:tbl>
            <w:tblPr>
              <w:tblStyle w:val="1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646"/>
              <w:gridCol w:w="840"/>
              <w:gridCol w:w="67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246" w:type="pct"/>
                  <w:vAlign w:val="center"/>
                </w:tcPr>
                <w:p>
                  <w:pPr>
                    <w:pStyle w:val="19"/>
                    <w:bidi w:val="0"/>
                    <w:jc w:val="center"/>
                    <w:rPr>
                      <w:rFonts w:hint="default"/>
                      <w:color w:val="auto"/>
                      <w:lang w:val="en-US" w:eastAsia="zh-CN"/>
                    </w:rPr>
                  </w:pPr>
                  <w:r>
                    <w:rPr>
                      <w:rFonts w:hint="eastAsia"/>
                      <w:color w:val="auto"/>
                      <w:lang w:val="en-US" w:eastAsia="zh-CN"/>
                    </w:rPr>
                    <w:t>序号</w:t>
                  </w:r>
                </w:p>
              </w:tc>
              <w:tc>
                <w:tcPr>
                  <w:tcW w:w="374" w:type="pct"/>
                  <w:vAlign w:val="center"/>
                </w:tcPr>
                <w:p>
                  <w:pPr>
                    <w:pStyle w:val="19"/>
                    <w:bidi w:val="0"/>
                    <w:jc w:val="center"/>
                    <w:rPr>
                      <w:rFonts w:hint="default"/>
                      <w:color w:val="auto"/>
                      <w:lang w:val="en-US" w:eastAsia="zh-CN"/>
                    </w:rPr>
                  </w:pPr>
                  <w:r>
                    <w:rPr>
                      <w:rFonts w:hint="eastAsia"/>
                      <w:color w:val="auto"/>
                      <w:lang w:val="en-US" w:eastAsia="zh-CN"/>
                    </w:rPr>
                    <w:t>类别</w:t>
                  </w:r>
                </w:p>
              </w:tc>
              <w:tc>
                <w:tcPr>
                  <w:tcW w:w="486" w:type="pct"/>
                  <w:vAlign w:val="center"/>
                </w:tcPr>
                <w:p>
                  <w:pPr>
                    <w:pStyle w:val="19"/>
                    <w:bidi w:val="0"/>
                    <w:jc w:val="center"/>
                    <w:rPr>
                      <w:rFonts w:hint="default"/>
                      <w:color w:val="auto"/>
                      <w:lang w:val="en-US" w:eastAsia="zh-CN"/>
                    </w:rPr>
                  </w:pPr>
                  <w:r>
                    <w:rPr>
                      <w:rFonts w:hint="eastAsia"/>
                      <w:color w:val="auto"/>
                      <w:lang w:val="en-US" w:eastAsia="zh-CN"/>
                    </w:rPr>
                    <w:t>工程内容</w:t>
                  </w:r>
                </w:p>
              </w:tc>
              <w:tc>
                <w:tcPr>
                  <w:tcW w:w="3892" w:type="pct"/>
                  <w:vAlign w:val="center"/>
                </w:tcPr>
                <w:p>
                  <w:pPr>
                    <w:pStyle w:val="19"/>
                    <w:bidi w:val="0"/>
                    <w:jc w:val="center"/>
                    <w:rPr>
                      <w:rFonts w:hint="default"/>
                      <w:color w:val="auto"/>
                      <w:lang w:val="en-US" w:eastAsia="zh-CN"/>
                    </w:rPr>
                  </w:pPr>
                  <w:r>
                    <w:rPr>
                      <w:rFonts w:hint="eastAsia"/>
                      <w:color w:val="auto"/>
                      <w:lang w:val="en-US" w:eastAsia="zh-CN"/>
                    </w:rPr>
                    <w:t>工程规模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 w:type="pct"/>
                  <w:vMerge w:val="restart"/>
                  <w:vAlign w:val="center"/>
                </w:tcPr>
                <w:p>
                  <w:pPr>
                    <w:pStyle w:val="19"/>
                    <w:bidi w:val="0"/>
                    <w:jc w:val="center"/>
                    <w:rPr>
                      <w:rFonts w:hint="default"/>
                      <w:color w:val="auto"/>
                      <w:lang w:val="en-US" w:eastAsia="zh-CN"/>
                    </w:rPr>
                  </w:pPr>
                  <w:r>
                    <w:rPr>
                      <w:rFonts w:hint="eastAsia"/>
                      <w:color w:val="auto"/>
                      <w:lang w:val="en-US" w:eastAsia="zh-CN"/>
                    </w:rPr>
                    <w:t>1</w:t>
                  </w:r>
                </w:p>
              </w:tc>
              <w:tc>
                <w:tcPr>
                  <w:tcW w:w="374" w:type="pct"/>
                  <w:vMerge w:val="restart"/>
                  <w:vAlign w:val="center"/>
                </w:tcPr>
                <w:p>
                  <w:pPr>
                    <w:pStyle w:val="19"/>
                    <w:bidi w:val="0"/>
                    <w:jc w:val="center"/>
                    <w:rPr>
                      <w:rFonts w:hint="default"/>
                      <w:color w:val="auto"/>
                      <w:lang w:val="en-US" w:eastAsia="zh-CN"/>
                    </w:rPr>
                  </w:pPr>
                  <w:r>
                    <w:rPr>
                      <w:rFonts w:hint="eastAsia"/>
                      <w:color w:val="auto"/>
                      <w:lang w:val="en-US" w:eastAsia="zh-CN"/>
                    </w:rPr>
                    <w:t>主体工程</w:t>
                  </w:r>
                </w:p>
              </w:tc>
              <w:tc>
                <w:tcPr>
                  <w:tcW w:w="486" w:type="pct"/>
                  <w:vMerge w:val="restart"/>
                  <w:vAlign w:val="center"/>
                </w:tcPr>
                <w:p>
                  <w:pPr>
                    <w:pStyle w:val="19"/>
                    <w:bidi w:val="0"/>
                    <w:jc w:val="center"/>
                    <w:rPr>
                      <w:rFonts w:hint="default"/>
                      <w:color w:val="auto"/>
                      <w:lang w:val="en-US" w:eastAsia="zh-CN"/>
                    </w:rPr>
                  </w:pPr>
                  <w:r>
                    <w:rPr>
                      <w:rFonts w:hint="eastAsia"/>
                      <w:color w:val="auto"/>
                      <w:lang w:val="en-US" w:eastAsia="zh-CN"/>
                    </w:rPr>
                    <w:t>主题乐园</w:t>
                  </w:r>
                </w:p>
              </w:tc>
              <w:tc>
                <w:tcPr>
                  <w:tcW w:w="3892" w:type="pct"/>
                  <w:vAlign w:val="center"/>
                </w:tcPr>
                <w:p>
                  <w:pPr>
                    <w:pStyle w:val="19"/>
                    <w:bidi w:val="0"/>
                    <w:jc w:val="center"/>
                    <w:rPr>
                      <w:rFonts w:hint="default"/>
                      <w:color w:val="auto"/>
                      <w:lang w:eastAsia="zh-CN"/>
                    </w:rPr>
                  </w:pPr>
                  <w:r>
                    <w:rPr>
                      <w:rFonts w:hint="eastAsia"/>
                      <w:color w:val="auto"/>
                      <w:lang w:val="en-US" w:eastAsia="zh-CN"/>
                    </w:rPr>
                    <w:t>黄金海岸建筑面积为10329.9m</w:t>
                  </w:r>
                  <w:r>
                    <w:rPr>
                      <w:rFonts w:hint="eastAsia" w:ascii="Times New Roman" w:hAnsi="Times New Roman" w:eastAsia="宋体" w:cs="Times New Roman"/>
                      <w:color w:val="auto"/>
                      <w:kern w:val="2"/>
                      <w:sz w:val="24"/>
                      <w:szCs w:val="24"/>
                      <w:vertAlign w:val="superscript"/>
                      <w:lang w:val="en-US" w:eastAsia="zh-CN" w:bidi="ar-SA"/>
                    </w:rPr>
                    <w:t>2</w:t>
                  </w:r>
                  <w:r>
                    <w:rPr>
                      <w:rFonts w:hint="eastAsia"/>
                      <w:color w:val="auto"/>
                      <w:lang w:val="en-US" w:eastAsia="zh-CN"/>
                    </w:rPr>
                    <w:t>，主要建设内容包括广场商亭、游客服务大厅、散客/团队票务、收款室、金库、广播室、储物区、水质监测室、警务室、消防控制室、数据中心机房、VIP服务中心、</w:t>
                  </w:r>
                  <w:r>
                    <w:rPr>
                      <w:rFonts w:hint="default"/>
                      <w:color w:val="auto"/>
                      <w:lang w:eastAsia="zh-CN"/>
                    </w:rPr>
                    <w:t>安保、淋浴区、卫生间、</w:t>
                  </w:r>
                  <w:r>
                    <w:rPr>
                      <w:rFonts w:hint="eastAsia"/>
                      <w:color w:val="auto"/>
                      <w:lang w:eastAsia="zh-CN"/>
                    </w:rPr>
                    <w:t>工具区</w:t>
                  </w:r>
                  <w:r>
                    <w:rPr>
                      <w:rFonts w:hint="default"/>
                      <w:color w:val="auto"/>
                      <w:lang w:eastAsia="zh-CN"/>
                    </w:rPr>
                    <w:t>、高低压配电房、卫生间、内天井、弱电间、弱电箱、机房、强弱电机房、仓库、客户办公室、母婴室、更衣区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 w:type="pct"/>
                  <w:vMerge w:val="continue"/>
                  <w:vAlign w:val="center"/>
                </w:tcPr>
                <w:p>
                  <w:pPr>
                    <w:pStyle w:val="19"/>
                    <w:bidi w:val="0"/>
                    <w:jc w:val="center"/>
                    <w:rPr>
                      <w:rFonts w:hint="default"/>
                      <w:color w:val="auto"/>
                      <w:lang w:val="en-US" w:eastAsia="zh-CN"/>
                    </w:rPr>
                  </w:pPr>
                </w:p>
              </w:tc>
              <w:tc>
                <w:tcPr>
                  <w:tcW w:w="374" w:type="pct"/>
                  <w:vMerge w:val="continue"/>
                  <w:vAlign w:val="center"/>
                </w:tcPr>
                <w:p>
                  <w:pPr>
                    <w:pStyle w:val="19"/>
                    <w:bidi w:val="0"/>
                    <w:jc w:val="center"/>
                    <w:rPr>
                      <w:rFonts w:hint="default"/>
                      <w:color w:val="auto"/>
                      <w:lang w:val="en-US" w:eastAsia="zh-CN"/>
                    </w:rPr>
                  </w:pPr>
                </w:p>
              </w:tc>
              <w:tc>
                <w:tcPr>
                  <w:tcW w:w="486" w:type="pct"/>
                  <w:vMerge w:val="continue"/>
                  <w:vAlign w:val="center"/>
                </w:tcPr>
                <w:p>
                  <w:pPr>
                    <w:pStyle w:val="19"/>
                    <w:bidi w:val="0"/>
                    <w:jc w:val="center"/>
                    <w:rPr>
                      <w:rFonts w:hint="default"/>
                      <w:color w:val="auto"/>
                      <w:lang w:val="en-US" w:eastAsia="zh-CN"/>
                    </w:rPr>
                  </w:pPr>
                </w:p>
              </w:tc>
              <w:tc>
                <w:tcPr>
                  <w:tcW w:w="3892" w:type="pct"/>
                  <w:vAlign w:val="center"/>
                </w:tcPr>
                <w:p>
                  <w:pPr>
                    <w:pStyle w:val="19"/>
                    <w:bidi w:val="0"/>
                    <w:jc w:val="center"/>
                    <w:rPr>
                      <w:rFonts w:hint="default"/>
                      <w:color w:val="auto"/>
                      <w:lang w:val="en-US" w:eastAsia="zh-CN"/>
                    </w:rPr>
                  </w:pPr>
                  <w:r>
                    <w:rPr>
                      <w:rFonts w:hint="eastAsia"/>
                      <w:color w:val="auto"/>
                      <w:lang w:val="en-US" w:eastAsia="zh-CN"/>
                    </w:rPr>
                    <w:t>丛林</w:t>
                  </w:r>
                  <w:r>
                    <w:rPr>
                      <w:rFonts w:hint="default"/>
                      <w:color w:val="auto"/>
                      <w:lang w:eastAsia="zh-CN"/>
                    </w:rPr>
                    <w:t>派对</w:t>
                  </w:r>
                  <w:r>
                    <w:rPr>
                      <w:rFonts w:hint="eastAsia"/>
                      <w:color w:val="auto"/>
                      <w:lang w:val="en-US" w:eastAsia="zh-CN"/>
                    </w:rPr>
                    <w:t>建筑面积为886.64m</w:t>
                  </w:r>
                  <w:r>
                    <w:rPr>
                      <w:rFonts w:hint="eastAsia" w:ascii="Times New Roman" w:hAnsi="Times New Roman" w:eastAsia="宋体" w:cs="Times New Roman"/>
                      <w:color w:val="auto"/>
                      <w:kern w:val="2"/>
                      <w:sz w:val="24"/>
                      <w:szCs w:val="24"/>
                      <w:vertAlign w:val="superscript"/>
                      <w:lang w:val="en-US" w:eastAsia="zh-CN" w:bidi="ar-SA"/>
                    </w:rPr>
                    <w:t>2</w:t>
                  </w:r>
                  <w:r>
                    <w:rPr>
                      <w:rFonts w:hint="eastAsia"/>
                      <w:color w:val="auto"/>
                      <w:lang w:val="en-US" w:eastAsia="zh-CN"/>
                    </w:rPr>
                    <w:t>，主要建设内容包括投药间、弱电间、机房配电室、救生员休息室、操作员休息室、储存仓库、更衣间、洗消间、休息室、干货仓库、临时垃圾存放处、预留冷库区、操作区、售卖亭、商店、售卖点、储物间、浮筏租赁商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 w:type="pct"/>
                  <w:vMerge w:val="continue"/>
                  <w:vAlign w:val="center"/>
                </w:tcPr>
                <w:p>
                  <w:pPr>
                    <w:pStyle w:val="19"/>
                    <w:bidi w:val="0"/>
                    <w:jc w:val="center"/>
                    <w:rPr>
                      <w:rFonts w:hint="default"/>
                      <w:color w:val="auto"/>
                      <w:lang w:val="en-US" w:eastAsia="zh-CN"/>
                    </w:rPr>
                  </w:pPr>
                </w:p>
              </w:tc>
              <w:tc>
                <w:tcPr>
                  <w:tcW w:w="374" w:type="pct"/>
                  <w:vMerge w:val="continue"/>
                  <w:vAlign w:val="center"/>
                </w:tcPr>
                <w:p>
                  <w:pPr>
                    <w:pStyle w:val="19"/>
                    <w:bidi w:val="0"/>
                    <w:jc w:val="center"/>
                    <w:rPr>
                      <w:rFonts w:hint="default"/>
                      <w:color w:val="auto"/>
                      <w:lang w:val="en-US" w:eastAsia="zh-CN"/>
                    </w:rPr>
                  </w:pPr>
                </w:p>
              </w:tc>
              <w:tc>
                <w:tcPr>
                  <w:tcW w:w="486" w:type="pct"/>
                  <w:vMerge w:val="continue"/>
                  <w:vAlign w:val="center"/>
                </w:tcPr>
                <w:p>
                  <w:pPr>
                    <w:pStyle w:val="19"/>
                    <w:bidi w:val="0"/>
                    <w:jc w:val="center"/>
                    <w:rPr>
                      <w:rFonts w:hint="default"/>
                      <w:color w:val="auto"/>
                      <w:lang w:val="en-US" w:eastAsia="zh-CN"/>
                    </w:rPr>
                  </w:pPr>
                </w:p>
              </w:tc>
              <w:tc>
                <w:tcPr>
                  <w:tcW w:w="3892" w:type="pct"/>
                  <w:vAlign w:val="center"/>
                </w:tcPr>
                <w:p>
                  <w:pPr>
                    <w:pStyle w:val="19"/>
                    <w:bidi w:val="0"/>
                    <w:jc w:val="center"/>
                    <w:rPr>
                      <w:rFonts w:hint="default"/>
                      <w:color w:val="auto"/>
                      <w:lang w:val="en-US" w:eastAsia="zh-CN"/>
                    </w:rPr>
                  </w:pPr>
                  <w:r>
                    <w:rPr>
                      <w:rFonts w:hint="eastAsia"/>
                      <w:color w:val="auto"/>
                      <w:lang w:val="en-US" w:eastAsia="zh-CN"/>
                    </w:rPr>
                    <w:t>异域圣殿建筑面积为3235.55m</w:t>
                  </w:r>
                  <w:r>
                    <w:rPr>
                      <w:rFonts w:hint="eastAsia" w:ascii="Times New Roman" w:hAnsi="Times New Roman" w:eastAsia="宋体" w:cs="Times New Roman"/>
                      <w:color w:val="auto"/>
                      <w:kern w:val="2"/>
                      <w:sz w:val="24"/>
                      <w:szCs w:val="24"/>
                      <w:vertAlign w:val="superscript"/>
                      <w:lang w:val="en-US" w:eastAsia="zh-CN" w:bidi="ar-SA"/>
                    </w:rPr>
                    <w:t>2</w:t>
                  </w:r>
                  <w:r>
                    <w:rPr>
                      <w:rFonts w:hint="eastAsia"/>
                      <w:color w:val="auto"/>
                      <w:lang w:val="en-US" w:eastAsia="zh-CN"/>
                    </w:rPr>
                    <w:t>，主要建设内容包括药品窗口、强弱电间、医务室、销售员休息室、丙类仓库、救生员休息室、卫生间、售卖区、储存仓库、操作员休息室、灯光控制室、男女化妆间/舞台设备机房、一层水处理机房、1#变配电所、10KV中心配电室、二层后勤用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 w:type="pct"/>
                  <w:vMerge w:val="continue"/>
                  <w:vAlign w:val="center"/>
                </w:tcPr>
                <w:p>
                  <w:pPr>
                    <w:pStyle w:val="19"/>
                    <w:bidi w:val="0"/>
                    <w:jc w:val="center"/>
                    <w:rPr>
                      <w:rFonts w:hint="default"/>
                      <w:color w:val="auto"/>
                      <w:lang w:val="en-US" w:eastAsia="zh-CN"/>
                    </w:rPr>
                  </w:pPr>
                </w:p>
              </w:tc>
              <w:tc>
                <w:tcPr>
                  <w:tcW w:w="374" w:type="pct"/>
                  <w:vMerge w:val="continue"/>
                  <w:vAlign w:val="center"/>
                </w:tcPr>
                <w:p>
                  <w:pPr>
                    <w:pStyle w:val="19"/>
                    <w:bidi w:val="0"/>
                    <w:jc w:val="center"/>
                    <w:rPr>
                      <w:rFonts w:hint="default"/>
                      <w:color w:val="auto"/>
                      <w:lang w:val="en-US" w:eastAsia="zh-CN"/>
                    </w:rPr>
                  </w:pPr>
                </w:p>
              </w:tc>
              <w:tc>
                <w:tcPr>
                  <w:tcW w:w="486" w:type="pct"/>
                  <w:vMerge w:val="continue"/>
                  <w:vAlign w:val="center"/>
                </w:tcPr>
                <w:p>
                  <w:pPr>
                    <w:pStyle w:val="19"/>
                    <w:bidi w:val="0"/>
                    <w:jc w:val="center"/>
                    <w:rPr>
                      <w:rFonts w:hint="default"/>
                      <w:color w:val="auto"/>
                      <w:lang w:val="en-US" w:eastAsia="zh-CN"/>
                    </w:rPr>
                  </w:pPr>
                </w:p>
              </w:tc>
              <w:tc>
                <w:tcPr>
                  <w:tcW w:w="3892" w:type="pct"/>
                  <w:vAlign w:val="center"/>
                </w:tcPr>
                <w:p>
                  <w:pPr>
                    <w:pStyle w:val="19"/>
                    <w:bidi w:val="0"/>
                    <w:jc w:val="center"/>
                    <w:rPr>
                      <w:rFonts w:hint="default"/>
                      <w:color w:val="auto"/>
                      <w:lang w:val="en-US" w:eastAsia="zh-CN"/>
                    </w:rPr>
                  </w:pPr>
                  <w:r>
                    <w:rPr>
                      <w:rFonts w:hint="eastAsia"/>
                      <w:color w:val="auto"/>
                      <w:lang w:val="en-US" w:eastAsia="zh-CN"/>
                    </w:rPr>
                    <w:t>阿兹特兰建筑面积为714m</w:t>
                  </w:r>
                  <w:r>
                    <w:rPr>
                      <w:rFonts w:hint="eastAsia" w:ascii="Times New Roman" w:hAnsi="Times New Roman" w:eastAsia="宋体" w:cs="Times New Roman"/>
                      <w:color w:val="auto"/>
                      <w:kern w:val="2"/>
                      <w:sz w:val="24"/>
                      <w:szCs w:val="24"/>
                      <w:vertAlign w:val="superscript"/>
                      <w:lang w:val="en-US" w:eastAsia="zh-CN" w:bidi="ar-SA"/>
                    </w:rPr>
                    <w:t>2</w:t>
                  </w:r>
                  <w:r>
                    <w:rPr>
                      <w:rFonts w:hint="eastAsia"/>
                      <w:color w:val="auto"/>
                      <w:lang w:val="en-US" w:eastAsia="zh-CN"/>
                    </w:rPr>
                    <w:t>，主要建设内容包括售卖亭、投药间、强弱电间、员工休息室、机房配电间、储存仓库、卫生间、工具间、卫生间公共区域、室内就餐区、厨房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6" w:type="pct"/>
                  <w:vAlign w:val="center"/>
                </w:tcPr>
                <w:p>
                  <w:pPr>
                    <w:pStyle w:val="19"/>
                    <w:bidi w:val="0"/>
                    <w:jc w:val="center"/>
                    <w:rPr>
                      <w:rFonts w:hint="default"/>
                      <w:color w:val="auto"/>
                      <w:lang w:val="en-US" w:eastAsia="zh-CN"/>
                    </w:rPr>
                  </w:pPr>
                  <w:r>
                    <w:rPr>
                      <w:rFonts w:hint="eastAsia"/>
                      <w:color w:val="auto"/>
                      <w:lang w:val="en-US" w:eastAsia="zh-CN"/>
                    </w:rPr>
                    <w:t>2</w:t>
                  </w:r>
                </w:p>
              </w:tc>
              <w:tc>
                <w:tcPr>
                  <w:tcW w:w="374" w:type="pct"/>
                  <w:vAlign w:val="center"/>
                </w:tcPr>
                <w:p>
                  <w:pPr>
                    <w:pStyle w:val="19"/>
                    <w:bidi w:val="0"/>
                    <w:rPr>
                      <w:rFonts w:hint="default"/>
                      <w:color w:val="auto"/>
                      <w:lang w:val="en-US" w:eastAsia="zh-CN"/>
                    </w:rPr>
                  </w:pPr>
                  <w:r>
                    <w:rPr>
                      <w:rFonts w:hint="eastAsia"/>
                      <w:color w:val="auto"/>
                      <w:lang w:val="en-US" w:eastAsia="zh-CN"/>
                    </w:rPr>
                    <w:t>辅助工程</w:t>
                  </w:r>
                </w:p>
              </w:tc>
              <w:tc>
                <w:tcPr>
                  <w:tcW w:w="486" w:type="pct"/>
                  <w:vAlign w:val="center"/>
                </w:tcPr>
                <w:p>
                  <w:pPr>
                    <w:pStyle w:val="19"/>
                    <w:bidi w:val="0"/>
                    <w:rPr>
                      <w:rFonts w:hint="default"/>
                      <w:color w:val="auto"/>
                      <w:lang w:val="en-US" w:eastAsia="zh-CN"/>
                    </w:rPr>
                  </w:pPr>
                  <w:r>
                    <w:rPr>
                      <w:rFonts w:hint="eastAsia"/>
                      <w:color w:val="auto"/>
                      <w:lang w:val="en-US" w:eastAsia="zh-CN"/>
                    </w:rPr>
                    <w:t>管理用房</w:t>
                  </w:r>
                </w:p>
              </w:tc>
              <w:tc>
                <w:tcPr>
                  <w:tcW w:w="3892" w:type="pct"/>
                  <w:vAlign w:val="center"/>
                </w:tcPr>
                <w:p>
                  <w:pPr>
                    <w:pStyle w:val="19"/>
                    <w:bidi w:val="0"/>
                    <w:rPr>
                      <w:rFonts w:hint="eastAsia"/>
                      <w:color w:val="auto"/>
                      <w:lang w:val="en-US" w:eastAsia="zh-CN"/>
                    </w:rPr>
                  </w:pPr>
                  <w:r>
                    <w:rPr>
                      <w:rFonts w:hint="default"/>
                      <w:color w:val="auto"/>
                    </w:rPr>
                    <w:t>办公楼、工程维修仓储用房、停车场、保安站</w:t>
                  </w:r>
                  <w:r>
                    <w:rPr>
                      <w:rFonts w:hint="eastAsia"/>
                      <w:color w:val="auto"/>
                      <w:lang w:eastAsia="zh-CN"/>
                    </w:rPr>
                    <w:t>、</w:t>
                  </w:r>
                  <w:r>
                    <w:rPr>
                      <w:rFonts w:hint="eastAsia"/>
                      <w:color w:val="auto"/>
                      <w:lang w:val="en-US" w:eastAsia="zh-CN"/>
                    </w:rPr>
                    <w:t>宿舍楼</w:t>
                  </w:r>
                  <w:r>
                    <w:rPr>
                      <w:rFonts w:hint="default"/>
                      <w:color w:val="auto"/>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46" w:type="pct"/>
                  <w:vMerge w:val="restart"/>
                  <w:vAlign w:val="center"/>
                </w:tcPr>
                <w:p>
                  <w:pPr>
                    <w:pStyle w:val="19"/>
                    <w:bidi w:val="0"/>
                    <w:jc w:val="center"/>
                    <w:rPr>
                      <w:rFonts w:hint="default"/>
                      <w:color w:val="auto"/>
                      <w:lang w:val="en-US" w:eastAsia="zh-CN"/>
                    </w:rPr>
                  </w:pPr>
                  <w:r>
                    <w:rPr>
                      <w:rFonts w:hint="eastAsia"/>
                      <w:color w:val="auto"/>
                      <w:lang w:val="en-US" w:eastAsia="zh-CN"/>
                    </w:rPr>
                    <w:t>3</w:t>
                  </w:r>
                </w:p>
              </w:tc>
              <w:tc>
                <w:tcPr>
                  <w:tcW w:w="374" w:type="pct"/>
                  <w:vMerge w:val="restart"/>
                  <w:vAlign w:val="center"/>
                </w:tcPr>
                <w:p>
                  <w:pPr>
                    <w:pStyle w:val="19"/>
                    <w:bidi w:val="0"/>
                    <w:rPr>
                      <w:rFonts w:hint="default"/>
                      <w:color w:val="auto"/>
                      <w:lang w:val="en-US" w:eastAsia="zh-CN"/>
                    </w:rPr>
                  </w:pPr>
                  <w:r>
                    <w:rPr>
                      <w:rFonts w:hint="eastAsia"/>
                      <w:color w:val="auto"/>
                      <w:lang w:val="en-US" w:eastAsia="zh-CN"/>
                    </w:rPr>
                    <w:t>公用工程</w:t>
                  </w:r>
                </w:p>
              </w:tc>
              <w:tc>
                <w:tcPr>
                  <w:tcW w:w="486" w:type="pct"/>
                  <w:vAlign w:val="center"/>
                </w:tcPr>
                <w:p>
                  <w:pPr>
                    <w:pStyle w:val="19"/>
                    <w:bidi w:val="0"/>
                    <w:rPr>
                      <w:rFonts w:hint="default"/>
                      <w:color w:val="auto"/>
                      <w:lang w:val="en-US" w:eastAsia="zh-CN"/>
                    </w:rPr>
                  </w:pPr>
                  <w:r>
                    <w:rPr>
                      <w:rFonts w:hint="eastAsia"/>
                      <w:color w:val="auto"/>
                    </w:rPr>
                    <w:t>供电</w:t>
                  </w:r>
                </w:p>
              </w:tc>
              <w:tc>
                <w:tcPr>
                  <w:tcW w:w="3892" w:type="pct"/>
                  <w:vAlign w:val="top"/>
                </w:tcPr>
                <w:p>
                  <w:pPr>
                    <w:pStyle w:val="19"/>
                    <w:bidi w:val="0"/>
                    <w:rPr>
                      <w:rFonts w:hint="eastAsia"/>
                      <w:color w:val="auto"/>
                      <w:lang w:val="en-US" w:eastAsia="zh-CN"/>
                    </w:rPr>
                  </w:pPr>
                  <w:r>
                    <w:rPr>
                      <w:rFonts w:hint="default"/>
                      <w:color w:val="auto"/>
                    </w:rPr>
                    <w:t>依托市政电网；设置备用发电机等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 w:type="pct"/>
                  <w:vMerge w:val="continue"/>
                  <w:vAlign w:val="center"/>
                </w:tcPr>
                <w:p>
                  <w:pPr>
                    <w:pStyle w:val="19"/>
                    <w:bidi w:val="0"/>
                    <w:jc w:val="center"/>
                    <w:rPr>
                      <w:rFonts w:hint="default"/>
                      <w:color w:val="auto"/>
                      <w:lang w:val="en-US" w:eastAsia="zh-CN"/>
                    </w:rPr>
                  </w:pPr>
                </w:p>
              </w:tc>
              <w:tc>
                <w:tcPr>
                  <w:tcW w:w="374" w:type="pct"/>
                  <w:vMerge w:val="continue"/>
                  <w:vAlign w:val="center"/>
                </w:tcPr>
                <w:p>
                  <w:pPr>
                    <w:pStyle w:val="19"/>
                    <w:bidi w:val="0"/>
                    <w:rPr>
                      <w:rFonts w:hint="default"/>
                      <w:color w:val="auto"/>
                      <w:lang w:val="en-US" w:eastAsia="zh-CN"/>
                    </w:rPr>
                  </w:pPr>
                </w:p>
              </w:tc>
              <w:tc>
                <w:tcPr>
                  <w:tcW w:w="486" w:type="pct"/>
                  <w:vAlign w:val="center"/>
                </w:tcPr>
                <w:p>
                  <w:pPr>
                    <w:pStyle w:val="19"/>
                    <w:bidi w:val="0"/>
                    <w:rPr>
                      <w:rFonts w:hint="default"/>
                      <w:color w:val="auto"/>
                      <w:lang w:val="en-US" w:eastAsia="zh-CN"/>
                    </w:rPr>
                  </w:pPr>
                  <w:r>
                    <w:rPr>
                      <w:rFonts w:hint="eastAsia"/>
                      <w:color w:val="auto"/>
                    </w:rPr>
                    <w:t>供水</w:t>
                  </w:r>
                </w:p>
              </w:tc>
              <w:tc>
                <w:tcPr>
                  <w:tcW w:w="3892" w:type="pct"/>
                  <w:vAlign w:val="top"/>
                </w:tcPr>
                <w:p>
                  <w:pPr>
                    <w:pStyle w:val="19"/>
                    <w:bidi w:val="0"/>
                    <w:rPr>
                      <w:rFonts w:hint="eastAsia"/>
                      <w:color w:val="auto"/>
                      <w:lang w:val="en-US" w:eastAsia="zh-CN"/>
                    </w:rPr>
                  </w:pPr>
                  <w:r>
                    <w:rPr>
                      <w:rFonts w:hint="default"/>
                      <w:color w:val="auto"/>
                    </w:rPr>
                    <w:t>依托市政供水及排水管网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246" w:type="pct"/>
                  <w:vMerge w:val="restart"/>
                  <w:vAlign w:val="center"/>
                </w:tcPr>
                <w:p>
                  <w:pPr>
                    <w:pStyle w:val="19"/>
                    <w:bidi w:val="0"/>
                    <w:jc w:val="center"/>
                    <w:rPr>
                      <w:rFonts w:hint="default"/>
                      <w:color w:val="auto"/>
                      <w:lang w:val="en-US" w:eastAsia="zh-CN"/>
                    </w:rPr>
                  </w:pPr>
                  <w:r>
                    <w:rPr>
                      <w:rFonts w:hint="eastAsia"/>
                      <w:color w:val="auto"/>
                      <w:lang w:val="en-US" w:eastAsia="zh-CN"/>
                    </w:rPr>
                    <w:t>4</w:t>
                  </w:r>
                </w:p>
              </w:tc>
              <w:tc>
                <w:tcPr>
                  <w:tcW w:w="374" w:type="pct"/>
                  <w:vMerge w:val="restart"/>
                  <w:vAlign w:val="center"/>
                </w:tcPr>
                <w:p>
                  <w:pPr>
                    <w:pStyle w:val="19"/>
                    <w:bidi w:val="0"/>
                    <w:rPr>
                      <w:rFonts w:hint="default"/>
                      <w:color w:val="auto"/>
                      <w:lang w:val="en-US" w:eastAsia="zh-CN"/>
                    </w:rPr>
                  </w:pPr>
                  <w:r>
                    <w:rPr>
                      <w:rFonts w:hint="default"/>
                      <w:color w:val="auto"/>
                      <w:lang w:val="en-US" w:eastAsia="zh-CN"/>
                    </w:rPr>
                    <w:t>环保工程</w:t>
                  </w:r>
                </w:p>
              </w:tc>
              <w:tc>
                <w:tcPr>
                  <w:tcW w:w="486" w:type="pct"/>
                  <w:vAlign w:val="center"/>
                </w:tcPr>
                <w:p>
                  <w:pPr>
                    <w:pStyle w:val="19"/>
                    <w:bidi w:val="0"/>
                    <w:rPr>
                      <w:rFonts w:hint="default"/>
                      <w:color w:val="auto"/>
                      <w:lang w:val="en-US" w:eastAsia="zh-CN"/>
                    </w:rPr>
                  </w:pPr>
                  <w:r>
                    <w:rPr>
                      <w:rFonts w:hint="eastAsia"/>
                      <w:color w:val="auto"/>
                      <w:lang w:val="en-US" w:eastAsia="zh-CN"/>
                    </w:rPr>
                    <w:t>废水处理</w:t>
                  </w:r>
                </w:p>
              </w:tc>
              <w:tc>
                <w:tcPr>
                  <w:tcW w:w="3892" w:type="pct"/>
                  <w:vAlign w:val="center"/>
                </w:tcPr>
                <w:p>
                  <w:pPr>
                    <w:pStyle w:val="19"/>
                    <w:bidi w:val="0"/>
                    <w:jc w:val="center"/>
                    <w:rPr>
                      <w:rFonts w:hint="default"/>
                      <w:color w:val="auto"/>
                      <w:lang w:val="en-US" w:eastAsia="zh-CN"/>
                    </w:rPr>
                  </w:pPr>
                  <w:r>
                    <w:rPr>
                      <w:color w:val="auto"/>
                    </w:rPr>
                    <w:t>乐园水池娱乐用水经珍珠岩过滤系统过滤后循环使用，闭园时水池娱乐用水全部排空</w:t>
                  </w:r>
                  <w:r>
                    <w:rPr>
                      <w:rFonts w:hint="eastAsia"/>
                      <w:color w:val="auto"/>
                      <w:lang w:eastAsia="zh-CN"/>
                    </w:rPr>
                    <w:t>；</w:t>
                  </w:r>
                  <w:r>
                    <w:rPr>
                      <w:rFonts w:hint="default"/>
                      <w:color w:val="auto"/>
                      <w:lang w:val="en-US" w:eastAsia="zh-CN"/>
                    </w:rPr>
                    <w:t>员工食堂废水、主题餐厅废水经隔油沉淀后，与员工生活污水、游客淋浴废水、公厕废水、水池娱乐废水一起进入化粪池，经化粪池处理达标后，通过市政污水管网排入松木生活污水处理厂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6" w:hRule="atLeast"/>
              </w:trPr>
              <w:tc>
                <w:tcPr>
                  <w:tcW w:w="246" w:type="pct"/>
                  <w:vMerge w:val="continue"/>
                  <w:vAlign w:val="center"/>
                </w:tcPr>
                <w:p>
                  <w:pPr>
                    <w:pStyle w:val="19"/>
                    <w:bidi w:val="0"/>
                    <w:jc w:val="center"/>
                    <w:rPr>
                      <w:rFonts w:hint="eastAsia"/>
                      <w:color w:val="auto"/>
                      <w:lang w:val="en-US" w:eastAsia="zh-CN"/>
                    </w:rPr>
                  </w:pPr>
                </w:p>
              </w:tc>
              <w:tc>
                <w:tcPr>
                  <w:tcW w:w="374" w:type="pct"/>
                  <w:vMerge w:val="continue"/>
                  <w:vAlign w:val="center"/>
                </w:tcPr>
                <w:p>
                  <w:pPr>
                    <w:pStyle w:val="19"/>
                    <w:bidi w:val="0"/>
                    <w:rPr>
                      <w:rFonts w:hint="eastAsia"/>
                      <w:color w:val="auto"/>
                      <w:lang w:val="en-US" w:eastAsia="zh-CN"/>
                    </w:rPr>
                  </w:pPr>
                </w:p>
              </w:tc>
              <w:tc>
                <w:tcPr>
                  <w:tcW w:w="486" w:type="pct"/>
                  <w:vAlign w:val="center"/>
                </w:tcPr>
                <w:p>
                  <w:pPr>
                    <w:pStyle w:val="19"/>
                    <w:bidi w:val="0"/>
                    <w:rPr>
                      <w:rFonts w:hint="default"/>
                      <w:color w:val="auto"/>
                      <w:lang w:val="en-US" w:eastAsia="zh-CN"/>
                    </w:rPr>
                  </w:pPr>
                  <w:r>
                    <w:rPr>
                      <w:rFonts w:hint="eastAsia"/>
                      <w:color w:val="auto"/>
                      <w:lang w:val="en-US" w:eastAsia="zh-CN"/>
                    </w:rPr>
                    <w:t>废气处理</w:t>
                  </w:r>
                </w:p>
              </w:tc>
              <w:tc>
                <w:tcPr>
                  <w:tcW w:w="3892" w:type="pct"/>
                  <w:vAlign w:val="center"/>
                </w:tcPr>
                <w:p>
                  <w:pPr>
                    <w:pStyle w:val="19"/>
                    <w:bidi w:val="0"/>
                    <w:rPr>
                      <w:rFonts w:hint="default" w:eastAsia="宋体"/>
                      <w:color w:val="auto"/>
                      <w:lang w:val="en-US" w:eastAsia="zh-CN"/>
                    </w:rPr>
                  </w:pPr>
                  <w:r>
                    <w:rPr>
                      <w:rFonts w:hint="eastAsia"/>
                      <w:color w:val="auto"/>
                      <w:lang w:val="en-US" w:eastAsia="zh-CN"/>
                    </w:rPr>
                    <w:t>员工食堂和餐厅油烟废气经油烟净化器处理后排放</w:t>
                  </w:r>
                  <w:r>
                    <w:rPr>
                      <w:rFonts w:hint="eastAsia"/>
                      <w:color w:val="auto"/>
                      <w:lang w:eastAsia="zh-CN"/>
                    </w:rPr>
                    <w:t>；</w:t>
                  </w:r>
                  <w:r>
                    <w:rPr>
                      <w:rFonts w:hint="default"/>
                      <w:color w:val="auto"/>
                    </w:rPr>
                    <w:t>燃油发电机</w:t>
                  </w:r>
                  <w:r>
                    <w:rPr>
                      <w:rFonts w:hint="eastAsia"/>
                      <w:color w:val="auto"/>
                      <w:lang w:val="en-US" w:eastAsia="zh-CN"/>
                    </w:rPr>
                    <w:t>废气</w:t>
                  </w:r>
                  <w:r>
                    <w:rPr>
                      <w:rFonts w:hint="default"/>
                      <w:color w:val="auto"/>
                    </w:rPr>
                    <w:t>经处理后通过管道引至楼顶高空排放</w:t>
                  </w:r>
                  <w:r>
                    <w:rPr>
                      <w:rFonts w:hint="eastAsia"/>
                      <w:color w:val="auto"/>
                      <w:lang w:eastAsia="zh-CN"/>
                    </w:rPr>
                    <w:t>；</w:t>
                  </w:r>
                  <w:r>
                    <w:rPr>
                      <w:rFonts w:hint="eastAsia"/>
                      <w:color w:val="auto"/>
                      <w:lang w:val="en-US" w:eastAsia="zh-CN"/>
                    </w:rPr>
                    <w:t>汽车尾气和公厕恶臭以无组织形式排放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246" w:type="pct"/>
                  <w:vMerge w:val="continue"/>
                  <w:vAlign w:val="center"/>
                </w:tcPr>
                <w:p>
                  <w:pPr>
                    <w:pStyle w:val="19"/>
                    <w:bidi w:val="0"/>
                    <w:jc w:val="center"/>
                    <w:rPr>
                      <w:rFonts w:hint="eastAsia"/>
                      <w:color w:val="auto"/>
                      <w:lang w:val="en-US" w:eastAsia="zh-CN"/>
                    </w:rPr>
                  </w:pPr>
                </w:p>
              </w:tc>
              <w:tc>
                <w:tcPr>
                  <w:tcW w:w="374" w:type="pct"/>
                  <w:vMerge w:val="continue"/>
                  <w:vAlign w:val="center"/>
                </w:tcPr>
                <w:p>
                  <w:pPr>
                    <w:pStyle w:val="19"/>
                    <w:bidi w:val="0"/>
                    <w:rPr>
                      <w:rFonts w:hint="eastAsia"/>
                      <w:color w:val="auto"/>
                      <w:lang w:val="en-US" w:eastAsia="zh-CN"/>
                    </w:rPr>
                  </w:pPr>
                </w:p>
              </w:tc>
              <w:tc>
                <w:tcPr>
                  <w:tcW w:w="486" w:type="pct"/>
                  <w:vAlign w:val="center"/>
                </w:tcPr>
                <w:p>
                  <w:pPr>
                    <w:pStyle w:val="19"/>
                    <w:bidi w:val="0"/>
                    <w:rPr>
                      <w:rFonts w:hint="default"/>
                      <w:color w:val="auto"/>
                      <w:lang w:val="en-US" w:eastAsia="zh-CN"/>
                    </w:rPr>
                  </w:pPr>
                  <w:r>
                    <w:rPr>
                      <w:rFonts w:hint="eastAsia"/>
                      <w:color w:val="auto"/>
                      <w:lang w:val="en-US" w:eastAsia="zh-CN"/>
                    </w:rPr>
                    <w:t>噪声处理</w:t>
                  </w:r>
                </w:p>
              </w:tc>
              <w:tc>
                <w:tcPr>
                  <w:tcW w:w="3892" w:type="pct"/>
                  <w:vAlign w:val="center"/>
                </w:tcPr>
                <w:p>
                  <w:pPr>
                    <w:pStyle w:val="19"/>
                    <w:bidi w:val="0"/>
                    <w:rPr>
                      <w:rFonts w:hint="default" w:eastAsia="宋体"/>
                      <w:color w:val="auto"/>
                      <w:lang w:val="en-US" w:eastAsia="zh-CN"/>
                    </w:rPr>
                  </w:pPr>
                  <w:r>
                    <w:rPr>
                      <w:rFonts w:hint="eastAsia"/>
                      <w:color w:val="auto"/>
                      <w:lang w:val="en-US" w:eastAsia="zh-CN"/>
                    </w:rPr>
                    <w:t>采用</w:t>
                  </w:r>
                  <w:r>
                    <w:rPr>
                      <w:rFonts w:hint="default"/>
                      <w:color w:val="auto"/>
                    </w:rPr>
                    <w:t>隔声、减振设施</w:t>
                  </w:r>
                  <w:r>
                    <w:rPr>
                      <w:rFonts w:hint="eastAsia"/>
                      <w:color w:val="auto"/>
                      <w:lang w:eastAsia="zh-CN"/>
                    </w:rPr>
                    <w:t>；</w:t>
                  </w:r>
                  <w:r>
                    <w:rPr>
                      <w:rFonts w:hint="eastAsia"/>
                      <w:color w:val="auto"/>
                      <w:lang w:val="en-US" w:eastAsia="zh-CN"/>
                    </w:rPr>
                    <w:t>车辆限速，禁止鸣笛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246" w:type="pct"/>
                  <w:vMerge w:val="continue"/>
                  <w:vAlign w:val="center"/>
                </w:tcPr>
                <w:p>
                  <w:pPr>
                    <w:pStyle w:val="19"/>
                    <w:bidi w:val="0"/>
                    <w:jc w:val="center"/>
                    <w:rPr>
                      <w:rFonts w:hint="eastAsia"/>
                      <w:color w:val="auto"/>
                      <w:lang w:val="en-US" w:eastAsia="zh-CN"/>
                    </w:rPr>
                  </w:pPr>
                </w:p>
              </w:tc>
              <w:tc>
                <w:tcPr>
                  <w:tcW w:w="374" w:type="pct"/>
                  <w:vMerge w:val="continue"/>
                  <w:vAlign w:val="center"/>
                </w:tcPr>
                <w:p>
                  <w:pPr>
                    <w:pStyle w:val="19"/>
                    <w:bidi w:val="0"/>
                    <w:rPr>
                      <w:rFonts w:hint="eastAsia"/>
                      <w:color w:val="auto"/>
                      <w:lang w:val="en-US" w:eastAsia="zh-CN"/>
                    </w:rPr>
                  </w:pPr>
                </w:p>
              </w:tc>
              <w:tc>
                <w:tcPr>
                  <w:tcW w:w="486" w:type="pct"/>
                  <w:vAlign w:val="center"/>
                </w:tcPr>
                <w:p>
                  <w:pPr>
                    <w:pStyle w:val="19"/>
                    <w:bidi w:val="0"/>
                    <w:rPr>
                      <w:rFonts w:hint="default"/>
                      <w:color w:val="auto"/>
                      <w:lang w:val="en-US" w:eastAsia="zh-CN"/>
                    </w:rPr>
                  </w:pPr>
                  <w:r>
                    <w:rPr>
                      <w:rFonts w:hint="eastAsia"/>
                      <w:color w:val="auto"/>
                      <w:lang w:val="en-US" w:eastAsia="zh-CN"/>
                    </w:rPr>
                    <w:t>固废处理</w:t>
                  </w:r>
                </w:p>
              </w:tc>
              <w:tc>
                <w:tcPr>
                  <w:tcW w:w="3892" w:type="pct"/>
                  <w:vAlign w:val="center"/>
                </w:tcPr>
                <w:p>
                  <w:pPr>
                    <w:pStyle w:val="19"/>
                    <w:bidi w:val="0"/>
                    <w:rPr>
                      <w:rFonts w:hint="eastAsia"/>
                      <w:color w:val="auto"/>
                      <w:lang w:val="en-US" w:eastAsia="zh-CN"/>
                    </w:rPr>
                  </w:pPr>
                  <w:r>
                    <w:rPr>
                      <w:rFonts w:hint="eastAsia"/>
                      <w:color w:val="auto"/>
                    </w:rPr>
                    <w:t>生活垃圾</w:t>
                  </w:r>
                  <w:r>
                    <w:rPr>
                      <w:rFonts w:hint="eastAsia"/>
                      <w:color w:val="auto"/>
                      <w:lang w:val="en-US" w:eastAsia="zh-CN"/>
                    </w:rPr>
                    <w:t>和毛发过滤器收集的毛发倒入</w:t>
                  </w:r>
                  <w:r>
                    <w:rPr>
                      <w:rFonts w:hint="eastAsia"/>
                      <w:color w:val="auto"/>
                    </w:rPr>
                    <w:t>分类垃圾桶，</w:t>
                  </w:r>
                  <w:r>
                    <w:rPr>
                      <w:rFonts w:hint="eastAsia"/>
                      <w:color w:val="auto"/>
                      <w:lang w:val="en-US" w:eastAsia="zh-CN"/>
                    </w:rPr>
                    <w:t>统一</w:t>
                  </w:r>
                  <w:r>
                    <w:rPr>
                      <w:rFonts w:hint="eastAsia"/>
                      <w:color w:val="auto"/>
                    </w:rPr>
                    <w:t>交</w:t>
                  </w:r>
                  <w:r>
                    <w:rPr>
                      <w:rFonts w:hint="eastAsia"/>
                      <w:color w:val="auto"/>
                      <w:lang w:val="en-US" w:eastAsia="zh-CN"/>
                    </w:rPr>
                    <w:t>由</w:t>
                  </w:r>
                  <w:r>
                    <w:rPr>
                      <w:rFonts w:hint="eastAsia"/>
                      <w:color w:val="auto"/>
                    </w:rPr>
                    <w:t>环卫部门统一处理</w:t>
                  </w:r>
                </w:p>
              </w:tc>
            </w:tr>
          </w:tbl>
          <w:p>
            <w:pPr>
              <w:bidi w:val="0"/>
              <w:rPr>
                <w:rFonts w:hint="eastAsia"/>
                <w:lang w:val="en-US" w:eastAsia="zh-CN"/>
              </w:rPr>
            </w:pPr>
            <w:r>
              <w:rPr>
                <w:rFonts w:hint="default"/>
              </w:rPr>
              <w:t>项目运营期主要设施如下：</w:t>
            </w:r>
          </w:p>
          <w:p>
            <w:pPr>
              <w:pStyle w:val="18"/>
              <w:bidi w:val="0"/>
              <w:rPr>
                <w:rFonts w:hint="eastAsia"/>
                <w:lang w:val="en-US" w:eastAsia="zh-CN"/>
              </w:rPr>
            </w:pPr>
            <w:r>
              <w:rPr>
                <w:rFonts w:hint="eastAsia"/>
                <w:lang w:val="en-US" w:eastAsia="zh-CN"/>
              </w:rPr>
              <w:t>表4 主要设施一览表</w:t>
            </w:r>
          </w:p>
          <w:tbl>
            <w:tblPr>
              <w:tblStyle w:val="16"/>
              <w:tblW w:w="86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7"/>
              <w:gridCol w:w="3360"/>
              <w:gridCol w:w="1785"/>
              <w:gridCol w:w="1650"/>
              <w:gridCol w:w="10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dxa"/>
                  <w:vAlign w:val="center"/>
                </w:tcPr>
                <w:p>
                  <w:pPr>
                    <w:pStyle w:val="19"/>
                    <w:bidi w:val="0"/>
                    <w:rPr>
                      <w:rFonts w:hint="default"/>
                      <w:lang w:val="en-US" w:eastAsia="zh-CN"/>
                    </w:rPr>
                  </w:pPr>
                  <w:r>
                    <w:rPr>
                      <w:rFonts w:hint="eastAsia"/>
                    </w:rPr>
                    <w:t>序号</w:t>
                  </w:r>
                </w:p>
              </w:tc>
              <w:tc>
                <w:tcPr>
                  <w:tcW w:w="3360" w:type="dxa"/>
                  <w:vAlign w:val="center"/>
                </w:tcPr>
                <w:p>
                  <w:pPr>
                    <w:pStyle w:val="19"/>
                    <w:bidi w:val="0"/>
                    <w:rPr>
                      <w:rFonts w:hint="default"/>
                      <w:lang w:val="en-US" w:eastAsia="zh-CN"/>
                    </w:rPr>
                  </w:pPr>
                  <w:r>
                    <w:rPr>
                      <w:rFonts w:hint="eastAsia"/>
                    </w:rPr>
                    <w:t>设备名称</w:t>
                  </w:r>
                </w:p>
              </w:tc>
              <w:tc>
                <w:tcPr>
                  <w:tcW w:w="1785" w:type="dxa"/>
                  <w:vAlign w:val="center"/>
                </w:tcPr>
                <w:p>
                  <w:pPr>
                    <w:pStyle w:val="19"/>
                    <w:bidi w:val="0"/>
                    <w:rPr>
                      <w:rFonts w:hint="default"/>
                      <w:lang w:val="en-US" w:eastAsia="zh-CN"/>
                    </w:rPr>
                  </w:pPr>
                  <w:r>
                    <w:rPr>
                      <w:rFonts w:hint="eastAsia"/>
                    </w:rPr>
                    <w:t>型号</w:t>
                  </w:r>
                </w:p>
              </w:tc>
              <w:tc>
                <w:tcPr>
                  <w:tcW w:w="1650" w:type="dxa"/>
                  <w:vAlign w:val="center"/>
                </w:tcPr>
                <w:p>
                  <w:pPr>
                    <w:pStyle w:val="19"/>
                    <w:bidi w:val="0"/>
                    <w:rPr>
                      <w:rFonts w:hint="default"/>
                      <w:lang w:val="en-US" w:eastAsia="zh-CN"/>
                    </w:rPr>
                  </w:pPr>
                  <w:r>
                    <w:rPr>
                      <w:rFonts w:hint="eastAsia"/>
                    </w:rPr>
                    <w:t>单位</w:t>
                  </w:r>
                </w:p>
              </w:tc>
              <w:tc>
                <w:tcPr>
                  <w:tcW w:w="1091" w:type="dxa"/>
                  <w:vAlign w:val="center"/>
                </w:tcPr>
                <w:p>
                  <w:pPr>
                    <w:pStyle w:val="19"/>
                    <w:bidi w:val="0"/>
                    <w:rPr>
                      <w:rFonts w:hint="default"/>
                      <w:lang w:val="en-US" w:eastAsia="zh-CN"/>
                    </w:rPr>
                  </w:pPr>
                  <w:r>
                    <w:rPr>
                      <w:rFonts w:hint="eastAsia"/>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dxa"/>
                  <w:vAlign w:val="center"/>
                </w:tcPr>
                <w:p>
                  <w:pPr>
                    <w:pStyle w:val="19"/>
                    <w:bidi w:val="0"/>
                    <w:rPr>
                      <w:rFonts w:hint="default"/>
                      <w:lang w:val="en-US" w:eastAsia="zh-CN"/>
                    </w:rPr>
                  </w:pPr>
                  <w:r>
                    <w:rPr>
                      <w:rFonts w:hint="eastAsia"/>
                      <w:lang w:val="en-US" w:eastAsia="zh-CN"/>
                    </w:rPr>
                    <w:t>1</w:t>
                  </w:r>
                </w:p>
              </w:tc>
              <w:tc>
                <w:tcPr>
                  <w:tcW w:w="3360" w:type="dxa"/>
                  <w:vAlign w:val="center"/>
                </w:tcPr>
                <w:p>
                  <w:pPr>
                    <w:pStyle w:val="19"/>
                    <w:bidi w:val="0"/>
                    <w:rPr>
                      <w:rFonts w:hint="default"/>
                      <w:lang w:val="en-US" w:eastAsia="zh-CN"/>
                    </w:rPr>
                  </w:pPr>
                  <w:r>
                    <w:rPr>
                      <w:rFonts w:hint="eastAsia"/>
                      <w:lang w:eastAsia="zh-CN"/>
                    </w:rPr>
                    <w:t>双旋风大浪板</w:t>
                  </w:r>
                </w:p>
              </w:tc>
              <w:tc>
                <w:tcPr>
                  <w:tcW w:w="1785" w:type="dxa"/>
                  <w:vAlign w:val="center"/>
                </w:tcPr>
                <w:p>
                  <w:pPr>
                    <w:pStyle w:val="19"/>
                    <w:bidi w:val="0"/>
                    <w:rPr>
                      <w:rFonts w:hint="default"/>
                      <w:lang w:val="en-US" w:eastAsia="zh-CN"/>
                    </w:rPr>
                  </w:pPr>
                  <w:r>
                    <w:rPr>
                      <w:rFonts w:hint="eastAsia"/>
                      <w:lang w:val="en-US" w:eastAsia="zh-CN"/>
                    </w:rPr>
                    <w:t>60型</w:t>
                  </w:r>
                </w:p>
              </w:tc>
              <w:tc>
                <w:tcPr>
                  <w:tcW w:w="1650" w:type="dxa"/>
                  <w:vAlign w:val="center"/>
                </w:tcPr>
                <w:p>
                  <w:pPr>
                    <w:pStyle w:val="19"/>
                    <w:bidi w:val="0"/>
                    <w:rPr>
                      <w:rFonts w:hint="default"/>
                      <w:lang w:val="en-US" w:eastAsia="zh-CN"/>
                    </w:rPr>
                  </w:pPr>
                  <w:r>
                    <w:rPr>
                      <w:rFonts w:hint="eastAsia"/>
                      <w:lang w:val="en-US" w:eastAsia="zh-CN"/>
                    </w:rPr>
                    <w:t>套</w:t>
                  </w:r>
                </w:p>
              </w:tc>
              <w:tc>
                <w:tcPr>
                  <w:tcW w:w="1091" w:type="dxa"/>
                  <w:vAlign w:val="center"/>
                </w:tcPr>
                <w:p>
                  <w:pPr>
                    <w:pStyle w:val="19"/>
                    <w:bidi w:val="0"/>
                    <w:rPr>
                      <w:rFonts w:hint="default"/>
                      <w:lang w:val="en-US" w:eastAsia="zh-CN"/>
                    </w:rPr>
                  </w:pPr>
                  <w:r>
                    <w:rPr>
                      <w:rFonts w:hint="eastAsia"/>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dxa"/>
                  <w:vAlign w:val="center"/>
                </w:tcPr>
                <w:p>
                  <w:pPr>
                    <w:pStyle w:val="19"/>
                    <w:bidi w:val="0"/>
                    <w:rPr>
                      <w:rFonts w:hint="default"/>
                      <w:lang w:val="en-US" w:eastAsia="zh-CN"/>
                    </w:rPr>
                  </w:pPr>
                  <w:r>
                    <w:rPr>
                      <w:rFonts w:hint="eastAsia"/>
                      <w:lang w:val="en-US" w:eastAsia="zh-CN"/>
                    </w:rPr>
                    <w:t>2</w:t>
                  </w:r>
                </w:p>
              </w:tc>
              <w:tc>
                <w:tcPr>
                  <w:tcW w:w="3360" w:type="dxa"/>
                  <w:vAlign w:val="center"/>
                </w:tcPr>
                <w:p>
                  <w:pPr>
                    <w:pStyle w:val="19"/>
                    <w:bidi w:val="0"/>
                    <w:rPr>
                      <w:rFonts w:hint="default"/>
                      <w:lang w:val="en-US" w:eastAsia="zh-CN"/>
                    </w:rPr>
                  </w:pPr>
                  <w:r>
                    <w:rPr>
                      <w:rFonts w:hint="eastAsia"/>
                      <w:lang w:eastAsia="zh-CN"/>
                    </w:rPr>
                    <w:t>旋风大喇叭</w:t>
                  </w:r>
                </w:p>
              </w:tc>
              <w:tc>
                <w:tcPr>
                  <w:tcW w:w="1785" w:type="dxa"/>
                  <w:vAlign w:val="center"/>
                </w:tcPr>
                <w:p>
                  <w:pPr>
                    <w:pStyle w:val="19"/>
                    <w:bidi w:val="0"/>
                    <w:rPr>
                      <w:rFonts w:hint="default"/>
                      <w:lang w:val="en-US" w:eastAsia="zh-CN"/>
                    </w:rPr>
                  </w:pPr>
                  <w:r>
                    <w:rPr>
                      <w:rFonts w:hint="eastAsia"/>
                      <w:lang w:val="en-US" w:eastAsia="zh-CN"/>
                    </w:rPr>
                    <w:t>60型</w:t>
                  </w:r>
                </w:p>
              </w:tc>
              <w:tc>
                <w:tcPr>
                  <w:tcW w:w="1650" w:type="dxa"/>
                  <w:vAlign w:val="center"/>
                </w:tcPr>
                <w:p>
                  <w:pPr>
                    <w:pStyle w:val="19"/>
                    <w:bidi w:val="0"/>
                    <w:rPr>
                      <w:rFonts w:hint="default"/>
                      <w:lang w:val="en-US" w:eastAsia="zh-CN"/>
                    </w:rPr>
                  </w:pPr>
                  <w:r>
                    <w:rPr>
                      <w:rFonts w:hint="eastAsia"/>
                      <w:lang w:val="en-US" w:eastAsia="zh-CN"/>
                    </w:rPr>
                    <w:t>套</w:t>
                  </w:r>
                </w:p>
              </w:tc>
              <w:tc>
                <w:tcPr>
                  <w:tcW w:w="1091" w:type="dxa"/>
                  <w:vAlign w:val="center"/>
                </w:tcPr>
                <w:p>
                  <w:pPr>
                    <w:pStyle w:val="19"/>
                    <w:bidi w:val="0"/>
                    <w:rPr>
                      <w:rFonts w:hint="default"/>
                      <w:lang w:val="en-US" w:eastAsia="zh-CN"/>
                    </w:rPr>
                  </w:pPr>
                  <w:r>
                    <w:rPr>
                      <w:rFonts w:hint="eastAsia"/>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dxa"/>
                  <w:vAlign w:val="center"/>
                </w:tcPr>
                <w:p>
                  <w:pPr>
                    <w:pStyle w:val="19"/>
                    <w:bidi w:val="0"/>
                    <w:rPr>
                      <w:rFonts w:hint="default"/>
                      <w:lang w:val="en-US" w:eastAsia="zh-CN"/>
                    </w:rPr>
                  </w:pPr>
                  <w:r>
                    <w:rPr>
                      <w:rFonts w:hint="eastAsia"/>
                      <w:lang w:val="en-US" w:eastAsia="zh-CN"/>
                    </w:rPr>
                    <w:t>3</w:t>
                  </w:r>
                </w:p>
              </w:tc>
              <w:tc>
                <w:tcPr>
                  <w:tcW w:w="3360" w:type="dxa"/>
                  <w:vAlign w:val="center"/>
                </w:tcPr>
                <w:p>
                  <w:pPr>
                    <w:pStyle w:val="19"/>
                    <w:bidi w:val="0"/>
                    <w:rPr>
                      <w:rFonts w:hint="default"/>
                      <w:lang w:val="en-US" w:eastAsia="zh-CN"/>
                    </w:rPr>
                  </w:pPr>
                  <w:r>
                    <w:rPr>
                      <w:rFonts w:hint="eastAsia"/>
                      <w:lang w:eastAsia="zh-CN"/>
                    </w:rPr>
                    <w:t>水上双龙过山车</w:t>
                  </w:r>
                </w:p>
              </w:tc>
              <w:tc>
                <w:tcPr>
                  <w:tcW w:w="1785" w:type="dxa"/>
                  <w:vAlign w:val="center"/>
                </w:tcPr>
                <w:p>
                  <w:pPr>
                    <w:pStyle w:val="19"/>
                    <w:bidi w:val="0"/>
                    <w:rPr>
                      <w:rFonts w:hint="default"/>
                      <w:lang w:val="en-US" w:eastAsia="zh-CN"/>
                    </w:rPr>
                  </w:pPr>
                  <w:r>
                    <w:rPr>
                      <w:rFonts w:hint="eastAsia"/>
                      <w:lang w:val="en-US" w:eastAsia="zh-CN"/>
                    </w:rPr>
                    <w:t>/</w:t>
                  </w:r>
                </w:p>
              </w:tc>
              <w:tc>
                <w:tcPr>
                  <w:tcW w:w="1650" w:type="dxa"/>
                  <w:vAlign w:val="center"/>
                </w:tcPr>
                <w:p>
                  <w:pPr>
                    <w:pStyle w:val="19"/>
                    <w:bidi w:val="0"/>
                    <w:rPr>
                      <w:rFonts w:hint="default"/>
                      <w:lang w:val="en-US" w:eastAsia="zh-CN"/>
                    </w:rPr>
                  </w:pPr>
                  <w:r>
                    <w:rPr>
                      <w:rFonts w:hint="eastAsia"/>
                      <w:lang w:val="en-US" w:eastAsia="zh-CN"/>
                    </w:rPr>
                    <w:t>套</w:t>
                  </w:r>
                </w:p>
              </w:tc>
              <w:tc>
                <w:tcPr>
                  <w:tcW w:w="1091" w:type="dxa"/>
                  <w:vAlign w:val="center"/>
                </w:tcPr>
                <w:p>
                  <w:pPr>
                    <w:pStyle w:val="19"/>
                    <w:bidi w:val="0"/>
                    <w:rPr>
                      <w:rFonts w:hint="default"/>
                      <w:lang w:val="en-US" w:eastAsia="zh-CN"/>
                    </w:rPr>
                  </w:pPr>
                  <w:r>
                    <w:rPr>
                      <w:rFonts w:hint="eastAsia"/>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dxa"/>
                  <w:vAlign w:val="center"/>
                </w:tcPr>
                <w:p>
                  <w:pPr>
                    <w:pStyle w:val="19"/>
                    <w:bidi w:val="0"/>
                    <w:rPr>
                      <w:rFonts w:hint="default"/>
                      <w:lang w:val="en-US" w:eastAsia="zh-CN"/>
                    </w:rPr>
                  </w:pPr>
                  <w:r>
                    <w:rPr>
                      <w:rFonts w:hint="eastAsia"/>
                      <w:lang w:val="en-US" w:eastAsia="zh-CN"/>
                    </w:rPr>
                    <w:t>4</w:t>
                  </w:r>
                </w:p>
              </w:tc>
              <w:tc>
                <w:tcPr>
                  <w:tcW w:w="3360" w:type="dxa"/>
                  <w:vAlign w:val="center"/>
                </w:tcPr>
                <w:p>
                  <w:pPr>
                    <w:pStyle w:val="19"/>
                    <w:bidi w:val="0"/>
                    <w:rPr>
                      <w:rFonts w:hint="default"/>
                      <w:lang w:val="en-US" w:eastAsia="zh-CN"/>
                    </w:rPr>
                  </w:pPr>
                  <w:r>
                    <w:rPr>
                      <w:rFonts w:hint="eastAsia"/>
                      <w:lang w:eastAsia="zh-CN"/>
                    </w:rPr>
                    <w:t>巨型水寨</w:t>
                  </w:r>
                </w:p>
              </w:tc>
              <w:tc>
                <w:tcPr>
                  <w:tcW w:w="1785" w:type="dxa"/>
                  <w:vAlign w:val="center"/>
                </w:tcPr>
                <w:p>
                  <w:pPr>
                    <w:pStyle w:val="19"/>
                    <w:bidi w:val="0"/>
                    <w:rPr>
                      <w:rFonts w:hint="default"/>
                      <w:lang w:val="en-US" w:eastAsia="zh-CN"/>
                    </w:rPr>
                  </w:pPr>
                  <w:r>
                    <w:rPr>
                      <w:rFonts w:hint="eastAsia"/>
                      <w:lang w:val="en-US" w:eastAsia="zh-CN"/>
                    </w:rPr>
                    <w:t>FF17型</w:t>
                  </w:r>
                </w:p>
              </w:tc>
              <w:tc>
                <w:tcPr>
                  <w:tcW w:w="1650" w:type="dxa"/>
                  <w:vAlign w:val="center"/>
                </w:tcPr>
                <w:p>
                  <w:pPr>
                    <w:pStyle w:val="19"/>
                    <w:bidi w:val="0"/>
                    <w:rPr>
                      <w:rFonts w:hint="default"/>
                      <w:lang w:val="en-US" w:eastAsia="zh-CN"/>
                    </w:rPr>
                  </w:pPr>
                  <w:r>
                    <w:rPr>
                      <w:rFonts w:hint="eastAsia"/>
                      <w:lang w:val="en-US" w:eastAsia="zh-CN"/>
                    </w:rPr>
                    <w:t>套</w:t>
                  </w:r>
                </w:p>
              </w:tc>
              <w:tc>
                <w:tcPr>
                  <w:tcW w:w="1091" w:type="dxa"/>
                  <w:vAlign w:val="center"/>
                </w:tcPr>
                <w:p>
                  <w:pPr>
                    <w:pStyle w:val="19"/>
                    <w:bidi w:val="0"/>
                    <w:rPr>
                      <w:rFonts w:hint="default"/>
                      <w:lang w:val="en-US" w:eastAsia="zh-CN"/>
                    </w:rPr>
                  </w:pPr>
                  <w:r>
                    <w:rPr>
                      <w:rFonts w:hint="eastAsia"/>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dxa"/>
                  <w:vAlign w:val="center"/>
                </w:tcPr>
                <w:p>
                  <w:pPr>
                    <w:pStyle w:val="19"/>
                    <w:bidi w:val="0"/>
                    <w:rPr>
                      <w:rFonts w:hint="default"/>
                      <w:lang w:val="en-US" w:eastAsia="zh-CN"/>
                    </w:rPr>
                  </w:pPr>
                  <w:r>
                    <w:rPr>
                      <w:rFonts w:hint="eastAsia"/>
                      <w:lang w:val="en-US" w:eastAsia="zh-CN"/>
                    </w:rPr>
                    <w:t>5</w:t>
                  </w:r>
                </w:p>
              </w:tc>
              <w:tc>
                <w:tcPr>
                  <w:tcW w:w="3360" w:type="dxa"/>
                  <w:vAlign w:val="center"/>
                </w:tcPr>
                <w:p>
                  <w:pPr>
                    <w:pStyle w:val="19"/>
                    <w:bidi w:val="0"/>
                    <w:rPr>
                      <w:rFonts w:hint="default"/>
                      <w:lang w:val="en-US" w:eastAsia="zh-CN"/>
                    </w:rPr>
                  </w:pPr>
                  <w:r>
                    <w:rPr>
                      <w:rFonts w:hint="eastAsia"/>
                      <w:lang w:eastAsia="zh-CN"/>
                    </w:rPr>
                    <w:t>互动水堡</w:t>
                  </w:r>
                </w:p>
              </w:tc>
              <w:tc>
                <w:tcPr>
                  <w:tcW w:w="1785" w:type="dxa"/>
                  <w:vAlign w:val="center"/>
                </w:tcPr>
                <w:p>
                  <w:pPr>
                    <w:pStyle w:val="19"/>
                    <w:bidi w:val="0"/>
                    <w:rPr>
                      <w:rFonts w:hint="default"/>
                      <w:lang w:val="en-US" w:eastAsia="zh-CN"/>
                    </w:rPr>
                  </w:pPr>
                  <w:r>
                    <w:rPr>
                      <w:rFonts w:hint="eastAsia"/>
                      <w:lang w:val="en-US" w:eastAsia="zh-CN"/>
                    </w:rPr>
                    <w:t>AC240型</w:t>
                  </w:r>
                </w:p>
              </w:tc>
              <w:tc>
                <w:tcPr>
                  <w:tcW w:w="1650" w:type="dxa"/>
                  <w:vAlign w:val="center"/>
                </w:tcPr>
                <w:p>
                  <w:pPr>
                    <w:pStyle w:val="19"/>
                    <w:bidi w:val="0"/>
                    <w:rPr>
                      <w:rFonts w:hint="default"/>
                      <w:lang w:val="en-US" w:eastAsia="zh-CN"/>
                    </w:rPr>
                  </w:pPr>
                  <w:r>
                    <w:rPr>
                      <w:rFonts w:hint="eastAsia"/>
                      <w:lang w:val="en-US" w:eastAsia="zh-CN"/>
                    </w:rPr>
                    <w:t>套</w:t>
                  </w:r>
                </w:p>
              </w:tc>
              <w:tc>
                <w:tcPr>
                  <w:tcW w:w="1091" w:type="dxa"/>
                  <w:vAlign w:val="center"/>
                </w:tcPr>
                <w:p>
                  <w:pPr>
                    <w:pStyle w:val="19"/>
                    <w:bidi w:val="0"/>
                    <w:rPr>
                      <w:rFonts w:hint="default"/>
                      <w:lang w:val="en-US" w:eastAsia="zh-CN"/>
                    </w:rPr>
                  </w:pPr>
                  <w:r>
                    <w:rPr>
                      <w:rFonts w:hint="eastAsia"/>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dxa"/>
                  <w:vAlign w:val="center"/>
                </w:tcPr>
                <w:p>
                  <w:pPr>
                    <w:pStyle w:val="19"/>
                    <w:bidi w:val="0"/>
                    <w:rPr>
                      <w:rFonts w:hint="default"/>
                      <w:lang w:val="en-US" w:eastAsia="zh-CN"/>
                    </w:rPr>
                  </w:pPr>
                  <w:r>
                    <w:rPr>
                      <w:rFonts w:hint="eastAsia"/>
                      <w:lang w:val="en-US" w:eastAsia="zh-CN"/>
                    </w:rPr>
                    <w:t>6</w:t>
                  </w:r>
                </w:p>
              </w:tc>
              <w:tc>
                <w:tcPr>
                  <w:tcW w:w="3360" w:type="dxa"/>
                  <w:vAlign w:val="center"/>
                </w:tcPr>
                <w:p>
                  <w:pPr>
                    <w:pStyle w:val="19"/>
                    <w:bidi w:val="0"/>
                    <w:rPr>
                      <w:rFonts w:hint="default"/>
                      <w:lang w:val="en-US" w:eastAsia="zh-CN"/>
                    </w:rPr>
                  </w:pPr>
                  <w:r>
                    <w:rPr>
                      <w:rFonts w:hint="eastAsia"/>
                      <w:lang w:eastAsia="zh-CN"/>
                    </w:rPr>
                    <w:t>儿童滑道</w:t>
                  </w:r>
                  <w:r>
                    <w:rPr>
                      <w:rFonts w:hint="eastAsia"/>
                      <w:lang w:val="en-US" w:eastAsia="zh-CN"/>
                    </w:rPr>
                    <w:t>6道组合</w:t>
                  </w:r>
                </w:p>
              </w:tc>
              <w:tc>
                <w:tcPr>
                  <w:tcW w:w="1785" w:type="dxa"/>
                  <w:vAlign w:val="center"/>
                </w:tcPr>
                <w:p>
                  <w:pPr>
                    <w:pStyle w:val="19"/>
                    <w:bidi w:val="0"/>
                    <w:rPr>
                      <w:rFonts w:hint="default"/>
                      <w:lang w:val="en-US" w:eastAsia="zh-CN"/>
                    </w:rPr>
                  </w:pPr>
                  <w:r>
                    <w:rPr>
                      <w:rFonts w:hint="eastAsia"/>
                      <w:lang w:val="en-US" w:eastAsia="zh-CN"/>
                    </w:rPr>
                    <w:t>6道</w:t>
                  </w:r>
                </w:p>
              </w:tc>
              <w:tc>
                <w:tcPr>
                  <w:tcW w:w="1650" w:type="dxa"/>
                  <w:vAlign w:val="center"/>
                </w:tcPr>
                <w:p>
                  <w:pPr>
                    <w:pStyle w:val="19"/>
                    <w:bidi w:val="0"/>
                    <w:rPr>
                      <w:rFonts w:hint="default"/>
                      <w:lang w:val="en-US" w:eastAsia="zh-CN"/>
                    </w:rPr>
                  </w:pPr>
                  <w:r>
                    <w:rPr>
                      <w:rFonts w:hint="eastAsia"/>
                      <w:lang w:val="en-US" w:eastAsia="zh-CN"/>
                    </w:rPr>
                    <w:t>套</w:t>
                  </w:r>
                </w:p>
              </w:tc>
              <w:tc>
                <w:tcPr>
                  <w:tcW w:w="1091" w:type="dxa"/>
                  <w:vAlign w:val="center"/>
                </w:tcPr>
                <w:p>
                  <w:pPr>
                    <w:pStyle w:val="19"/>
                    <w:bidi w:val="0"/>
                    <w:rPr>
                      <w:rFonts w:hint="default"/>
                      <w:lang w:val="en-US" w:eastAsia="zh-CN"/>
                    </w:rPr>
                  </w:pPr>
                  <w:r>
                    <w:rPr>
                      <w:rFonts w:hint="eastAsia"/>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dxa"/>
                  <w:vAlign w:val="center"/>
                </w:tcPr>
                <w:p>
                  <w:pPr>
                    <w:pStyle w:val="19"/>
                    <w:bidi w:val="0"/>
                    <w:rPr>
                      <w:rFonts w:hint="default"/>
                      <w:lang w:val="en-US" w:eastAsia="zh-CN"/>
                    </w:rPr>
                  </w:pPr>
                  <w:r>
                    <w:rPr>
                      <w:rFonts w:hint="eastAsia"/>
                      <w:lang w:val="en-US" w:eastAsia="zh-CN"/>
                    </w:rPr>
                    <w:t>7</w:t>
                  </w:r>
                </w:p>
              </w:tc>
              <w:tc>
                <w:tcPr>
                  <w:tcW w:w="3360" w:type="dxa"/>
                  <w:vAlign w:val="center"/>
                </w:tcPr>
                <w:p>
                  <w:pPr>
                    <w:pStyle w:val="19"/>
                    <w:bidi w:val="0"/>
                    <w:rPr>
                      <w:rFonts w:hint="default"/>
                      <w:lang w:val="en-US" w:eastAsia="zh-CN"/>
                    </w:rPr>
                  </w:pPr>
                  <w:r>
                    <w:rPr>
                      <w:rFonts w:hint="eastAsia"/>
                      <w:lang w:eastAsia="zh-CN"/>
                    </w:rPr>
                    <w:t>家庭手拉手滑道</w:t>
                  </w:r>
                </w:p>
              </w:tc>
              <w:tc>
                <w:tcPr>
                  <w:tcW w:w="1785" w:type="dxa"/>
                  <w:vAlign w:val="center"/>
                </w:tcPr>
                <w:p>
                  <w:pPr>
                    <w:pStyle w:val="19"/>
                    <w:bidi w:val="0"/>
                    <w:rPr>
                      <w:rFonts w:hint="default"/>
                      <w:lang w:val="en-US" w:eastAsia="zh-CN"/>
                    </w:rPr>
                  </w:pPr>
                  <w:r>
                    <w:rPr>
                      <w:rFonts w:hint="eastAsia"/>
                      <w:lang w:val="en-US" w:eastAsia="zh-CN"/>
                    </w:rPr>
                    <w:t>/</w:t>
                  </w:r>
                </w:p>
              </w:tc>
              <w:tc>
                <w:tcPr>
                  <w:tcW w:w="1650" w:type="dxa"/>
                  <w:vAlign w:val="center"/>
                </w:tcPr>
                <w:p>
                  <w:pPr>
                    <w:pStyle w:val="19"/>
                    <w:bidi w:val="0"/>
                    <w:rPr>
                      <w:rFonts w:hint="default"/>
                      <w:lang w:val="en-US" w:eastAsia="zh-CN"/>
                    </w:rPr>
                  </w:pPr>
                  <w:r>
                    <w:rPr>
                      <w:rFonts w:hint="eastAsia"/>
                      <w:lang w:val="en-US" w:eastAsia="zh-CN"/>
                    </w:rPr>
                    <w:t>套</w:t>
                  </w:r>
                </w:p>
              </w:tc>
              <w:tc>
                <w:tcPr>
                  <w:tcW w:w="1091" w:type="dxa"/>
                  <w:vAlign w:val="center"/>
                </w:tcPr>
                <w:p>
                  <w:pPr>
                    <w:pStyle w:val="19"/>
                    <w:bidi w:val="0"/>
                    <w:rPr>
                      <w:rFonts w:hint="default"/>
                      <w:lang w:val="en-US" w:eastAsia="zh-CN"/>
                    </w:rPr>
                  </w:pPr>
                  <w:r>
                    <w:rPr>
                      <w:rFonts w:hint="eastAsia"/>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757" w:type="dxa"/>
                  <w:vAlign w:val="center"/>
                </w:tcPr>
                <w:p>
                  <w:pPr>
                    <w:pStyle w:val="19"/>
                    <w:bidi w:val="0"/>
                    <w:rPr>
                      <w:rFonts w:hint="eastAsia"/>
                      <w:lang w:val="en-US" w:eastAsia="zh-CN"/>
                    </w:rPr>
                  </w:pPr>
                  <w:r>
                    <w:rPr>
                      <w:rFonts w:hint="eastAsia"/>
                      <w:lang w:val="en-US" w:eastAsia="zh-CN"/>
                    </w:rPr>
                    <w:t>8</w:t>
                  </w:r>
                </w:p>
              </w:tc>
              <w:tc>
                <w:tcPr>
                  <w:tcW w:w="3360" w:type="dxa"/>
                  <w:vAlign w:val="center"/>
                </w:tcPr>
                <w:p>
                  <w:pPr>
                    <w:pStyle w:val="19"/>
                    <w:bidi w:val="0"/>
                    <w:rPr>
                      <w:rFonts w:hint="eastAsia"/>
                      <w:lang w:eastAsia="zh-CN"/>
                    </w:rPr>
                  </w:pPr>
                  <w:r>
                    <w:rPr>
                      <w:rFonts w:hint="eastAsia"/>
                      <w:lang w:eastAsia="zh-CN"/>
                    </w:rPr>
                    <w:t>高飞人体滑道</w:t>
                  </w:r>
                </w:p>
              </w:tc>
              <w:tc>
                <w:tcPr>
                  <w:tcW w:w="1785" w:type="dxa"/>
                  <w:vAlign w:val="center"/>
                </w:tcPr>
                <w:p>
                  <w:pPr>
                    <w:pStyle w:val="19"/>
                    <w:bidi w:val="0"/>
                    <w:rPr>
                      <w:rFonts w:hint="eastAsia"/>
                      <w:lang w:val="en-US" w:eastAsia="zh-CN"/>
                    </w:rPr>
                  </w:pPr>
                  <w:r>
                    <w:rPr>
                      <w:rFonts w:hint="eastAsia"/>
                      <w:lang w:val="en-US" w:eastAsia="zh-CN"/>
                    </w:rPr>
                    <w:t>/</w:t>
                  </w:r>
                </w:p>
              </w:tc>
              <w:tc>
                <w:tcPr>
                  <w:tcW w:w="1650" w:type="dxa"/>
                  <w:vAlign w:val="center"/>
                </w:tcPr>
                <w:p>
                  <w:pPr>
                    <w:pStyle w:val="19"/>
                    <w:bidi w:val="0"/>
                    <w:rPr>
                      <w:rFonts w:hint="eastAsia"/>
                      <w:lang w:val="en-US" w:eastAsia="zh-CN"/>
                    </w:rPr>
                  </w:pPr>
                  <w:r>
                    <w:rPr>
                      <w:rFonts w:hint="eastAsia"/>
                      <w:lang w:val="en-US" w:eastAsia="zh-CN"/>
                    </w:rPr>
                    <w:t>套</w:t>
                  </w:r>
                </w:p>
              </w:tc>
              <w:tc>
                <w:tcPr>
                  <w:tcW w:w="1091" w:type="dxa"/>
                  <w:vAlign w:val="center"/>
                </w:tcPr>
                <w:p>
                  <w:pPr>
                    <w:pStyle w:val="19"/>
                    <w:bidi w:val="0"/>
                    <w:rPr>
                      <w:rFonts w:hint="eastAsia"/>
                      <w:lang w:val="en-US" w:eastAsia="zh-CN"/>
                    </w:rPr>
                  </w:pPr>
                  <w:r>
                    <w:rPr>
                      <w:rFonts w:hint="eastAsia"/>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dxa"/>
                  <w:vAlign w:val="center"/>
                </w:tcPr>
                <w:p>
                  <w:pPr>
                    <w:pStyle w:val="19"/>
                    <w:bidi w:val="0"/>
                    <w:rPr>
                      <w:rFonts w:hint="eastAsia"/>
                      <w:lang w:val="en-US" w:eastAsia="zh-CN"/>
                    </w:rPr>
                  </w:pPr>
                  <w:r>
                    <w:rPr>
                      <w:rFonts w:hint="eastAsia"/>
                      <w:lang w:val="en-US" w:eastAsia="zh-CN"/>
                    </w:rPr>
                    <w:t>9</w:t>
                  </w:r>
                </w:p>
              </w:tc>
              <w:tc>
                <w:tcPr>
                  <w:tcW w:w="3360" w:type="dxa"/>
                  <w:vAlign w:val="center"/>
                </w:tcPr>
                <w:p>
                  <w:pPr>
                    <w:pStyle w:val="19"/>
                    <w:bidi w:val="0"/>
                    <w:rPr>
                      <w:rFonts w:hint="eastAsia"/>
                      <w:lang w:eastAsia="zh-CN"/>
                    </w:rPr>
                  </w:pPr>
                  <w:r>
                    <w:rPr>
                      <w:rFonts w:hint="eastAsia"/>
                      <w:lang w:eastAsia="zh-CN"/>
                    </w:rPr>
                    <w:t>单池造浪池</w:t>
                  </w:r>
                </w:p>
              </w:tc>
              <w:tc>
                <w:tcPr>
                  <w:tcW w:w="1785" w:type="dxa"/>
                  <w:vAlign w:val="center"/>
                </w:tcPr>
                <w:p>
                  <w:pPr>
                    <w:pStyle w:val="19"/>
                    <w:bidi w:val="0"/>
                    <w:rPr>
                      <w:rFonts w:hint="eastAsia"/>
                      <w:lang w:val="en-US" w:eastAsia="zh-CN"/>
                    </w:rPr>
                  </w:pPr>
                  <w:r>
                    <w:rPr>
                      <w:rFonts w:hint="eastAsia"/>
                      <w:lang w:val="en-US" w:eastAsia="zh-CN"/>
                    </w:rPr>
                    <w:t>48米</w:t>
                  </w:r>
                </w:p>
              </w:tc>
              <w:tc>
                <w:tcPr>
                  <w:tcW w:w="1650" w:type="dxa"/>
                  <w:vAlign w:val="center"/>
                </w:tcPr>
                <w:p>
                  <w:pPr>
                    <w:pStyle w:val="19"/>
                    <w:bidi w:val="0"/>
                    <w:rPr>
                      <w:rFonts w:hint="eastAsia"/>
                      <w:lang w:val="en-US" w:eastAsia="zh-CN"/>
                    </w:rPr>
                  </w:pPr>
                  <w:r>
                    <w:rPr>
                      <w:rFonts w:hint="eastAsia"/>
                      <w:lang w:val="en-US" w:eastAsia="zh-CN"/>
                    </w:rPr>
                    <w:t>套</w:t>
                  </w:r>
                </w:p>
              </w:tc>
              <w:tc>
                <w:tcPr>
                  <w:tcW w:w="1091" w:type="dxa"/>
                  <w:vAlign w:val="center"/>
                </w:tcPr>
                <w:p>
                  <w:pPr>
                    <w:pStyle w:val="19"/>
                    <w:bidi w:val="0"/>
                    <w:rPr>
                      <w:rFonts w:hint="eastAsia"/>
                      <w:lang w:val="en-US" w:eastAsia="zh-CN"/>
                    </w:rPr>
                  </w:pPr>
                  <w:r>
                    <w:rPr>
                      <w:rFonts w:hint="eastAsia"/>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dxa"/>
                  <w:vAlign w:val="center"/>
                </w:tcPr>
                <w:p>
                  <w:pPr>
                    <w:pStyle w:val="19"/>
                    <w:bidi w:val="0"/>
                    <w:rPr>
                      <w:rFonts w:hint="eastAsia"/>
                      <w:lang w:val="en-US" w:eastAsia="zh-CN"/>
                    </w:rPr>
                  </w:pPr>
                  <w:r>
                    <w:rPr>
                      <w:rFonts w:hint="eastAsia"/>
                      <w:lang w:val="en-US" w:eastAsia="zh-CN"/>
                    </w:rPr>
                    <w:t>10</w:t>
                  </w:r>
                </w:p>
              </w:tc>
              <w:tc>
                <w:tcPr>
                  <w:tcW w:w="3360" w:type="dxa"/>
                  <w:vAlign w:val="center"/>
                </w:tcPr>
                <w:p>
                  <w:pPr>
                    <w:pStyle w:val="19"/>
                    <w:bidi w:val="0"/>
                    <w:rPr>
                      <w:rFonts w:hint="eastAsia"/>
                      <w:lang w:eastAsia="zh-CN"/>
                    </w:rPr>
                  </w:pPr>
                  <w:r>
                    <w:rPr>
                      <w:rFonts w:hint="eastAsia"/>
                      <w:lang w:eastAsia="zh-CN"/>
                    </w:rPr>
                    <w:t>气压造浪懒人河</w:t>
                  </w:r>
                </w:p>
              </w:tc>
              <w:tc>
                <w:tcPr>
                  <w:tcW w:w="1785" w:type="dxa"/>
                  <w:vAlign w:val="center"/>
                </w:tcPr>
                <w:p>
                  <w:pPr>
                    <w:pStyle w:val="19"/>
                    <w:bidi w:val="0"/>
                    <w:rPr>
                      <w:rFonts w:hint="eastAsia"/>
                      <w:lang w:val="en-US" w:eastAsia="zh-CN"/>
                    </w:rPr>
                  </w:pPr>
                  <w:r>
                    <w:rPr>
                      <w:rFonts w:hint="eastAsia"/>
                      <w:lang w:val="en-US" w:eastAsia="zh-CN"/>
                    </w:rPr>
                    <w:t>/</w:t>
                  </w:r>
                </w:p>
              </w:tc>
              <w:tc>
                <w:tcPr>
                  <w:tcW w:w="1650" w:type="dxa"/>
                  <w:vAlign w:val="center"/>
                </w:tcPr>
                <w:p>
                  <w:pPr>
                    <w:pStyle w:val="19"/>
                    <w:bidi w:val="0"/>
                    <w:rPr>
                      <w:rFonts w:hint="eastAsia"/>
                      <w:lang w:val="en-US" w:eastAsia="zh-CN"/>
                    </w:rPr>
                  </w:pPr>
                  <w:r>
                    <w:rPr>
                      <w:rFonts w:hint="eastAsia"/>
                      <w:lang w:val="en-US" w:eastAsia="zh-CN"/>
                    </w:rPr>
                    <w:t>套</w:t>
                  </w:r>
                </w:p>
              </w:tc>
              <w:tc>
                <w:tcPr>
                  <w:tcW w:w="1091" w:type="dxa"/>
                  <w:vAlign w:val="center"/>
                </w:tcPr>
                <w:p>
                  <w:pPr>
                    <w:pStyle w:val="19"/>
                    <w:bidi w:val="0"/>
                    <w:rPr>
                      <w:rFonts w:hint="eastAsia"/>
                      <w:lang w:val="en-US" w:eastAsia="zh-CN"/>
                    </w:rPr>
                  </w:pPr>
                  <w:r>
                    <w:rPr>
                      <w:rFonts w:hint="eastAsia"/>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dxa"/>
                  <w:vAlign w:val="center"/>
                </w:tcPr>
                <w:p>
                  <w:pPr>
                    <w:pStyle w:val="19"/>
                    <w:bidi w:val="0"/>
                    <w:rPr>
                      <w:rFonts w:hint="eastAsia"/>
                      <w:lang w:val="en-US" w:eastAsia="zh-CN"/>
                    </w:rPr>
                  </w:pPr>
                  <w:r>
                    <w:rPr>
                      <w:rFonts w:hint="eastAsia"/>
                      <w:lang w:val="en-US" w:eastAsia="zh-CN"/>
                    </w:rPr>
                    <w:t>11</w:t>
                  </w:r>
                </w:p>
              </w:tc>
              <w:tc>
                <w:tcPr>
                  <w:tcW w:w="3360" w:type="dxa"/>
                  <w:vAlign w:val="center"/>
                </w:tcPr>
                <w:p>
                  <w:pPr>
                    <w:pStyle w:val="19"/>
                    <w:bidi w:val="0"/>
                    <w:rPr>
                      <w:rFonts w:hint="eastAsia"/>
                      <w:lang w:eastAsia="zh-CN"/>
                    </w:rPr>
                  </w:pPr>
                  <w:r>
                    <w:rPr>
                      <w:rFonts w:hint="eastAsia"/>
                      <w:lang w:eastAsia="zh-CN"/>
                    </w:rPr>
                    <w:t>亲子戏水玩具</w:t>
                  </w:r>
                </w:p>
              </w:tc>
              <w:tc>
                <w:tcPr>
                  <w:tcW w:w="1785" w:type="dxa"/>
                  <w:vAlign w:val="center"/>
                </w:tcPr>
                <w:p>
                  <w:pPr>
                    <w:pStyle w:val="19"/>
                    <w:bidi w:val="0"/>
                    <w:rPr>
                      <w:rFonts w:hint="eastAsia"/>
                      <w:lang w:val="en-US" w:eastAsia="zh-CN"/>
                    </w:rPr>
                  </w:pPr>
                  <w:r>
                    <w:rPr>
                      <w:rFonts w:hint="eastAsia"/>
                      <w:lang w:val="en-US" w:eastAsia="zh-CN"/>
                    </w:rPr>
                    <w:t>/</w:t>
                  </w:r>
                </w:p>
              </w:tc>
              <w:tc>
                <w:tcPr>
                  <w:tcW w:w="1650" w:type="dxa"/>
                  <w:vAlign w:val="center"/>
                </w:tcPr>
                <w:p>
                  <w:pPr>
                    <w:pStyle w:val="19"/>
                    <w:bidi w:val="0"/>
                    <w:rPr>
                      <w:rFonts w:hint="eastAsia"/>
                      <w:lang w:val="en-US" w:eastAsia="zh-CN"/>
                    </w:rPr>
                  </w:pPr>
                  <w:r>
                    <w:rPr>
                      <w:rFonts w:hint="eastAsia"/>
                      <w:lang w:val="en-US" w:eastAsia="zh-CN"/>
                    </w:rPr>
                    <w:t>/</w:t>
                  </w:r>
                </w:p>
              </w:tc>
              <w:tc>
                <w:tcPr>
                  <w:tcW w:w="1091" w:type="dxa"/>
                  <w:vAlign w:val="center"/>
                </w:tcPr>
                <w:p>
                  <w:pPr>
                    <w:pStyle w:val="19"/>
                    <w:bidi w:val="0"/>
                    <w:rPr>
                      <w:rFonts w:hint="eastAsia"/>
                      <w:lang w:val="en-US" w:eastAsia="zh-CN"/>
                    </w:rPr>
                  </w:pPr>
                  <w:r>
                    <w:rPr>
                      <w:rFonts w:hint="eastAsia"/>
                      <w:lang w:val="en-US" w:eastAsia="zh-CN"/>
                    </w:rPr>
                    <w:t>若干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dxa"/>
                  <w:vAlign w:val="center"/>
                </w:tcPr>
                <w:p>
                  <w:pPr>
                    <w:pStyle w:val="19"/>
                    <w:bidi w:val="0"/>
                    <w:rPr>
                      <w:rFonts w:hint="eastAsia"/>
                      <w:lang w:val="en-US" w:eastAsia="zh-CN"/>
                    </w:rPr>
                  </w:pPr>
                  <w:r>
                    <w:rPr>
                      <w:rFonts w:hint="eastAsia"/>
                      <w:lang w:val="en-US" w:eastAsia="zh-CN"/>
                    </w:rPr>
                    <w:t>12</w:t>
                  </w:r>
                </w:p>
              </w:tc>
              <w:tc>
                <w:tcPr>
                  <w:tcW w:w="3360" w:type="dxa"/>
                  <w:vAlign w:val="center"/>
                </w:tcPr>
                <w:p>
                  <w:pPr>
                    <w:pStyle w:val="19"/>
                    <w:bidi w:val="0"/>
                    <w:rPr>
                      <w:rFonts w:hint="eastAsia"/>
                      <w:lang w:eastAsia="zh-CN"/>
                    </w:rPr>
                  </w:pPr>
                  <w:r>
                    <w:rPr>
                      <w:rFonts w:hint="eastAsia"/>
                      <w:lang w:val="en-US" w:eastAsia="zh-CN"/>
                    </w:rPr>
                    <w:t>疾驰竞赛大水环滑道</w:t>
                  </w:r>
                </w:p>
              </w:tc>
              <w:tc>
                <w:tcPr>
                  <w:tcW w:w="1785" w:type="dxa"/>
                  <w:vAlign w:val="center"/>
                </w:tcPr>
                <w:p>
                  <w:pPr>
                    <w:pStyle w:val="19"/>
                    <w:bidi w:val="0"/>
                    <w:rPr>
                      <w:rFonts w:hint="eastAsia"/>
                      <w:lang w:val="en-US" w:eastAsia="zh-CN"/>
                    </w:rPr>
                  </w:pPr>
                  <w:r>
                    <w:rPr>
                      <w:rFonts w:hint="eastAsia"/>
                      <w:lang w:val="en-US" w:eastAsia="zh-CN"/>
                    </w:rPr>
                    <w:t>6道</w:t>
                  </w:r>
                </w:p>
              </w:tc>
              <w:tc>
                <w:tcPr>
                  <w:tcW w:w="1650" w:type="dxa"/>
                  <w:vAlign w:val="center"/>
                </w:tcPr>
                <w:p>
                  <w:pPr>
                    <w:pStyle w:val="19"/>
                    <w:bidi w:val="0"/>
                    <w:rPr>
                      <w:rFonts w:hint="eastAsia"/>
                      <w:lang w:val="en-US" w:eastAsia="zh-CN"/>
                    </w:rPr>
                  </w:pPr>
                  <w:r>
                    <w:rPr>
                      <w:rFonts w:hint="eastAsia"/>
                    </w:rPr>
                    <w:t>套</w:t>
                  </w:r>
                </w:p>
              </w:tc>
              <w:tc>
                <w:tcPr>
                  <w:tcW w:w="1091" w:type="dxa"/>
                  <w:vAlign w:val="center"/>
                </w:tcPr>
                <w:p>
                  <w:pPr>
                    <w:pStyle w:val="19"/>
                    <w:bidi w:val="0"/>
                    <w:rPr>
                      <w:rFonts w:hint="eastAsia"/>
                      <w:lang w:val="en-US" w:eastAsia="zh-CN"/>
                    </w:rPr>
                  </w:pPr>
                  <w:r>
                    <w:rPr>
                      <w:rFonts w:hint="eastAsia"/>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dxa"/>
                  <w:vAlign w:val="center"/>
                </w:tcPr>
                <w:p>
                  <w:pPr>
                    <w:pStyle w:val="19"/>
                    <w:bidi w:val="0"/>
                    <w:rPr>
                      <w:rFonts w:hint="eastAsia"/>
                      <w:lang w:val="en-US" w:eastAsia="zh-CN"/>
                    </w:rPr>
                  </w:pPr>
                  <w:r>
                    <w:rPr>
                      <w:rFonts w:hint="eastAsia"/>
                      <w:lang w:val="en-US" w:eastAsia="zh-CN"/>
                    </w:rPr>
                    <w:t>13</w:t>
                  </w:r>
                </w:p>
              </w:tc>
              <w:tc>
                <w:tcPr>
                  <w:tcW w:w="3360" w:type="dxa"/>
                  <w:vAlign w:val="center"/>
                </w:tcPr>
                <w:p>
                  <w:pPr>
                    <w:pStyle w:val="19"/>
                    <w:bidi w:val="0"/>
                    <w:rPr>
                      <w:rFonts w:hint="eastAsia"/>
                      <w:lang w:eastAsia="zh-CN"/>
                    </w:rPr>
                  </w:pPr>
                  <w:r>
                    <w:rPr>
                      <w:rFonts w:hint="eastAsia"/>
                      <w:lang w:eastAsia="zh-CN"/>
                    </w:rPr>
                    <w:t>网红组合休闲泡池</w:t>
                  </w:r>
                </w:p>
              </w:tc>
              <w:tc>
                <w:tcPr>
                  <w:tcW w:w="1785" w:type="dxa"/>
                  <w:vAlign w:val="center"/>
                </w:tcPr>
                <w:p>
                  <w:pPr>
                    <w:pStyle w:val="19"/>
                    <w:bidi w:val="0"/>
                    <w:rPr>
                      <w:rFonts w:hint="eastAsia"/>
                      <w:lang w:val="en-US" w:eastAsia="zh-CN"/>
                    </w:rPr>
                  </w:pPr>
                  <w:r>
                    <w:rPr>
                      <w:rFonts w:hint="eastAsia"/>
                      <w:lang w:val="en-US" w:eastAsia="zh-CN"/>
                    </w:rPr>
                    <w:t>/</w:t>
                  </w:r>
                </w:p>
              </w:tc>
              <w:tc>
                <w:tcPr>
                  <w:tcW w:w="1650" w:type="dxa"/>
                  <w:vAlign w:val="center"/>
                </w:tcPr>
                <w:p>
                  <w:pPr>
                    <w:pStyle w:val="19"/>
                    <w:bidi w:val="0"/>
                    <w:rPr>
                      <w:rFonts w:hint="eastAsia"/>
                      <w:lang w:val="en-US" w:eastAsia="zh-CN"/>
                    </w:rPr>
                  </w:pPr>
                  <w:r>
                    <w:rPr>
                      <w:rFonts w:hint="eastAsia"/>
                      <w:lang w:val="en-US" w:eastAsia="zh-CN"/>
                    </w:rPr>
                    <w:t>/</w:t>
                  </w:r>
                </w:p>
              </w:tc>
              <w:tc>
                <w:tcPr>
                  <w:tcW w:w="1091" w:type="dxa"/>
                  <w:vAlign w:val="center"/>
                </w:tcPr>
                <w:p>
                  <w:pPr>
                    <w:pStyle w:val="19"/>
                    <w:bidi w:val="0"/>
                    <w:rPr>
                      <w:rFonts w:hint="eastAsia"/>
                      <w:lang w:val="en-US" w:eastAsia="zh-CN"/>
                    </w:rPr>
                  </w:pPr>
                  <w:r>
                    <w:rPr>
                      <w:rFonts w:hint="eastAsia"/>
                      <w:lang w:val="en-US" w:eastAsia="zh-CN"/>
                    </w:rPr>
                    <w:t>若干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dxa"/>
                  <w:vAlign w:val="center"/>
                </w:tcPr>
                <w:p>
                  <w:pPr>
                    <w:pStyle w:val="19"/>
                    <w:bidi w:val="0"/>
                    <w:rPr>
                      <w:rFonts w:hint="eastAsia"/>
                      <w:lang w:val="en-US" w:eastAsia="zh-CN"/>
                    </w:rPr>
                  </w:pPr>
                  <w:r>
                    <w:rPr>
                      <w:rFonts w:hint="eastAsia"/>
                      <w:lang w:val="en-US" w:eastAsia="zh-CN"/>
                    </w:rPr>
                    <w:t>14</w:t>
                  </w:r>
                </w:p>
              </w:tc>
              <w:tc>
                <w:tcPr>
                  <w:tcW w:w="3360" w:type="dxa"/>
                  <w:vAlign w:val="center"/>
                </w:tcPr>
                <w:p>
                  <w:pPr>
                    <w:pStyle w:val="19"/>
                    <w:bidi w:val="0"/>
                    <w:rPr>
                      <w:rFonts w:hint="eastAsia"/>
                      <w:lang w:eastAsia="zh-CN"/>
                    </w:rPr>
                  </w:pPr>
                  <w:r>
                    <w:rPr>
                      <w:rFonts w:hint="eastAsia"/>
                    </w:rPr>
                    <w:t>水泵</w:t>
                  </w:r>
                </w:p>
              </w:tc>
              <w:tc>
                <w:tcPr>
                  <w:tcW w:w="1785" w:type="dxa"/>
                  <w:vAlign w:val="center"/>
                </w:tcPr>
                <w:p>
                  <w:pPr>
                    <w:pStyle w:val="19"/>
                    <w:bidi w:val="0"/>
                    <w:rPr>
                      <w:rFonts w:hint="eastAsia"/>
                      <w:lang w:val="en-US" w:eastAsia="zh-CN"/>
                    </w:rPr>
                  </w:pPr>
                  <w:r>
                    <w:rPr>
                      <w:rFonts w:hint="eastAsia"/>
                      <w:lang w:val="en-US" w:eastAsia="zh-CN"/>
                    </w:rPr>
                    <w:t>/</w:t>
                  </w:r>
                </w:p>
              </w:tc>
              <w:tc>
                <w:tcPr>
                  <w:tcW w:w="1650" w:type="dxa"/>
                  <w:vAlign w:val="center"/>
                </w:tcPr>
                <w:p>
                  <w:pPr>
                    <w:pStyle w:val="19"/>
                    <w:bidi w:val="0"/>
                    <w:rPr>
                      <w:rFonts w:hint="eastAsia"/>
                      <w:lang w:val="en-US" w:eastAsia="zh-CN"/>
                    </w:rPr>
                  </w:pPr>
                  <w:r>
                    <w:rPr>
                      <w:rFonts w:hint="eastAsia"/>
                    </w:rPr>
                    <w:t>套</w:t>
                  </w:r>
                </w:p>
              </w:tc>
              <w:tc>
                <w:tcPr>
                  <w:tcW w:w="1091" w:type="dxa"/>
                  <w:vAlign w:val="center"/>
                </w:tcPr>
                <w:p>
                  <w:pPr>
                    <w:pStyle w:val="19"/>
                    <w:bidi w:val="0"/>
                    <w:rPr>
                      <w:rFonts w:hint="eastAsia"/>
                      <w:lang w:val="en-US" w:eastAsia="zh-CN"/>
                    </w:rPr>
                  </w:pPr>
                  <w:r>
                    <w:rPr>
                      <w:rFonts w:hint="eastAsia"/>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dxa"/>
                  <w:vAlign w:val="center"/>
                </w:tcPr>
                <w:p>
                  <w:pPr>
                    <w:pStyle w:val="19"/>
                    <w:bidi w:val="0"/>
                    <w:rPr>
                      <w:rFonts w:hint="eastAsia"/>
                      <w:lang w:val="en-US" w:eastAsia="zh-CN"/>
                    </w:rPr>
                  </w:pPr>
                  <w:r>
                    <w:rPr>
                      <w:rFonts w:hint="eastAsia"/>
                      <w:lang w:val="en-US" w:eastAsia="zh-CN"/>
                    </w:rPr>
                    <w:t>15</w:t>
                  </w:r>
                </w:p>
              </w:tc>
              <w:tc>
                <w:tcPr>
                  <w:tcW w:w="3360" w:type="dxa"/>
                  <w:vAlign w:val="center"/>
                </w:tcPr>
                <w:p>
                  <w:pPr>
                    <w:pStyle w:val="19"/>
                    <w:bidi w:val="0"/>
                    <w:rPr>
                      <w:rFonts w:hint="eastAsia"/>
                      <w:lang w:eastAsia="zh-CN"/>
                    </w:rPr>
                  </w:pPr>
                  <w:r>
                    <w:rPr>
                      <w:rFonts w:hint="eastAsia"/>
                    </w:rPr>
                    <w:t>消毒制药泵</w:t>
                  </w:r>
                </w:p>
              </w:tc>
              <w:tc>
                <w:tcPr>
                  <w:tcW w:w="1785" w:type="dxa"/>
                  <w:vAlign w:val="center"/>
                </w:tcPr>
                <w:p>
                  <w:pPr>
                    <w:pStyle w:val="19"/>
                    <w:bidi w:val="0"/>
                    <w:rPr>
                      <w:rFonts w:hint="eastAsia"/>
                      <w:lang w:val="en-US" w:eastAsia="zh-CN"/>
                    </w:rPr>
                  </w:pPr>
                  <w:r>
                    <w:rPr>
                      <w:rFonts w:hint="eastAsia"/>
                      <w:lang w:val="en-US" w:eastAsia="zh-CN"/>
                    </w:rPr>
                    <w:t>/</w:t>
                  </w:r>
                </w:p>
              </w:tc>
              <w:tc>
                <w:tcPr>
                  <w:tcW w:w="1650" w:type="dxa"/>
                  <w:vAlign w:val="center"/>
                </w:tcPr>
                <w:p>
                  <w:pPr>
                    <w:pStyle w:val="19"/>
                    <w:bidi w:val="0"/>
                    <w:rPr>
                      <w:rFonts w:hint="eastAsia"/>
                      <w:lang w:val="en-US" w:eastAsia="zh-CN"/>
                    </w:rPr>
                  </w:pPr>
                  <w:r>
                    <w:rPr>
                      <w:rFonts w:hint="eastAsia"/>
                    </w:rPr>
                    <w:t>套</w:t>
                  </w:r>
                </w:p>
              </w:tc>
              <w:tc>
                <w:tcPr>
                  <w:tcW w:w="1091" w:type="dxa"/>
                  <w:vAlign w:val="center"/>
                </w:tcPr>
                <w:p>
                  <w:pPr>
                    <w:pStyle w:val="19"/>
                    <w:bidi w:val="0"/>
                    <w:rPr>
                      <w:rFonts w:hint="eastAsia"/>
                      <w:lang w:val="en-US" w:eastAsia="zh-CN"/>
                    </w:rPr>
                  </w:pPr>
                  <w:r>
                    <w:rPr>
                      <w:rFonts w:hint="eastAsia"/>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dxa"/>
                  <w:vAlign w:val="center"/>
                </w:tcPr>
                <w:p>
                  <w:pPr>
                    <w:pStyle w:val="19"/>
                    <w:bidi w:val="0"/>
                    <w:rPr>
                      <w:rFonts w:hint="eastAsia"/>
                      <w:lang w:val="en-US" w:eastAsia="zh-CN"/>
                    </w:rPr>
                  </w:pPr>
                  <w:r>
                    <w:rPr>
                      <w:rFonts w:hint="eastAsia"/>
                      <w:lang w:val="en-US" w:eastAsia="zh-CN"/>
                    </w:rPr>
                    <w:t>16</w:t>
                  </w:r>
                </w:p>
              </w:tc>
              <w:tc>
                <w:tcPr>
                  <w:tcW w:w="3360" w:type="dxa"/>
                  <w:vAlign w:val="center"/>
                </w:tcPr>
                <w:p>
                  <w:pPr>
                    <w:pStyle w:val="19"/>
                    <w:bidi w:val="0"/>
                    <w:rPr>
                      <w:rFonts w:hint="eastAsia"/>
                      <w:lang w:eastAsia="zh-CN"/>
                    </w:rPr>
                  </w:pPr>
                  <w:r>
                    <w:rPr>
                      <w:rFonts w:hint="eastAsia"/>
                    </w:rPr>
                    <w:t>喷水设施</w:t>
                  </w:r>
                </w:p>
              </w:tc>
              <w:tc>
                <w:tcPr>
                  <w:tcW w:w="1785" w:type="dxa"/>
                  <w:vAlign w:val="center"/>
                </w:tcPr>
                <w:p>
                  <w:pPr>
                    <w:pStyle w:val="19"/>
                    <w:bidi w:val="0"/>
                    <w:rPr>
                      <w:rFonts w:hint="eastAsia"/>
                      <w:lang w:val="en-US" w:eastAsia="zh-CN"/>
                    </w:rPr>
                  </w:pPr>
                  <w:r>
                    <w:rPr>
                      <w:rFonts w:hint="eastAsia"/>
                      <w:lang w:val="en-US" w:eastAsia="zh-CN"/>
                    </w:rPr>
                    <w:t>/</w:t>
                  </w:r>
                </w:p>
              </w:tc>
              <w:tc>
                <w:tcPr>
                  <w:tcW w:w="1650" w:type="dxa"/>
                  <w:vAlign w:val="center"/>
                </w:tcPr>
                <w:p>
                  <w:pPr>
                    <w:pStyle w:val="19"/>
                    <w:bidi w:val="0"/>
                    <w:rPr>
                      <w:rFonts w:hint="eastAsia"/>
                      <w:lang w:val="en-US" w:eastAsia="zh-CN"/>
                    </w:rPr>
                  </w:pPr>
                  <w:r>
                    <w:rPr>
                      <w:rFonts w:hint="eastAsia"/>
                      <w:lang w:val="en-US" w:eastAsia="zh-CN"/>
                    </w:rPr>
                    <w:t>/</w:t>
                  </w:r>
                </w:p>
              </w:tc>
              <w:tc>
                <w:tcPr>
                  <w:tcW w:w="1091" w:type="dxa"/>
                  <w:vAlign w:val="center"/>
                </w:tcPr>
                <w:p>
                  <w:pPr>
                    <w:pStyle w:val="19"/>
                    <w:bidi w:val="0"/>
                    <w:rPr>
                      <w:rFonts w:hint="eastAsia"/>
                      <w:lang w:val="en-US" w:eastAsia="zh-CN"/>
                    </w:rPr>
                  </w:pPr>
                  <w:r>
                    <w:rPr>
                      <w:rFonts w:hint="eastAsia"/>
                    </w:rPr>
                    <w:t>若干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dxa"/>
                  <w:vAlign w:val="center"/>
                </w:tcPr>
                <w:p>
                  <w:pPr>
                    <w:pStyle w:val="19"/>
                    <w:bidi w:val="0"/>
                    <w:rPr>
                      <w:rFonts w:hint="eastAsia"/>
                      <w:lang w:val="en-US" w:eastAsia="zh-CN"/>
                    </w:rPr>
                  </w:pPr>
                  <w:r>
                    <w:rPr>
                      <w:rFonts w:hint="eastAsia"/>
                      <w:lang w:val="en-US" w:eastAsia="zh-CN"/>
                    </w:rPr>
                    <w:t>17</w:t>
                  </w:r>
                </w:p>
              </w:tc>
              <w:tc>
                <w:tcPr>
                  <w:tcW w:w="3360" w:type="dxa"/>
                  <w:vAlign w:val="center"/>
                </w:tcPr>
                <w:p>
                  <w:pPr>
                    <w:pStyle w:val="19"/>
                    <w:bidi w:val="0"/>
                    <w:rPr>
                      <w:rFonts w:hint="eastAsia"/>
                      <w:lang w:eastAsia="zh-CN"/>
                    </w:rPr>
                  </w:pPr>
                  <w:r>
                    <w:rPr>
                      <w:rFonts w:hint="eastAsia"/>
                    </w:rPr>
                    <w:t>空压机</w:t>
                  </w:r>
                </w:p>
              </w:tc>
              <w:tc>
                <w:tcPr>
                  <w:tcW w:w="1785" w:type="dxa"/>
                  <w:vAlign w:val="center"/>
                </w:tcPr>
                <w:p>
                  <w:pPr>
                    <w:pStyle w:val="19"/>
                    <w:bidi w:val="0"/>
                    <w:rPr>
                      <w:rFonts w:hint="eastAsia"/>
                      <w:lang w:val="en-US" w:eastAsia="zh-CN"/>
                    </w:rPr>
                  </w:pPr>
                  <w:r>
                    <w:rPr>
                      <w:rFonts w:hint="eastAsia"/>
                      <w:lang w:val="en-US" w:eastAsia="zh-CN"/>
                    </w:rPr>
                    <w:t>/</w:t>
                  </w:r>
                </w:p>
              </w:tc>
              <w:tc>
                <w:tcPr>
                  <w:tcW w:w="1650" w:type="dxa"/>
                  <w:vAlign w:val="center"/>
                </w:tcPr>
                <w:p>
                  <w:pPr>
                    <w:pStyle w:val="19"/>
                    <w:bidi w:val="0"/>
                    <w:rPr>
                      <w:rFonts w:hint="eastAsia"/>
                      <w:lang w:val="en-US" w:eastAsia="zh-CN"/>
                    </w:rPr>
                  </w:pPr>
                  <w:r>
                    <w:rPr>
                      <w:rFonts w:hint="eastAsia"/>
                    </w:rPr>
                    <w:t>套</w:t>
                  </w:r>
                </w:p>
              </w:tc>
              <w:tc>
                <w:tcPr>
                  <w:tcW w:w="1091" w:type="dxa"/>
                  <w:vAlign w:val="center"/>
                </w:tcPr>
                <w:p>
                  <w:pPr>
                    <w:pStyle w:val="19"/>
                    <w:bidi w:val="0"/>
                    <w:rPr>
                      <w:rFonts w:hint="eastAsia"/>
                      <w:lang w:val="en-US" w:eastAsia="zh-CN"/>
                    </w:rPr>
                  </w:pPr>
                  <w:r>
                    <w:rPr>
                      <w:rFonts w:hint="eastAsia"/>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dxa"/>
                  <w:vAlign w:val="center"/>
                </w:tcPr>
                <w:p>
                  <w:pPr>
                    <w:pStyle w:val="19"/>
                    <w:bidi w:val="0"/>
                    <w:rPr>
                      <w:rFonts w:hint="eastAsia"/>
                      <w:lang w:val="en-US" w:eastAsia="zh-CN"/>
                    </w:rPr>
                  </w:pPr>
                  <w:r>
                    <w:rPr>
                      <w:rFonts w:hint="eastAsia"/>
                      <w:lang w:val="en-US" w:eastAsia="zh-CN"/>
                    </w:rPr>
                    <w:t>18</w:t>
                  </w:r>
                </w:p>
              </w:tc>
              <w:tc>
                <w:tcPr>
                  <w:tcW w:w="3360" w:type="dxa"/>
                  <w:vAlign w:val="center"/>
                </w:tcPr>
                <w:p>
                  <w:pPr>
                    <w:pStyle w:val="19"/>
                    <w:bidi w:val="0"/>
                    <w:rPr>
                      <w:rFonts w:hint="eastAsia"/>
                      <w:lang w:eastAsia="zh-CN"/>
                    </w:rPr>
                  </w:pPr>
                  <w:r>
                    <w:rPr>
                      <w:rFonts w:hint="eastAsia"/>
                    </w:rPr>
                    <w:t>备用发电机</w:t>
                  </w:r>
                </w:p>
              </w:tc>
              <w:tc>
                <w:tcPr>
                  <w:tcW w:w="1785" w:type="dxa"/>
                  <w:vAlign w:val="center"/>
                </w:tcPr>
                <w:p>
                  <w:pPr>
                    <w:pStyle w:val="19"/>
                    <w:bidi w:val="0"/>
                    <w:rPr>
                      <w:rFonts w:hint="eastAsia"/>
                      <w:lang w:val="en-US" w:eastAsia="zh-CN"/>
                    </w:rPr>
                  </w:pPr>
                  <w:r>
                    <w:rPr>
                      <w:rFonts w:hint="eastAsia"/>
                      <w:lang w:val="en-US" w:eastAsia="zh-CN"/>
                    </w:rPr>
                    <w:t>/</w:t>
                  </w:r>
                </w:p>
              </w:tc>
              <w:tc>
                <w:tcPr>
                  <w:tcW w:w="1650" w:type="dxa"/>
                  <w:vAlign w:val="center"/>
                </w:tcPr>
                <w:p>
                  <w:pPr>
                    <w:pStyle w:val="19"/>
                    <w:bidi w:val="0"/>
                    <w:rPr>
                      <w:rFonts w:hint="eastAsia"/>
                      <w:lang w:val="en-US" w:eastAsia="zh-CN"/>
                    </w:rPr>
                  </w:pPr>
                  <w:r>
                    <w:rPr>
                      <w:rFonts w:hint="eastAsia"/>
                    </w:rPr>
                    <w:t>套</w:t>
                  </w:r>
                </w:p>
              </w:tc>
              <w:tc>
                <w:tcPr>
                  <w:tcW w:w="1091" w:type="dxa"/>
                  <w:vAlign w:val="center"/>
                </w:tcPr>
                <w:p>
                  <w:pPr>
                    <w:pStyle w:val="19"/>
                    <w:bidi w:val="0"/>
                    <w:rPr>
                      <w:rFonts w:hint="eastAsia"/>
                      <w:lang w:val="en-US" w:eastAsia="zh-CN"/>
                    </w:rPr>
                  </w:pPr>
                  <w:r>
                    <w:rPr>
                      <w:rFonts w:hint="eastAsia"/>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dxa"/>
                  <w:vAlign w:val="center"/>
                </w:tcPr>
                <w:p>
                  <w:pPr>
                    <w:pStyle w:val="19"/>
                    <w:bidi w:val="0"/>
                    <w:rPr>
                      <w:rFonts w:hint="default"/>
                      <w:color w:val="auto"/>
                      <w:lang w:val="en-US" w:eastAsia="zh-CN"/>
                    </w:rPr>
                  </w:pPr>
                  <w:r>
                    <w:rPr>
                      <w:rFonts w:hint="eastAsia"/>
                      <w:color w:val="auto"/>
                      <w:lang w:val="en-US" w:eastAsia="zh-CN"/>
                    </w:rPr>
                    <w:t>19</w:t>
                  </w:r>
                </w:p>
              </w:tc>
              <w:tc>
                <w:tcPr>
                  <w:tcW w:w="3360" w:type="dxa"/>
                  <w:vAlign w:val="center"/>
                </w:tcPr>
                <w:p>
                  <w:pPr>
                    <w:pStyle w:val="19"/>
                    <w:bidi w:val="0"/>
                    <w:rPr>
                      <w:rFonts w:hint="eastAsia"/>
                      <w:color w:val="auto"/>
                      <w:shd w:val="clear" w:color="auto" w:fill="auto"/>
                    </w:rPr>
                  </w:pPr>
                  <w:r>
                    <w:rPr>
                      <w:rFonts w:hint="eastAsia"/>
                      <w:color w:val="auto"/>
                      <w:u w:val="none"/>
                      <w:shd w:val="clear" w:color="auto" w:fill="auto"/>
                      <w:lang w:val="en-US" w:eastAsia="zh-CN"/>
                    </w:rPr>
                    <w:t>珍珠岩过滤系统</w:t>
                  </w:r>
                </w:p>
              </w:tc>
              <w:tc>
                <w:tcPr>
                  <w:tcW w:w="1785" w:type="dxa"/>
                  <w:vAlign w:val="center"/>
                </w:tcPr>
                <w:p>
                  <w:pPr>
                    <w:pStyle w:val="19"/>
                    <w:bidi w:val="0"/>
                    <w:rPr>
                      <w:rFonts w:hint="default"/>
                      <w:color w:val="auto"/>
                      <w:shd w:val="clear" w:color="auto" w:fill="auto"/>
                      <w:lang w:val="en-US" w:eastAsia="zh-CN"/>
                    </w:rPr>
                  </w:pPr>
                  <w:r>
                    <w:rPr>
                      <w:rFonts w:hint="eastAsia"/>
                      <w:color w:val="auto"/>
                      <w:shd w:val="clear" w:color="auto" w:fill="auto"/>
                      <w:lang w:val="en-US" w:eastAsia="zh-CN"/>
                    </w:rPr>
                    <w:t>/</w:t>
                  </w:r>
                </w:p>
              </w:tc>
              <w:tc>
                <w:tcPr>
                  <w:tcW w:w="1650" w:type="dxa"/>
                  <w:vAlign w:val="center"/>
                </w:tcPr>
                <w:p>
                  <w:pPr>
                    <w:pStyle w:val="19"/>
                    <w:bidi w:val="0"/>
                    <w:rPr>
                      <w:rFonts w:hint="eastAsia" w:eastAsia="宋体"/>
                      <w:color w:val="auto"/>
                      <w:shd w:val="clear" w:color="auto" w:fill="auto"/>
                      <w:lang w:val="en-US" w:eastAsia="zh-CN"/>
                    </w:rPr>
                  </w:pPr>
                  <w:r>
                    <w:rPr>
                      <w:rFonts w:hint="eastAsia"/>
                      <w:color w:val="auto"/>
                      <w:shd w:val="clear" w:color="auto" w:fill="auto"/>
                      <w:lang w:val="en-US" w:eastAsia="zh-CN"/>
                    </w:rPr>
                    <w:t>套</w:t>
                  </w:r>
                </w:p>
              </w:tc>
              <w:tc>
                <w:tcPr>
                  <w:tcW w:w="1091" w:type="dxa"/>
                  <w:vAlign w:val="center"/>
                </w:tcPr>
                <w:p>
                  <w:pPr>
                    <w:pStyle w:val="19"/>
                    <w:bidi w:val="0"/>
                    <w:rPr>
                      <w:rFonts w:hint="default"/>
                      <w:color w:val="auto"/>
                      <w:shd w:val="clear" w:color="auto" w:fill="auto"/>
                      <w:lang w:val="en-US" w:eastAsia="zh-CN"/>
                    </w:rPr>
                  </w:pPr>
                  <w:r>
                    <w:rPr>
                      <w:rFonts w:hint="eastAsia"/>
                      <w:color w:val="auto"/>
                      <w:shd w:val="clear" w:color="auto" w:fill="auto"/>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dxa"/>
                  <w:vAlign w:val="center"/>
                </w:tcPr>
                <w:p>
                  <w:pPr>
                    <w:pStyle w:val="19"/>
                    <w:bidi w:val="0"/>
                    <w:rPr>
                      <w:rFonts w:hint="default"/>
                      <w:color w:val="auto"/>
                      <w:lang w:val="en-US" w:eastAsia="zh-CN"/>
                    </w:rPr>
                  </w:pPr>
                  <w:r>
                    <w:rPr>
                      <w:rFonts w:hint="eastAsia"/>
                      <w:color w:val="auto"/>
                      <w:lang w:val="en-US" w:eastAsia="zh-CN"/>
                    </w:rPr>
                    <w:t>20</w:t>
                  </w:r>
                </w:p>
              </w:tc>
              <w:tc>
                <w:tcPr>
                  <w:tcW w:w="3360" w:type="dxa"/>
                  <w:vAlign w:val="center"/>
                </w:tcPr>
                <w:p>
                  <w:pPr>
                    <w:pStyle w:val="19"/>
                    <w:bidi w:val="0"/>
                    <w:rPr>
                      <w:rFonts w:hint="default"/>
                      <w:color w:val="auto"/>
                      <w:u w:val="none"/>
                      <w:lang w:val="en-US" w:eastAsia="zh-CN"/>
                    </w:rPr>
                  </w:pPr>
                  <w:r>
                    <w:rPr>
                      <w:rFonts w:hint="eastAsia"/>
                      <w:color w:val="auto"/>
                      <w:u w:val="none"/>
                      <w:lang w:val="en-US" w:eastAsia="zh-CN"/>
                    </w:rPr>
                    <w:t>石英砂过滤器</w:t>
                  </w:r>
                </w:p>
              </w:tc>
              <w:tc>
                <w:tcPr>
                  <w:tcW w:w="1785" w:type="dxa"/>
                  <w:vAlign w:val="center"/>
                </w:tcPr>
                <w:p>
                  <w:pPr>
                    <w:pStyle w:val="19"/>
                    <w:bidi w:val="0"/>
                    <w:rPr>
                      <w:rFonts w:hint="default"/>
                      <w:color w:val="auto"/>
                      <w:lang w:val="en-US" w:eastAsia="zh-CN"/>
                    </w:rPr>
                  </w:pPr>
                  <w:r>
                    <w:rPr>
                      <w:rFonts w:hint="eastAsia"/>
                      <w:color w:val="auto"/>
                      <w:lang w:val="en-US" w:eastAsia="zh-CN"/>
                    </w:rPr>
                    <w:t>/</w:t>
                  </w:r>
                </w:p>
              </w:tc>
              <w:tc>
                <w:tcPr>
                  <w:tcW w:w="1650" w:type="dxa"/>
                  <w:vAlign w:val="center"/>
                </w:tcPr>
                <w:p>
                  <w:pPr>
                    <w:pStyle w:val="19"/>
                    <w:bidi w:val="0"/>
                    <w:rPr>
                      <w:rFonts w:hint="default"/>
                      <w:color w:val="auto"/>
                      <w:lang w:val="en-US" w:eastAsia="zh-CN"/>
                    </w:rPr>
                  </w:pPr>
                  <w:r>
                    <w:rPr>
                      <w:rFonts w:hint="eastAsia"/>
                      <w:color w:val="auto"/>
                      <w:lang w:val="en-US" w:eastAsia="zh-CN"/>
                    </w:rPr>
                    <w:t>台</w:t>
                  </w:r>
                </w:p>
              </w:tc>
              <w:tc>
                <w:tcPr>
                  <w:tcW w:w="1091" w:type="dxa"/>
                  <w:vAlign w:val="center"/>
                </w:tcPr>
                <w:p>
                  <w:pPr>
                    <w:pStyle w:val="19"/>
                    <w:bidi w:val="0"/>
                    <w:rPr>
                      <w:rFonts w:hint="default"/>
                      <w:color w:val="auto"/>
                      <w:lang w:val="en-US" w:eastAsia="zh-CN"/>
                    </w:rPr>
                  </w:pPr>
                  <w:r>
                    <w:rPr>
                      <w:rFonts w:hint="eastAsia"/>
                      <w:color w:val="auto"/>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dxa"/>
                  <w:vAlign w:val="center"/>
                </w:tcPr>
                <w:p>
                  <w:pPr>
                    <w:pStyle w:val="19"/>
                    <w:bidi w:val="0"/>
                    <w:rPr>
                      <w:rFonts w:hint="default"/>
                      <w:color w:val="auto"/>
                      <w:lang w:val="en-US" w:eastAsia="zh-CN"/>
                    </w:rPr>
                  </w:pPr>
                  <w:r>
                    <w:rPr>
                      <w:rFonts w:hint="eastAsia"/>
                      <w:color w:val="auto"/>
                      <w:lang w:val="en-US" w:eastAsia="zh-CN"/>
                    </w:rPr>
                    <w:t>21</w:t>
                  </w:r>
                </w:p>
              </w:tc>
              <w:tc>
                <w:tcPr>
                  <w:tcW w:w="3360" w:type="dxa"/>
                  <w:vAlign w:val="center"/>
                </w:tcPr>
                <w:p>
                  <w:pPr>
                    <w:pStyle w:val="19"/>
                    <w:bidi w:val="0"/>
                    <w:rPr>
                      <w:rFonts w:hint="default"/>
                      <w:color w:val="auto"/>
                      <w:u w:val="none"/>
                      <w:lang w:val="en-US" w:eastAsia="zh-CN"/>
                    </w:rPr>
                  </w:pPr>
                  <w:r>
                    <w:rPr>
                      <w:rFonts w:hint="eastAsia"/>
                      <w:color w:val="auto"/>
                      <w:u w:val="none"/>
                      <w:lang w:val="en-US" w:eastAsia="zh-CN"/>
                    </w:rPr>
                    <w:t>单级压缩喷油螺杆空气压缩机</w:t>
                  </w:r>
                </w:p>
              </w:tc>
              <w:tc>
                <w:tcPr>
                  <w:tcW w:w="1785" w:type="dxa"/>
                  <w:vAlign w:val="center"/>
                </w:tcPr>
                <w:p>
                  <w:pPr>
                    <w:pStyle w:val="19"/>
                    <w:bidi w:val="0"/>
                    <w:rPr>
                      <w:rFonts w:hint="default"/>
                      <w:color w:val="auto"/>
                      <w:lang w:val="en-US" w:eastAsia="zh-CN"/>
                    </w:rPr>
                  </w:pPr>
                  <w:r>
                    <w:rPr>
                      <w:rFonts w:hint="eastAsia"/>
                      <w:color w:val="auto"/>
                      <w:lang w:val="en-US" w:eastAsia="zh-CN"/>
                    </w:rPr>
                    <w:t>37kw</w:t>
                  </w:r>
                </w:p>
              </w:tc>
              <w:tc>
                <w:tcPr>
                  <w:tcW w:w="1650" w:type="dxa"/>
                  <w:vAlign w:val="center"/>
                </w:tcPr>
                <w:p>
                  <w:pPr>
                    <w:pStyle w:val="19"/>
                    <w:bidi w:val="0"/>
                    <w:rPr>
                      <w:rFonts w:hint="default"/>
                      <w:color w:val="auto"/>
                      <w:lang w:val="en-US" w:eastAsia="zh-CN"/>
                    </w:rPr>
                  </w:pPr>
                  <w:r>
                    <w:rPr>
                      <w:rFonts w:hint="eastAsia"/>
                      <w:color w:val="auto"/>
                      <w:lang w:val="en-US" w:eastAsia="zh-CN"/>
                    </w:rPr>
                    <w:t>台</w:t>
                  </w:r>
                </w:p>
              </w:tc>
              <w:tc>
                <w:tcPr>
                  <w:tcW w:w="1091" w:type="dxa"/>
                  <w:vAlign w:val="center"/>
                </w:tcPr>
                <w:p>
                  <w:pPr>
                    <w:pStyle w:val="19"/>
                    <w:bidi w:val="0"/>
                    <w:rPr>
                      <w:rFonts w:hint="default"/>
                      <w:color w:val="auto"/>
                      <w:lang w:val="en-US" w:eastAsia="zh-CN"/>
                    </w:rPr>
                  </w:pPr>
                  <w:r>
                    <w:rPr>
                      <w:rFonts w:hint="eastAsia"/>
                      <w:color w:val="auto"/>
                      <w:lang w:val="en-US" w:eastAsia="zh-CN"/>
                    </w:rPr>
                    <w:t>4</w:t>
                  </w:r>
                </w:p>
              </w:tc>
            </w:tr>
          </w:tbl>
          <w:p>
            <w:pPr>
              <w:pStyle w:val="8"/>
              <w:bidi w:val="0"/>
              <w:rPr>
                <w:rFonts w:hint="eastAsia"/>
                <w:color w:val="auto"/>
                <w:lang w:val="en-US" w:eastAsia="zh-CN"/>
              </w:rPr>
            </w:pPr>
            <w:r>
              <w:rPr>
                <w:rFonts w:hint="eastAsia"/>
                <w:color w:val="auto"/>
                <w:lang w:val="en-US" w:eastAsia="zh-CN"/>
              </w:rPr>
              <w:t>4、土石方平衡</w:t>
            </w:r>
          </w:p>
          <w:p>
            <w:pPr>
              <w:ind w:firstLine="480"/>
              <w:rPr>
                <w:rFonts w:hint="default"/>
                <w:color w:val="auto"/>
                <w:lang w:eastAsia="zh-CN"/>
              </w:rPr>
            </w:pPr>
            <w:r>
              <w:rPr>
                <w:rFonts w:hint="default"/>
                <w:color w:val="auto"/>
              </w:rPr>
              <w:t>项目建设过程中挖填方平衡，主要挖方来源于工程区</w:t>
            </w:r>
            <w:r>
              <w:rPr>
                <w:rFonts w:hint="default"/>
                <w:color w:val="auto"/>
                <w:lang w:eastAsia="zh-CN"/>
              </w:rPr>
              <w:t>表土剥离、软基清理、</w:t>
            </w:r>
            <w:r>
              <w:rPr>
                <w:rFonts w:hint="default"/>
                <w:color w:val="auto"/>
              </w:rPr>
              <w:t>管沟开挖、</w:t>
            </w:r>
            <w:r>
              <w:rPr>
                <w:rFonts w:hint="default"/>
                <w:color w:val="auto"/>
                <w:lang w:eastAsia="zh-CN"/>
              </w:rPr>
              <w:t>清基</w:t>
            </w:r>
            <w:r>
              <w:rPr>
                <w:rFonts w:hint="default"/>
                <w:color w:val="auto"/>
              </w:rPr>
              <w:t>和场内平整等，土方主要用于管沟回填、</w:t>
            </w:r>
            <w:r>
              <w:rPr>
                <w:rFonts w:hint="default"/>
                <w:color w:val="auto"/>
                <w:lang w:eastAsia="zh-CN"/>
              </w:rPr>
              <w:t>场平</w:t>
            </w:r>
            <w:r>
              <w:rPr>
                <w:rFonts w:hint="default"/>
                <w:color w:val="auto"/>
              </w:rPr>
              <w:t>回填和绿化区敷土。本项目开挖量</w:t>
            </w:r>
            <w:r>
              <w:rPr>
                <w:rFonts w:hint="default"/>
                <w:color w:val="auto"/>
                <w:lang w:val="en-US" w:eastAsia="zh-CN"/>
              </w:rPr>
              <w:t>9.2</w:t>
            </w:r>
            <w:r>
              <w:rPr>
                <w:rFonts w:hint="default"/>
                <w:color w:val="auto"/>
              </w:rPr>
              <w:t>万m</w:t>
            </w:r>
            <w:r>
              <w:rPr>
                <w:rFonts w:hint="default"/>
                <w:color w:val="auto"/>
                <w:vertAlign w:val="superscript"/>
              </w:rPr>
              <w:t>3</w:t>
            </w:r>
            <w:r>
              <w:rPr>
                <w:rFonts w:hint="default"/>
                <w:color w:val="auto"/>
              </w:rPr>
              <w:t>，回填量</w:t>
            </w:r>
            <w:r>
              <w:rPr>
                <w:rFonts w:hint="default"/>
                <w:color w:val="auto"/>
                <w:lang w:val="en-US" w:eastAsia="zh-CN"/>
              </w:rPr>
              <w:t>43.23</w:t>
            </w:r>
            <w:r>
              <w:rPr>
                <w:rFonts w:hint="default"/>
                <w:color w:val="auto"/>
              </w:rPr>
              <w:t>万m</w:t>
            </w:r>
            <w:r>
              <w:rPr>
                <w:rFonts w:hint="default"/>
                <w:color w:val="auto"/>
                <w:vertAlign w:val="superscript"/>
              </w:rPr>
              <w:t>3</w:t>
            </w:r>
            <w:r>
              <w:rPr>
                <w:rFonts w:hint="default"/>
                <w:color w:val="auto"/>
              </w:rPr>
              <w:t>，需</w:t>
            </w:r>
            <w:r>
              <w:rPr>
                <w:rFonts w:hint="default"/>
                <w:color w:val="auto"/>
                <w:lang w:eastAsia="zh-CN"/>
              </w:rPr>
              <w:t>借土</w:t>
            </w:r>
            <w:r>
              <w:rPr>
                <w:rFonts w:hint="default"/>
                <w:color w:val="auto"/>
                <w:lang w:val="en-US" w:eastAsia="zh-CN"/>
              </w:rPr>
              <w:t>35.38</w:t>
            </w:r>
            <w:r>
              <w:rPr>
                <w:rFonts w:hint="default"/>
                <w:color w:val="auto"/>
              </w:rPr>
              <w:t>万m</w:t>
            </w:r>
            <w:r>
              <w:rPr>
                <w:rFonts w:hint="default"/>
                <w:color w:val="auto"/>
                <w:vertAlign w:val="superscript"/>
              </w:rPr>
              <w:t>3</w:t>
            </w:r>
            <w:r>
              <w:rPr>
                <w:rFonts w:hint="default"/>
                <w:color w:val="auto"/>
              </w:rPr>
              <w:t>。</w:t>
            </w:r>
            <w:r>
              <w:rPr>
                <w:rFonts w:hint="default"/>
                <w:color w:val="auto"/>
                <w:lang w:eastAsia="zh-CN"/>
              </w:rPr>
              <w:t>借土来源于湖南华侨城公司建设项目华侨城衡阳市八中地块弃土，华侨城衡阳市八中项目距离本项目6.5km，位于衡阳市石鼓区合江街道五里牌（北二环南侧），该项目土石方开挖总量约42.5万m</w:t>
            </w:r>
            <w:r>
              <w:rPr>
                <w:rFonts w:hint="default"/>
                <w:color w:val="auto"/>
                <w:vertAlign w:val="superscript"/>
                <w:lang w:eastAsia="zh-CN"/>
              </w:rPr>
              <w:t>3</w:t>
            </w:r>
            <w:r>
              <w:rPr>
                <w:rFonts w:hint="default"/>
                <w:color w:val="auto"/>
                <w:lang w:eastAsia="zh-CN"/>
              </w:rPr>
              <w:t>，总回填量约7.1万m</w:t>
            </w:r>
            <w:r>
              <w:rPr>
                <w:rFonts w:hint="default"/>
                <w:color w:val="auto"/>
                <w:vertAlign w:val="superscript"/>
                <w:lang w:eastAsia="zh-CN"/>
              </w:rPr>
              <w:t>3</w:t>
            </w:r>
            <w:r>
              <w:rPr>
                <w:rFonts w:hint="default"/>
                <w:color w:val="auto"/>
                <w:lang w:eastAsia="zh-CN"/>
              </w:rPr>
              <w:t>，弃方35.4万m</w:t>
            </w:r>
            <w:r>
              <w:rPr>
                <w:rFonts w:hint="default"/>
                <w:color w:val="auto"/>
                <w:vertAlign w:val="superscript"/>
                <w:lang w:eastAsia="zh-CN"/>
              </w:rPr>
              <w:t>3</w:t>
            </w:r>
            <w:r>
              <w:rPr>
                <w:rFonts w:hint="eastAsia"/>
                <w:color w:val="auto"/>
                <w:lang w:eastAsia="zh-CN"/>
              </w:rPr>
              <w:t>。</w:t>
            </w:r>
            <w:r>
              <w:rPr>
                <w:rFonts w:hint="default"/>
                <w:color w:val="auto"/>
                <w:lang w:eastAsia="zh-CN"/>
              </w:rPr>
              <w:t>目前该项目处于前期设计阶段，已完成场内平整，本项目负责对弃土回填产生的水土防治承担责任。</w:t>
            </w:r>
          </w:p>
          <w:p>
            <w:pPr>
              <w:pStyle w:val="18"/>
              <w:bidi w:val="0"/>
              <w:rPr>
                <w:rFonts w:hint="eastAsia"/>
                <w:color w:val="auto"/>
                <w:lang w:val="en-US" w:eastAsia="zh-CN"/>
              </w:rPr>
            </w:pPr>
            <w:r>
              <w:rPr>
                <w:rFonts w:hint="eastAsia"/>
                <w:color w:val="auto"/>
                <w:lang w:val="en-US" w:eastAsia="zh-CN"/>
              </w:rPr>
              <w:t>表5 土石方平衡表</w:t>
            </w:r>
          </w:p>
          <w:tbl>
            <w:tblPr>
              <w:tblStyle w:val="16"/>
              <w:tblW w:w="86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870"/>
              <w:gridCol w:w="675"/>
              <w:gridCol w:w="690"/>
              <w:gridCol w:w="705"/>
              <w:gridCol w:w="675"/>
              <w:gridCol w:w="960"/>
              <w:gridCol w:w="720"/>
              <w:gridCol w:w="1035"/>
              <w:gridCol w:w="1080"/>
              <w:gridCol w:w="8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427" w:type="dxa"/>
                  <w:vMerge w:val="restart"/>
                  <w:vAlign w:val="center"/>
                </w:tcPr>
                <w:p>
                  <w:pPr>
                    <w:pStyle w:val="19"/>
                    <w:bidi w:val="0"/>
                    <w:rPr>
                      <w:rFonts w:hint="default"/>
                      <w:color w:val="auto"/>
                      <w:lang w:val="en-US" w:eastAsia="zh-CN"/>
                    </w:rPr>
                  </w:pPr>
                  <w:r>
                    <w:rPr>
                      <w:rFonts w:hint="eastAsia"/>
                      <w:color w:val="auto"/>
                      <w:lang w:val="en-US" w:eastAsia="zh-CN"/>
                    </w:rPr>
                    <w:t>序号</w:t>
                  </w:r>
                </w:p>
              </w:tc>
              <w:tc>
                <w:tcPr>
                  <w:tcW w:w="870" w:type="dxa"/>
                  <w:vMerge w:val="restart"/>
                  <w:vAlign w:val="center"/>
                </w:tcPr>
                <w:p>
                  <w:pPr>
                    <w:pStyle w:val="19"/>
                    <w:bidi w:val="0"/>
                    <w:rPr>
                      <w:rFonts w:hint="default"/>
                      <w:color w:val="auto"/>
                      <w:lang w:val="en-US" w:eastAsia="zh-CN"/>
                    </w:rPr>
                  </w:pPr>
                  <w:r>
                    <w:rPr>
                      <w:rFonts w:hint="eastAsia"/>
                      <w:color w:val="auto"/>
                      <w:lang w:val="en-US" w:eastAsia="zh-CN"/>
                    </w:rPr>
                    <w:t>区域</w:t>
                  </w:r>
                </w:p>
              </w:tc>
              <w:tc>
                <w:tcPr>
                  <w:tcW w:w="675" w:type="dxa"/>
                  <w:vMerge w:val="restart"/>
                  <w:vAlign w:val="center"/>
                </w:tcPr>
                <w:p>
                  <w:pPr>
                    <w:pStyle w:val="19"/>
                    <w:bidi w:val="0"/>
                    <w:rPr>
                      <w:rFonts w:hint="default"/>
                      <w:color w:val="auto"/>
                      <w:lang w:val="en-US" w:eastAsia="zh-CN"/>
                    </w:rPr>
                  </w:pPr>
                  <w:r>
                    <w:rPr>
                      <w:rFonts w:hint="eastAsia"/>
                      <w:color w:val="auto"/>
                      <w:lang w:val="en-US" w:eastAsia="zh-CN"/>
                    </w:rPr>
                    <w:t>土方分类</w:t>
                  </w:r>
                </w:p>
              </w:tc>
              <w:tc>
                <w:tcPr>
                  <w:tcW w:w="690" w:type="dxa"/>
                  <w:vMerge w:val="restart"/>
                  <w:vAlign w:val="center"/>
                </w:tcPr>
                <w:p>
                  <w:pPr>
                    <w:pStyle w:val="19"/>
                    <w:bidi w:val="0"/>
                    <w:rPr>
                      <w:rFonts w:hint="default"/>
                      <w:color w:val="auto"/>
                      <w:lang w:val="en-US" w:eastAsia="zh-CN"/>
                    </w:rPr>
                  </w:pPr>
                  <w:r>
                    <w:rPr>
                      <w:rFonts w:hint="eastAsia"/>
                      <w:color w:val="auto"/>
                      <w:lang w:val="en-US" w:eastAsia="zh-CN"/>
                    </w:rPr>
                    <w:t>挖方</w:t>
                  </w:r>
                </w:p>
              </w:tc>
              <w:tc>
                <w:tcPr>
                  <w:tcW w:w="705" w:type="dxa"/>
                  <w:vMerge w:val="restart"/>
                  <w:vAlign w:val="center"/>
                </w:tcPr>
                <w:p>
                  <w:pPr>
                    <w:pStyle w:val="19"/>
                    <w:bidi w:val="0"/>
                    <w:rPr>
                      <w:rFonts w:hint="default"/>
                      <w:color w:val="auto"/>
                      <w:lang w:val="en-US" w:eastAsia="zh-CN"/>
                    </w:rPr>
                  </w:pPr>
                  <w:r>
                    <w:rPr>
                      <w:rFonts w:hint="eastAsia"/>
                      <w:color w:val="auto"/>
                      <w:lang w:val="en-US" w:eastAsia="zh-CN"/>
                    </w:rPr>
                    <w:t>回填</w:t>
                  </w:r>
                </w:p>
              </w:tc>
              <w:tc>
                <w:tcPr>
                  <w:tcW w:w="1635" w:type="dxa"/>
                  <w:gridSpan w:val="2"/>
                  <w:vAlign w:val="center"/>
                </w:tcPr>
                <w:p>
                  <w:pPr>
                    <w:pStyle w:val="19"/>
                    <w:bidi w:val="0"/>
                    <w:rPr>
                      <w:rFonts w:hint="default"/>
                      <w:color w:val="auto"/>
                      <w:lang w:val="en-US" w:eastAsia="zh-CN"/>
                    </w:rPr>
                  </w:pPr>
                  <w:r>
                    <w:rPr>
                      <w:rFonts w:hint="eastAsia"/>
                      <w:color w:val="auto"/>
                      <w:lang w:val="en-US" w:eastAsia="zh-CN"/>
                    </w:rPr>
                    <w:t>场内调入</w:t>
                  </w:r>
                </w:p>
              </w:tc>
              <w:tc>
                <w:tcPr>
                  <w:tcW w:w="1755" w:type="dxa"/>
                  <w:gridSpan w:val="2"/>
                  <w:vAlign w:val="center"/>
                </w:tcPr>
                <w:p>
                  <w:pPr>
                    <w:pStyle w:val="19"/>
                    <w:bidi w:val="0"/>
                    <w:rPr>
                      <w:rFonts w:hint="default"/>
                      <w:color w:val="auto"/>
                      <w:lang w:val="en-US" w:eastAsia="zh-CN"/>
                    </w:rPr>
                  </w:pPr>
                  <w:r>
                    <w:rPr>
                      <w:rFonts w:hint="eastAsia"/>
                      <w:color w:val="auto"/>
                      <w:lang w:val="en-US" w:eastAsia="zh-CN"/>
                    </w:rPr>
                    <w:t>场内调出</w:t>
                  </w:r>
                </w:p>
              </w:tc>
              <w:tc>
                <w:tcPr>
                  <w:tcW w:w="1080" w:type="dxa"/>
                  <w:vAlign w:val="center"/>
                </w:tcPr>
                <w:p>
                  <w:pPr>
                    <w:pStyle w:val="19"/>
                    <w:bidi w:val="0"/>
                    <w:rPr>
                      <w:rFonts w:hint="default"/>
                      <w:color w:val="auto"/>
                      <w:lang w:val="en-US" w:eastAsia="zh-CN"/>
                    </w:rPr>
                  </w:pPr>
                  <w:r>
                    <w:rPr>
                      <w:rFonts w:hint="eastAsia"/>
                      <w:color w:val="auto"/>
                      <w:lang w:val="en-US" w:eastAsia="zh-CN"/>
                    </w:rPr>
                    <w:t>临时堆土</w:t>
                  </w:r>
                </w:p>
              </w:tc>
              <w:tc>
                <w:tcPr>
                  <w:tcW w:w="806" w:type="dxa"/>
                  <w:vAlign w:val="center"/>
                </w:tcPr>
                <w:p>
                  <w:pPr>
                    <w:pStyle w:val="19"/>
                    <w:bidi w:val="0"/>
                    <w:rPr>
                      <w:rFonts w:hint="default"/>
                      <w:color w:val="auto"/>
                      <w:lang w:val="en-US" w:eastAsia="zh-CN"/>
                    </w:rPr>
                  </w:pPr>
                  <w:r>
                    <w:rPr>
                      <w:rFonts w:hint="eastAsia"/>
                      <w:color w:val="auto"/>
                      <w:lang w:val="en-US" w:eastAsia="zh-CN"/>
                    </w:rPr>
                    <w:t>借方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427" w:type="dxa"/>
                  <w:vMerge w:val="continue"/>
                  <w:vAlign w:val="center"/>
                </w:tcPr>
                <w:p>
                  <w:pPr>
                    <w:pStyle w:val="19"/>
                    <w:bidi w:val="0"/>
                    <w:rPr>
                      <w:color w:val="auto"/>
                    </w:rPr>
                  </w:pPr>
                </w:p>
              </w:tc>
              <w:tc>
                <w:tcPr>
                  <w:tcW w:w="870" w:type="dxa"/>
                  <w:vMerge w:val="continue"/>
                  <w:vAlign w:val="center"/>
                </w:tcPr>
                <w:p>
                  <w:pPr>
                    <w:pStyle w:val="19"/>
                    <w:bidi w:val="0"/>
                    <w:rPr>
                      <w:color w:val="auto"/>
                    </w:rPr>
                  </w:pPr>
                </w:p>
              </w:tc>
              <w:tc>
                <w:tcPr>
                  <w:tcW w:w="675" w:type="dxa"/>
                  <w:vMerge w:val="continue"/>
                  <w:vAlign w:val="center"/>
                </w:tcPr>
                <w:p>
                  <w:pPr>
                    <w:pStyle w:val="19"/>
                    <w:bidi w:val="0"/>
                    <w:rPr>
                      <w:color w:val="auto"/>
                    </w:rPr>
                  </w:pPr>
                </w:p>
              </w:tc>
              <w:tc>
                <w:tcPr>
                  <w:tcW w:w="690" w:type="dxa"/>
                  <w:vMerge w:val="continue"/>
                  <w:vAlign w:val="center"/>
                </w:tcPr>
                <w:p>
                  <w:pPr>
                    <w:pStyle w:val="19"/>
                    <w:bidi w:val="0"/>
                    <w:rPr>
                      <w:color w:val="auto"/>
                    </w:rPr>
                  </w:pPr>
                </w:p>
              </w:tc>
              <w:tc>
                <w:tcPr>
                  <w:tcW w:w="705" w:type="dxa"/>
                  <w:vMerge w:val="continue"/>
                  <w:vAlign w:val="center"/>
                </w:tcPr>
                <w:p>
                  <w:pPr>
                    <w:pStyle w:val="19"/>
                    <w:bidi w:val="0"/>
                    <w:rPr>
                      <w:color w:val="auto"/>
                    </w:rPr>
                  </w:pPr>
                </w:p>
              </w:tc>
              <w:tc>
                <w:tcPr>
                  <w:tcW w:w="675" w:type="dxa"/>
                  <w:vAlign w:val="center"/>
                </w:tcPr>
                <w:p>
                  <w:pPr>
                    <w:pStyle w:val="19"/>
                    <w:bidi w:val="0"/>
                    <w:rPr>
                      <w:rFonts w:hint="default"/>
                      <w:color w:val="auto"/>
                      <w:lang w:val="en-US" w:eastAsia="zh-CN"/>
                    </w:rPr>
                  </w:pPr>
                  <w:r>
                    <w:rPr>
                      <w:rFonts w:hint="eastAsia"/>
                      <w:color w:val="auto"/>
                      <w:lang w:val="en-US" w:eastAsia="zh-CN"/>
                    </w:rPr>
                    <w:t>数量</w:t>
                  </w:r>
                </w:p>
              </w:tc>
              <w:tc>
                <w:tcPr>
                  <w:tcW w:w="960" w:type="dxa"/>
                  <w:vAlign w:val="center"/>
                </w:tcPr>
                <w:p>
                  <w:pPr>
                    <w:pStyle w:val="19"/>
                    <w:bidi w:val="0"/>
                    <w:rPr>
                      <w:rFonts w:hint="default"/>
                      <w:color w:val="auto"/>
                      <w:lang w:val="en-US" w:eastAsia="zh-CN"/>
                    </w:rPr>
                  </w:pPr>
                  <w:r>
                    <w:rPr>
                      <w:rFonts w:hint="eastAsia"/>
                      <w:color w:val="auto"/>
                      <w:lang w:val="en-US" w:eastAsia="zh-CN"/>
                    </w:rPr>
                    <w:t>来源</w:t>
                  </w:r>
                </w:p>
              </w:tc>
              <w:tc>
                <w:tcPr>
                  <w:tcW w:w="720" w:type="dxa"/>
                  <w:vAlign w:val="center"/>
                </w:tcPr>
                <w:p>
                  <w:pPr>
                    <w:pStyle w:val="19"/>
                    <w:bidi w:val="0"/>
                    <w:ind w:firstLine="0" w:firstLineChars="0"/>
                    <w:rPr>
                      <w:rFonts w:hint="default"/>
                      <w:color w:val="auto"/>
                      <w:lang w:val="en-US" w:eastAsia="zh-CN"/>
                    </w:rPr>
                  </w:pPr>
                  <w:r>
                    <w:rPr>
                      <w:rFonts w:hint="eastAsia"/>
                      <w:color w:val="auto"/>
                      <w:lang w:val="en-US" w:eastAsia="zh-CN"/>
                    </w:rPr>
                    <w:t>数量</w:t>
                  </w:r>
                </w:p>
              </w:tc>
              <w:tc>
                <w:tcPr>
                  <w:tcW w:w="1035" w:type="dxa"/>
                  <w:vAlign w:val="center"/>
                </w:tcPr>
                <w:p>
                  <w:pPr>
                    <w:pStyle w:val="19"/>
                    <w:bidi w:val="0"/>
                    <w:ind w:firstLine="0" w:firstLineChars="0"/>
                    <w:rPr>
                      <w:rFonts w:hint="default"/>
                      <w:color w:val="auto"/>
                      <w:lang w:val="en-US" w:eastAsia="zh-CN"/>
                    </w:rPr>
                  </w:pPr>
                  <w:r>
                    <w:rPr>
                      <w:rFonts w:hint="eastAsia"/>
                      <w:color w:val="auto"/>
                      <w:lang w:val="en-US" w:eastAsia="zh-CN"/>
                    </w:rPr>
                    <w:t>去向</w:t>
                  </w:r>
                </w:p>
              </w:tc>
              <w:tc>
                <w:tcPr>
                  <w:tcW w:w="1080" w:type="dxa"/>
                  <w:vAlign w:val="center"/>
                </w:tcPr>
                <w:p>
                  <w:pPr>
                    <w:pStyle w:val="19"/>
                    <w:bidi w:val="0"/>
                    <w:rPr>
                      <w:rFonts w:hint="eastAsia"/>
                      <w:color w:val="auto"/>
                      <w:lang w:val="en-US" w:eastAsia="zh-CN"/>
                    </w:rPr>
                  </w:pPr>
                  <w:r>
                    <w:rPr>
                      <w:rFonts w:hint="eastAsia"/>
                      <w:color w:val="auto"/>
                      <w:lang w:val="en-US" w:eastAsia="zh-CN"/>
                    </w:rPr>
                    <w:t>表土、</w:t>
                  </w:r>
                </w:p>
                <w:p>
                  <w:pPr>
                    <w:pStyle w:val="19"/>
                    <w:bidi w:val="0"/>
                    <w:rPr>
                      <w:rFonts w:hint="default"/>
                      <w:color w:val="auto"/>
                      <w:lang w:val="en-US" w:eastAsia="zh-CN"/>
                    </w:rPr>
                  </w:pPr>
                  <w:r>
                    <w:rPr>
                      <w:rFonts w:hint="eastAsia"/>
                      <w:color w:val="auto"/>
                      <w:lang w:val="en-US" w:eastAsia="zh-CN"/>
                    </w:rPr>
                    <w:t>软土</w:t>
                  </w:r>
                </w:p>
              </w:tc>
              <w:tc>
                <w:tcPr>
                  <w:tcW w:w="806" w:type="dxa"/>
                  <w:vAlign w:val="center"/>
                </w:tcPr>
                <w:p>
                  <w:pPr>
                    <w:pStyle w:val="19"/>
                    <w:bidi w:val="0"/>
                    <w:rPr>
                      <w:rFonts w:hint="default"/>
                      <w:color w:val="auto"/>
                      <w:lang w:val="en-US" w:eastAsia="zh-CN"/>
                    </w:rPr>
                  </w:pPr>
                  <w:r>
                    <w:rPr>
                      <w:rFonts w:hint="eastAsia"/>
                      <w:color w:val="auto"/>
                      <w:lang w:val="en-US" w:eastAsia="zh-CN"/>
                    </w:rPr>
                    <w:t>土方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restart"/>
                  <w:vAlign w:val="center"/>
                </w:tcPr>
                <w:p>
                  <w:pPr>
                    <w:pStyle w:val="19"/>
                    <w:bidi w:val="0"/>
                    <w:rPr>
                      <w:rFonts w:hint="default"/>
                      <w:color w:val="auto"/>
                      <w:lang w:val="en-US" w:eastAsia="zh-CN"/>
                    </w:rPr>
                  </w:pPr>
                  <w:r>
                    <w:rPr>
                      <w:rFonts w:hint="eastAsia"/>
                      <w:color w:val="auto"/>
                      <w:lang w:val="en-US" w:eastAsia="zh-CN"/>
                    </w:rPr>
                    <w:t>1</w:t>
                  </w:r>
                </w:p>
              </w:tc>
              <w:tc>
                <w:tcPr>
                  <w:tcW w:w="870" w:type="dxa"/>
                  <w:vMerge w:val="restart"/>
                  <w:vAlign w:val="center"/>
                </w:tcPr>
                <w:p>
                  <w:pPr>
                    <w:pStyle w:val="19"/>
                    <w:bidi w:val="0"/>
                    <w:rPr>
                      <w:rFonts w:hint="default"/>
                      <w:color w:val="auto"/>
                      <w:lang w:val="en-US" w:eastAsia="zh-CN"/>
                    </w:rPr>
                  </w:pPr>
                  <w:r>
                    <w:rPr>
                      <w:rFonts w:hint="eastAsia"/>
                      <w:color w:val="auto"/>
                      <w:lang w:val="en-US" w:eastAsia="zh-CN"/>
                    </w:rPr>
                    <w:t>建构筑物区</w:t>
                  </w:r>
                </w:p>
              </w:tc>
              <w:tc>
                <w:tcPr>
                  <w:tcW w:w="675" w:type="dxa"/>
                  <w:vAlign w:val="center"/>
                </w:tcPr>
                <w:p>
                  <w:pPr>
                    <w:pStyle w:val="19"/>
                    <w:bidi w:val="0"/>
                    <w:rPr>
                      <w:rFonts w:hint="default"/>
                      <w:color w:val="auto"/>
                      <w:lang w:val="en-US" w:eastAsia="zh-CN"/>
                    </w:rPr>
                  </w:pPr>
                  <w:r>
                    <w:rPr>
                      <w:rFonts w:hint="eastAsia"/>
                      <w:color w:val="auto"/>
                      <w:lang w:val="en-US" w:eastAsia="zh-CN"/>
                    </w:rPr>
                    <w:t>表土</w:t>
                  </w:r>
                </w:p>
              </w:tc>
              <w:tc>
                <w:tcPr>
                  <w:tcW w:w="690" w:type="dxa"/>
                  <w:vAlign w:val="center"/>
                </w:tcPr>
                <w:p>
                  <w:pPr>
                    <w:pStyle w:val="19"/>
                    <w:bidi w:val="0"/>
                    <w:rPr>
                      <w:rFonts w:hint="default"/>
                      <w:color w:val="auto"/>
                      <w:lang w:val="en-US" w:eastAsia="zh-CN"/>
                    </w:rPr>
                  </w:pPr>
                  <w:r>
                    <w:rPr>
                      <w:rFonts w:hint="eastAsia"/>
                      <w:color w:val="auto"/>
                      <w:lang w:val="en-US" w:eastAsia="zh-CN"/>
                    </w:rPr>
                    <w:t>0.21</w:t>
                  </w:r>
                </w:p>
              </w:tc>
              <w:tc>
                <w:tcPr>
                  <w:tcW w:w="705" w:type="dxa"/>
                  <w:vAlign w:val="center"/>
                </w:tcPr>
                <w:p>
                  <w:pPr>
                    <w:pStyle w:val="19"/>
                    <w:bidi w:val="0"/>
                    <w:rPr>
                      <w:rFonts w:hint="default"/>
                      <w:color w:val="auto"/>
                      <w:lang w:val="en-US" w:eastAsia="zh-CN"/>
                    </w:rPr>
                  </w:pP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eastAsia="zh-CN"/>
                    </w:rPr>
                  </w:pPr>
                  <w:r>
                    <w:rPr>
                      <w:rFonts w:hint="default"/>
                      <w:color w:val="auto"/>
                      <w:lang w:eastAsia="zh-CN"/>
                    </w:rPr>
                    <w:t>0.21</w:t>
                  </w:r>
                </w:p>
              </w:tc>
              <w:tc>
                <w:tcPr>
                  <w:tcW w:w="1035" w:type="dxa"/>
                  <w:vAlign w:val="center"/>
                </w:tcPr>
                <w:p>
                  <w:pPr>
                    <w:pStyle w:val="19"/>
                    <w:bidi w:val="0"/>
                    <w:rPr>
                      <w:rFonts w:hint="default"/>
                      <w:color w:val="auto"/>
                      <w:lang w:eastAsia="zh-CN"/>
                    </w:rPr>
                  </w:pPr>
                  <w:r>
                    <w:rPr>
                      <w:rFonts w:hint="default"/>
                      <w:color w:val="auto"/>
                      <w:lang w:eastAsia="zh-CN"/>
                    </w:rPr>
                    <w:t>临时堆土区1</w:t>
                  </w:r>
                </w:p>
              </w:tc>
              <w:tc>
                <w:tcPr>
                  <w:tcW w:w="1080" w:type="dxa"/>
                  <w:vAlign w:val="center"/>
                </w:tcPr>
                <w:p>
                  <w:pPr>
                    <w:pStyle w:val="19"/>
                    <w:bidi w:val="0"/>
                    <w:rPr>
                      <w:rFonts w:hint="default"/>
                      <w:color w:val="auto"/>
                      <w:lang w:eastAsia="zh-CN"/>
                    </w:rPr>
                  </w:pPr>
                  <w:r>
                    <w:rPr>
                      <w:rFonts w:hint="default"/>
                      <w:color w:val="auto"/>
                      <w:lang w:eastAsia="zh-CN"/>
                    </w:rPr>
                    <w:t>0.21</w:t>
                  </w: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rPr>
                      <w:rFonts w:hint="default"/>
                      <w:color w:val="auto"/>
                      <w:lang w:val="en-US" w:eastAsia="zh-CN"/>
                    </w:rPr>
                  </w:pPr>
                  <w:r>
                    <w:rPr>
                      <w:rFonts w:hint="eastAsia"/>
                      <w:color w:val="auto"/>
                      <w:lang w:val="en-US" w:eastAsia="zh-CN"/>
                    </w:rPr>
                    <w:t>软土</w:t>
                  </w:r>
                </w:p>
              </w:tc>
              <w:tc>
                <w:tcPr>
                  <w:tcW w:w="690" w:type="dxa"/>
                  <w:vAlign w:val="center"/>
                </w:tcPr>
                <w:p>
                  <w:pPr>
                    <w:pStyle w:val="19"/>
                    <w:bidi w:val="0"/>
                    <w:rPr>
                      <w:rFonts w:hint="default"/>
                      <w:color w:val="auto"/>
                      <w:lang w:val="en-US" w:eastAsia="zh-CN"/>
                    </w:rPr>
                  </w:pPr>
                  <w:r>
                    <w:rPr>
                      <w:rFonts w:hint="eastAsia"/>
                      <w:color w:val="auto"/>
                      <w:lang w:val="en-US" w:eastAsia="zh-CN"/>
                    </w:rPr>
                    <w:t>0.16</w:t>
                  </w:r>
                </w:p>
              </w:tc>
              <w:tc>
                <w:tcPr>
                  <w:tcW w:w="705" w:type="dxa"/>
                  <w:vAlign w:val="center"/>
                </w:tcPr>
                <w:p>
                  <w:pPr>
                    <w:pStyle w:val="19"/>
                    <w:bidi w:val="0"/>
                    <w:rPr>
                      <w:rFonts w:hint="default"/>
                      <w:color w:val="auto"/>
                      <w:lang w:val="en-US" w:eastAsia="zh-CN"/>
                    </w:rPr>
                  </w:pP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r>
                    <w:rPr>
                      <w:rFonts w:hint="default"/>
                      <w:color w:val="auto"/>
                      <w:lang w:eastAsia="zh-CN"/>
                    </w:rPr>
                    <w:t>0.0</w:t>
                  </w:r>
                  <w:r>
                    <w:rPr>
                      <w:rFonts w:hint="eastAsia"/>
                      <w:color w:val="auto"/>
                      <w:lang w:val="en-US" w:eastAsia="zh-CN"/>
                    </w:rPr>
                    <w:t>8</w:t>
                  </w:r>
                </w:p>
              </w:tc>
              <w:tc>
                <w:tcPr>
                  <w:tcW w:w="1035" w:type="dxa"/>
                  <w:vAlign w:val="center"/>
                </w:tcPr>
                <w:p>
                  <w:pPr>
                    <w:pStyle w:val="19"/>
                    <w:bidi w:val="0"/>
                    <w:rPr>
                      <w:rFonts w:hint="default"/>
                      <w:color w:val="auto"/>
                      <w:lang w:val="en-US" w:eastAsia="zh-CN"/>
                    </w:rPr>
                  </w:pPr>
                  <w:r>
                    <w:rPr>
                      <w:rFonts w:hint="default"/>
                      <w:color w:val="auto"/>
                      <w:lang w:eastAsia="zh-CN"/>
                    </w:rPr>
                    <w:t>临时堆土区</w:t>
                  </w:r>
                  <w:r>
                    <w:rPr>
                      <w:rFonts w:hint="eastAsia"/>
                      <w:color w:val="auto"/>
                      <w:lang w:val="en-US" w:eastAsia="zh-CN"/>
                    </w:rPr>
                    <w:t>2</w:t>
                  </w:r>
                </w:p>
              </w:tc>
              <w:tc>
                <w:tcPr>
                  <w:tcW w:w="1080" w:type="dxa"/>
                  <w:vAlign w:val="center"/>
                </w:tcPr>
                <w:p>
                  <w:pPr>
                    <w:pStyle w:val="19"/>
                    <w:bidi w:val="0"/>
                    <w:rPr>
                      <w:rFonts w:hint="default"/>
                      <w:color w:val="auto"/>
                      <w:lang w:val="en-US" w:eastAsia="zh-CN"/>
                    </w:rPr>
                  </w:pPr>
                  <w:r>
                    <w:rPr>
                      <w:rFonts w:hint="eastAsia"/>
                      <w:color w:val="auto"/>
                      <w:lang w:val="en-US" w:eastAsia="zh-CN"/>
                    </w:rPr>
                    <w:t>0.08</w:t>
                  </w: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rPr>
                      <w:rFonts w:hint="default"/>
                      <w:color w:val="auto"/>
                      <w:lang w:val="en-US" w:eastAsia="zh-CN"/>
                    </w:rPr>
                  </w:pPr>
                  <w:r>
                    <w:rPr>
                      <w:rFonts w:hint="eastAsia"/>
                      <w:color w:val="auto"/>
                      <w:lang w:val="en-US" w:eastAsia="zh-CN"/>
                    </w:rPr>
                    <w:t>土方</w:t>
                  </w:r>
                </w:p>
              </w:tc>
              <w:tc>
                <w:tcPr>
                  <w:tcW w:w="690" w:type="dxa"/>
                  <w:vAlign w:val="center"/>
                </w:tcPr>
                <w:p>
                  <w:pPr>
                    <w:pStyle w:val="19"/>
                    <w:bidi w:val="0"/>
                    <w:rPr>
                      <w:rFonts w:hint="default"/>
                      <w:color w:val="auto"/>
                      <w:lang w:val="en-US" w:eastAsia="zh-CN"/>
                    </w:rPr>
                  </w:pPr>
                  <w:r>
                    <w:rPr>
                      <w:rFonts w:hint="eastAsia"/>
                      <w:color w:val="auto"/>
                      <w:lang w:val="en-US" w:eastAsia="zh-CN"/>
                    </w:rPr>
                    <w:t>0.86</w:t>
                  </w:r>
                </w:p>
              </w:tc>
              <w:tc>
                <w:tcPr>
                  <w:tcW w:w="705" w:type="dxa"/>
                  <w:vAlign w:val="center"/>
                </w:tcPr>
                <w:p>
                  <w:pPr>
                    <w:pStyle w:val="19"/>
                    <w:bidi w:val="0"/>
                    <w:rPr>
                      <w:rFonts w:hint="default"/>
                      <w:color w:val="auto"/>
                      <w:lang w:val="en-US" w:eastAsia="zh-CN"/>
                    </w:rPr>
                  </w:pPr>
                  <w:r>
                    <w:rPr>
                      <w:rFonts w:hint="eastAsia"/>
                      <w:color w:val="auto"/>
                      <w:lang w:val="en-US" w:eastAsia="zh-CN"/>
                    </w:rPr>
                    <w:t>6.00</w:t>
                  </w: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p>
              </w:tc>
              <w:tc>
                <w:tcPr>
                  <w:tcW w:w="1035" w:type="dxa"/>
                  <w:vAlign w:val="center"/>
                </w:tcPr>
                <w:p>
                  <w:pPr>
                    <w:pStyle w:val="19"/>
                    <w:bidi w:val="0"/>
                    <w:rPr>
                      <w:rFonts w:hint="default"/>
                      <w:color w:val="auto"/>
                      <w:lang w:val="en-US" w:eastAsia="zh-CN"/>
                    </w:rPr>
                  </w:pPr>
                </w:p>
              </w:tc>
              <w:tc>
                <w:tcPr>
                  <w:tcW w:w="1080" w:type="dxa"/>
                  <w:vAlign w:val="center"/>
                </w:tcPr>
                <w:p>
                  <w:pPr>
                    <w:pStyle w:val="19"/>
                    <w:bidi w:val="0"/>
                    <w:rPr>
                      <w:rFonts w:hint="default"/>
                      <w:color w:val="auto"/>
                      <w:lang w:val="en-US" w:eastAsia="zh-CN"/>
                    </w:rPr>
                  </w:pPr>
                </w:p>
              </w:tc>
              <w:tc>
                <w:tcPr>
                  <w:tcW w:w="806" w:type="dxa"/>
                  <w:vAlign w:val="center"/>
                </w:tcPr>
                <w:p>
                  <w:pPr>
                    <w:pStyle w:val="19"/>
                    <w:bidi w:val="0"/>
                    <w:rPr>
                      <w:rFonts w:hint="default"/>
                      <w:color w:val="auto"/>
                      <w:lang w:val="en-US" w:eastAsia="zh-CN"/>
                    </w:rPr>
                  </w:pPr>
                  <w:r>
                    <w:rPr>
                      <w:rFonts w:hint="eastAsia"/>
                      <w:color w:val="auto"/>
                      <w:lang w:val="en-US" w:eastAsia="zh-CN"/>
                    </w:rPr>
                    <w:t>-5.14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restart"/>
                  <w:vAlign w:val="center"/>
                </w:tcPr>
                <w:p>
                  <w:pPr>
                    <w:pStyle w:val="19"/>
                    <w:bidi w:val="0"/>
                    <w:rPr>
                      <w:rFonts w:hint="default"/>
                      <w:color w:val="auto"/>
                      <w:lang w:val="en-US" w:eastAsia="zh-CN"/>
                    </w:rPr>
                  </w:pPr>
                  <w:r>
                    <w:rPr>
                      <w:rFonts w:hint="eastAsia"/>
                      <w:color w:val="auto"/>
                      <w:lang w:val="en-US" w:eastAsia="zh-CN"/>
                    </w:rPr>
                    <w:t>2</w:t>
                  </w:r>
                </w:p>
              </w:tc>
              <w:tc>
                <w:tcPr>
                  <w:tcW w:w="870" w:type="dxa"/>
                  <w:vMerge w:val="restart"/>
                  <w:vAlign w:val="center"/>
                </w:tcPr>
                <w:p>
                  <w:pPr>
                    <w:pStyle w:val="19"/>
                    <w:bidi w:val="0"/>
                    <w:rPr>
                      <w:rFonts w:hint="default"/>
                      <w:color w:val="auto"/>
                      <w:lang w:val="en-US" w:eastAsia="zh-CN"/>
                    </w:rPr>
                  </w:pPr>
                  <w:r>
                    <w:rPr>
                      <w:rFonts w:hint="eastAsia"/>
                      <w:color w:val="auto"/>
                      <w:lang w:val="en-US" w:eastAsia="zh-CN"/>
                    </w:rPr>
                    <w:t>道路广场区</w:t>
                  </w: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表土</w:t>
                  </w:r>
                </w:p>
              </w:tc>
              <w:tc>
                <w:tcPr>
                  <w:tcW w:w="690" w:type="dxa"/>
                  <w:vAlign w:val="center"/>
                </w:tcPr>
                <w:p>
                  <w:pPr>
                    <w:pStyle w:val="19"/>
                    <w:bidi w:val="0"/>
                    <w:rPr>
                      <w:rFonts w:hint="default"/>
                      <w:color w:val="auto"/>
                      <w:lang w:val="en-US" w:eastAsia="zh-CN"/>
                    </w:rPr>
                  </w:pPr>
                  <w:r>
                    <w:rPr>
                      <w:rFonts w:hint="eastAsia"/>
                      <w:color w:val="auto"/>
                      <w:lang w:val="en-US" w:eastAsia="zh-CN"/>
                    </w:rPr>
                    <w:t>0.40</w:t>
                  </w:r>
                </w:p>
              </w:tc>
              <w:tc>
                <w:tcPr>
                  <w:tcW w:w="705" w:type="dxa"/>
                  <w:vAlign w:val="center"/>
                </w:tcPr>
                <w:p>
                  <w:pPr>
                    <w:pStyle w:val="19"/>
                    <w:bidi w:val="0"/>
                    <w:rPr>
                      <w:rFonts w:hint="default"/>
                      <w:color w:val="auto"/>
                      <w:lang w:val="en-US" w:eastAsia="zh-CN"/>
                    </w:rPr>
                  </w:pP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r>
                    <w:rPr>
                      <w:rFonts w:hint="eastAsia"/>
                      <w:color w:val="auto"/>
                      <w:lang w:val="en-US" w:eastAsia="zh-CN"/>
                    </w:rPr>
                    <w:t>0.40</w:t>
                  </w:r>
                </w:p>
              </w:tc>
              <w:tc>
                <w:tcPr>
                  <w:tcW w:w="1035" w:type="dxa"/>
                  <w:vAlign w:val="center"/>
                </w:tcPr>
                <w:p>
                  <w:pPr>
                    <w:pStyle w:val="19"/>
                    <w:bidi w:val="0"/>
                    <w:rPr>
                      <w:rFonts w:hint="default"/>
                      <w:color w:val="auto"/>
                      <w:lang w:val="en-US" w:eastAsia="zh-CN"/>
                    </w:rPr>
                  </w:pPr>
                  <w:r>
                    <w:rPr>
                      <w:rFonts w:hint="default"/>
                      <w:color w:val="auto"/>
                      <w:lang w:eastAsia="zh-CN"/>
                    </w:rPr>
                    <w:t>临时堆土区1</w:t>
                  </w:r>
                </w:p>
              </w:tc>
              <w:tc>
                <w:tcPr>
                  <w:tcW w:w="1080" w:type="dxa"/>
                  <w:vAlign w:val="center"/>
                </w:tcPr>
                <w:p>
                  <w:pPr>
                    <w:pStyle w:val="19"/>
                    <w:bidi w:val="0"/>
                    <w:rPr>
                      <w:rFonts w:hint="default"/>
                      <w:color w:val="auto"/>
                      <w:lang w:val="en-US" w:eastAsia="zh-CN"/>
                    </w:rPr>
                  </w:pP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软土</w:t>
                  </w:r>
                </w:p>
              </w:tc>
              <w:tc>
                <w:tcPr>
                  <w:tcW w:w="690" w:type="dxa"/>
                  <w:vAlign w:val="center"/>
                </w:tcPr>
                <w:p>
                  <w:pPr>
                    <w:pStyle w:val="19"/>
                    <w:bidi w:val="0"/>
                    <w:rPr>
                      <w:rFonts w:hint="default"/>
                      <w:color w:val="auto"/>
                      <w:lang w:val="en-US" w:eastAsia="zh-CN"/>
                    </w:rPr>
                  </w:pPr>
                  <w:r>
                    <w:rPr>
                      <w:rFonts w:hint="eastAsia"/>
                      <w:color w:val="auto"/>
                      <w:lang w:val="en-US" w:eastAsia="zh-CN"/>
                    </w:rPr>
                    <w:t>1.13</w:t>
                  </w:r>
                </w:p>
              </w:tc>
              <w:tc>
                <w:tcPr>
                  <w:tcW w:w="705" w:type="dxa"/>
                  <w:vAlign w:val="center"/>
                </w:tcPr>
                <w:p>
                  <w:pPr>
                    <w:pStyle w:val="19"/>
                    <w:bidi w:val="0"/>
                    <w:rPr>
                      <w:rFonts w:hint="default"/>
                      <w:color w:val="auto"/>
                      <w:lang w:val="en-US" w:eastAsia="zh-CN"/>
                    </w:rPr>
                  </w:pP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r>
                    <w:rPr>
                      <w:rFonts w:hint="eastAsia"/>
                      <w:color w:val="auto"/>
                      <w:lang w:val="en-US" w:eastAsia="zh-CN"/>
                    </w:rPr>
                    <w:t>0.57</w:t>
                  </w:r>
                </w:p>
              </w:tc>
              <w:tc>
                <w:tcPr>
                  <w:tcW w:w="1035" w:type="dxa"/>
                  <w:vAlign w:val="center"/>
                </w:tcPr>
                <w:p>
                  <w:pPr>
                    <w:pStyle w:val="19"/>
                    <w:bidi w:val="0"/>
                    <w:rPr>
                      <w:rFonts w:hint="default"/>
                      <w:color w:val="auto"/>
                      <w:lang w:val="en-US" w:eastAsia="zh-CN"/>
                    </w:rPr>
                  </w:pPr>
                  <w:r>
                    <w:rPr>
                      <w:rFonts w:hint="default"/>
                      <w:color w:val="auto"/>
                      <w:lang w:eastAsia="zh-CN"/>
                    </w:rPr>
                    <w:t>临时堆土区</w:t>
                  </w:r>
                  <w:r>
                    <w:rPr>
                      <w:rFonts w:hint="eastAsia"/>
                      <w:color w:val="auto"/>
                      <w:lang w:val="en-US" w:eastAsia="zh-CN"/>
                    </w:rPr>
                    <w:t>2</w:t>
                  </w:r>
                </w:p>
              </w:tc>
              <w:tc>
                <w:tcPr>
                  <w:tcW w:w="1080" w:type="dxa"/>
                  <w:vAlign w:val="center"/>
                </w:tcPr>
                <w:p>
                  <w:pPr>
                    <w:pStyle w:val="19"/>
                    <w:bidi w:val="0"/>
                    <w:rPr>
                      <w:rFonts w:hint="default"/>
                      <w:color w:val="auto"/>
                      <w:lang w:val="en-US" w:eastAsia="zh-CN"/>
                    </w:rPr>
                  </w:pPr>
                  <w:r>
                    <w:rPr>
                      <w:rFonts w:hint="eastAsia"/>
                      <w:color w:val="auto"/>
                      <w:lang w:val="en-US" w:eastAsia="zh-CN"/>
                    </w:rPr>
                    <w:t>0.57</w:t>
                  </w: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土方</w:t>
                  </w:r>
                </w:p>
              </w:tc>
              <w:tc>
                <w:tcPr>
                  <w:tcW w:w="690" w:type="dxa"/>
                  <w:vAlign w:val="center"/>
                </w:tcPr>
                <w:p>
                  <w:pPr>
                    <w:pStyle w:val="19"/>
                    <w:bidi w:val="0"/>
                    <w:rPr>
                      <w:rFonts w:hint="default"/>
                      <w:color w:val="auto"/>
                      <w:lang w:val="en-US" w:eastAsia="zh-CN"/>
                    </w:rPr>
                  </w:pPr>
                  <w:r>
                    <w:rPr>
                      <w:rFonts w:hint="eastAsia"/>
                      <w:color w:val="auto"/>
                      <w:lang w:val="en-US" w:eastAsia="zh-CN"/>
                    </w:rPr>
                    <w:t>1.39</w:t>
                  </w:r>
                </w:p>
              </w:tc>
              <w:tc>
                <w:tcPr>
                  <w:tcW w:w="705" w:type="dxa"/>
                  <w:vAlign w:val="center"/>
                </w:tcPr>
                <w:p>
                  <w:pPr>
                    <w:pStyle w:val="19"/>
                    <w:bidi w:val="0"/>
                    <w:rPr>
                      <w:rFonts w:hint="default"/>
                      <w:color w:val="auto"/>
                      <w:lang w:val="en-US" w:eastAsia="zh-CN"/>
                    </w:rPr>
                  </w:pPr>
                  <w:r>
                    <w:rPr>
                      <w:rFonts w:hint="eastAsia"/>
                      <w:color w:val="auto"/>
                      <w:lang w:val="en-US" w:eastAsia="zh-CN"/>
                    </w:rPr>
                    <w:t>16.24</w:t>
                  </w: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p>
              </w:tc>
              <w:tc>
                <w:tcPr>
                  <w:tcW w:w="1035" w:type="dxa"/>
                  <w:vAlign w:val="center"/>
                </w:tcPr>
                <w:p>
                  <w:pPr>
                    <w:pStyle w:val="19"/>
                    <w:bidi w:val="0"/>
                    <w:rPr>
                      <w:rFonts w:hint="default"/>
                      <w:color w:val="auto"/>
                      <w:lang w:val="en-US" w:eastAsia="zh-CN"/>
                    </w:rPr>
                  </w:pPr>
                </w:p>
              </w:tc>
              <w:tc>
                <w:tcPr>
                  <w:tcW w:w="1080" w:type="dxa"/>
                  <w:vAlign w:val="center"/>
                </w:tcPr>
                <w:p>
                  <w:pPr>
                    <w:pStyle w:val="19"/>
                    <w:bidi w:val="0"/>
                    <w:rPr>
                      <w:rFonts w:hint="default"/>
                      <w:color w:val="auto"/>
                      <w:lang w:val="en-US" w:eastAsia="zh-CN"/>
                    </w:rPr>
                  </w:pPr>
                </w:p>
              </w:tc>
              <w:tc>
                <w:tcPr>
                  <w:tcW w:w="806" w:type="dxa"/>
                  <w:vAlign w:val="center"/>
                </w:tcPr>
                <w:p>
                  <w:pPr>
                    <w:pStyle w:val="19"/>
                    <w:bidi w:val="0"/>
                    <w:rPr>
                      <w:rFonts w:hint="default"/>
                      <w:color w:val="auto"/>
                      <w:lang w:val="en-US" w:eastAsia="zh-CN"/>
                    </w:rPr>
                  </w:pPr>
                  <w:r>
                    <w:rPr>
                      <w:rFonts w:hint="eastAsia"/>
                      <w:color w:val="auto"/>
                      <w:lang w:val="en-US" w:eastAsia="zh-CN"/>
                    </w:rPr>
                    <w:t>-14.84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restart"/>
                  <w:vAlign w:val="center"/>
                </w:tcPr>
                <w:p>
                  <w:pPr>
                    <w:pStyle w:val="19"/>
                    <w:bidi w:val="0"/>
                    <w:rPr>
                      <w:rFonts w:hint="default"/>
                      <w:color w:val="auto"/>
                      <w:lang w:val="en-US" w:eastAsia="zh-CN"/>
                    </w:rPr>
                  </w:pPr>
                  <w:r>
                    <w:rPr>
                      <w:rFonts w:hint="eastAsia"/>
                      <w:color w:val="auto"/>
                      <w:lang w:val="en-US" w:eastAsia="zh-CN"/>
                    </w:rPr>
                    <w:t>3</w:t>
                  </w:r>
                </w:p>
              </w:tc>
              <w:tc>
                <w:tcPr>
                  <w:tcW w:w="870" w:type="dxa"/>
                  <w:vMerge w:val="restart"/>
                  <w:vAlign w:val="center"/>
                </w:tcPr>
                <w:p>
                  <w:pPr>
                    <w:pStyle w:val="19"/>
                    <w:bidi w:val="0"/>
                    <w:rPr>
                      <w:rFonts w:hint="default"/>
                      <w:color w:val="auto"/>
                      <w:lang w:val="en-US" w:eastAsia="zh-CN"/>
                    </w:rPr>
                  </w:pPr>
                  <w:r>
                    <w:rPr>
                      <w:rFonts w:hint="eastAsia"/>
                      <w:color w:val="auto"/>
                      <w:lang w:val="en-US" w:eastAsia="zh-CN"/>
                    </w:rPr>
                    <w:t>绿化区</w:t>
                  </w: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表土</w:t>
                  </w:r>
                </w:p>
              </w:tc>
              <w:tc>
                <w:tcPr>
                  <w:tcW w:w="690" w:type="dxa"/>
                  <w:vAlign w:val="center"/>
                </w:tcPr>
                <w:p>
                  <w:pPr>
                    <w:pStyle w:val="19"/>
                    <w:bidi w:val="0"/>
                    <w:rPr>
                      <w:rFonts w:hint="default"/>
                      <w:color w:val="auto"/>
                      <w:lang w:val="en-US" w:eastAsia="zh-CN"/>
                    </w:rPr>
                  </w:pPr>
                  <w:r>
                    <w:rPr>
                      <w:rFonts w:hint="eastAsia"/>
                      <w:color w:val="auto"/>
                      <w:lang w:val="en-US" w:eastAsia="zh-CN"/>
                    </w:rPr>
                    <w:t>0.27</w:t>
                  </w:r>
                </w:p>
              </w:tc>
              <w:tc>
                <w:tcPr>
                  <w:tcW w:w="705" w:type="dxa"/>
                  <w:vAlign w:val="center"/>
                </w:tcPr>
                <w:p>
                  <w:pPr>
                    <w:pStyle w:val="19"/>
                    <w:bidi w:val="0"/>
                    <w:rPr>
                      <w:rFonts w:hint="default"/>
                      <w:color w:val="auto"/>
                      <w:lang w:val="en-US" w:eastAsia="zh-CN"/>
                    </w:rPr>
                  </w:pPr>
                  <w:r>
                    <w:rPr>
                      <w:rFonts w:hint="eastAsia"/>
                      <w:color w:val="auto"/>
                      <w:lang w:val="en-US" w:eastAsia="zh-CN"/>
                    </w:rPr>
                    <w:t>1.98</w:t>
                  </w:r>
                </w:p>
              </w:tc>
              <w:tc>
                <w:tcPr>
                  <w:tcW w:w="675" w:type="dxa"/>
                  <w:vAlign w:val="center"/>
                </w:tcPr>
                <w:p>
                  <w:pPr>
                    <w:pStyle w:val="19"/>
                    <w:bidi w:val="0"/>
                    <w:rPr>
                      <w:rFonts w:hint="default"/>
                      <w:color w:val="auto"/>
                      <w:lang w:val="en-US" w:eastAsia="zh-CN"/>
                    </w:rPr>
                  </w:pPr>
                  <w:r>
                    <w:rPr>
                      <w:rFonts w:hint="eastAsia"/>
                      <w:color w:val="auto"/>
                      <w:lang w:val="en-US" w:eastAsia="zh-CN"/>
                    </w:rPr>
                    <w:t>1.98</w:t>
                  </w:r>
                </w:p>
              </w:tc>
              <w:tc>
                <w:tcPr>
                  <w:tcW w:w="960" w:type="dxa"/>
                  <w:vAlign w:val="center"/>
                </w:tcPr>
                <w:p>
                  <w:pPr>
                    <w:pStyle w:val="19"/>
                    <w:bidi w:val="0"/>
                    <w:ind w:firstLine="0" w:firstLineChars="0"/>
                    <w:rPr>
                      <w:rFonts w:hint="default"/>
                      <w:color w:val="auto"/>
                      <w:lang w:val="en-US" w:eastAsia="zh-CN"/>
                    </w:rPr>
                  </w:pPr>
                  <w:r>
                    <w:rPr>
                      <w:rFonts w:hint="default"/>
                      <w:color w:val="auto"/>
                      <w:lang w:eastAsia="zh-CN"/>
                    </w:rPr>
                    <w:t>临时堆土区1</w:t>
                  </w:r>
                </w:p>
              </w:tc>
              <w:tc>
                <w:tcPr>
                  <w:tcW w:w="720" w:type="dxa"/>
                  <w:vAlign w:val="center"/>
                </w:tcPr>
                <w:p>
                  <w:pPr>
                    <w:pStyle w:val="19"/>
                    <w:bidi w:val="0"/>
                    <w:rPr>
                      <w:rFonts w:hint="default"/>
                      <w:color w:val="auto"/>
                      <w:lang w:val="en-US" w:eastAsia="zh-CN"/>
                    </w:rPr>
                  </w:pPr>
                  <w:r>
                    <w:rPr>
                      <w:rFonts w:hint="eastAsia"/>
                      <w:color w:val="auto"/>
                      <w:lang w:val="en-US" w:eastAsia="zh-CN"/>
                    </w:rPr>
                    <w:t>0.27</w:t>
                  </w:r>
                </w:p>
              </w:tc>
              <w:tc>
                <w:tcPr>
                  <w:tcW w:w="1035" w:type="dxa"/>
                  <w:vAlign w:val="center"/>
                </w:tcPr>
                <w:p>
                  <w:pPr>
                    <w:pStyle w:val="19"/>
                    <w:bidi w:val="0"/>
                    <w:ind w:firstLine="0" w:firstLineChars="0"/>
                    <w:rPr>
                      <w:rFonts w:hint="default"/>
                      <w:color w:val="auto"/>
                      <w:lang w:val="en-US" w:eastAsia="zh-CN"/>
                    </w:rPr>
                  </w:pPr>
                  <w:r>
                    <w:rPr>
                      <w:rFonts w:hint="default"/>
                      <w:color w:val="auto"/>
                      <w:lang w:eastAsia="zh-CN"/>
                    </w:rPr>
                    <w:t>临时堆土区1</w:t>
                  </w:r>
                </w:p>
              </w:tc>
              <w:tc>
                <w:tcPr>
                  <w:tcW w:w="1080" w:type="dxa"/>
                  <w:vAlign w:val="center"/>
                </w:tcPr>
                <w:p>
                  <w:pPr>
                    <w:pStyle w:val="19"/>
                    <w:bidi w:val="0"/>
                    <w:ind w:firstLine="0" w:firstLineChars="0"/>
                    <w:rPr>
                      <w:rFonts w:hint="default"/>
                      <w:color w:val="auto"/>
                      <w:lang w:val="en-US" w:eastAsia="zh-CN"/>
                    </w:rPr>
                  </w:pPr>
                  <w:r>
                    <w:rPr>
                      <w:rFonts w:hint="eastAsia"/>
                      <w:color w:val="auto"/>
                      <w:lang w:val="en-US" w:eastAsia="zh-CN"/>
                    </w:rPr>
                    <w:t>0.27</w:t>
                  </w: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软土</w:t>
                  </w:r>
                </w:p>
              </w:tc>
              <w:tc>
                <w:tcPr>
                  <w:tcW w:w="690" w:type="dxa"/>
                  <w:vAlign w:val="center"/>
                </w:tcPr>
                <w:p>
                  <w:pPr>
                    <w:pStyle w:val="19"/>
                    <w:bidi w:val="0"/>
                    <w:rPr>
                      <w:rFonts w:hint="default"/>
                      <w:color w:val="auto"/>
                      <w:lang w:val="en-US" w:eastAsia="zh-CN"/>
                    </w:rPr>
                  </w:pPr>
                  <w:r>
                    <w:rPr>
                      <w:rFonts w:hint="eastAsia"/>
                      <w:color w:val="auto"/>
                      <w:lang w:val="en-US" w:eastAsia="zh-CN"/>
                    </w:rPr>
                    <w:t>0.89</w:t>
                  </w:r>
                </w:p>
              </w:tc>
              <w:tc>
                <w:tcPr>
                  <w:tcW w:w="705" w:type="dxa"/>
                  <w:vAlign w:val="center"/>
                </w:tcPr>
                <w:p>
                  <w:pPr>
                    <w:pStyle w:val="19"/>
                    <w:bidi w:val="0"/>
                    <w:rPr>
                      <w:rFonts w:hint="default"/>
                      <w:color w:val="auto"/>
                      <w:lang w:val="en-US" w:eastAsia="zh-CN"/>
                    </w:rPr>
                  </w:pPr>
                  <w:r>
                    <w:rPr>
                      <w:rFonts w:hint="eastAsia"/>
                      <w:color w:val="auto"/>
                      <w:lang w:val="en-US" w:eastAsia="zh-CN"/>
                    </w:rPr>
                    <w:t>1.35</w:t>
                  </w:r>
                </w:p>
              </w:tc>
              <w:tc>
                <w:tcPr>
                  <w:tcW w:w="675" w:type="dxa"/>
                  <w:vAlign w:val="center"/>
                </w:tcPr>
                <w:p>
                  <w:pPr>
                    <w:pStyle w:val="19"/>
                    <w:bidi w:val="0"/>
                    <w:rPr>
                      <w:rFonts w:hint="default"/>
                      <w:color w:val="auto"/>
                      <w:lang w:val="en-US" w:eastAsia="zh-CN"/>
                    </w:rPr>
                  </w:pPr>
                  <w:r>
                    <w:rPr>
                      <w:rFonts w:hint="eastAsia"/>
                      <w:color w:val="auto"/>
                      <w:lang w:val="en-US" w:eastAsia="zh-CN"/>
                    </w:rPr>
                    <w:t>1.35</w:t>
                  </w:r>
                </w:p>
              </w:tc>
              <w:tc>
                <w:tcPr>
                  <w:tcW w:w="960" w:type="dxa"/>
                  <w:vAlign w:val="center"/>
                </w:tcPr>
                <w:p>
                  <w:pPr>
                    <w:pStyle w:val="19"/>
                    <w:bidi w:val="0"/>
                    <w:ind w:firstLine="0" w:firstLineChars="0"/>
                    <w:rPr>
                      <w:rFonts w:hint="default"/>
                      <w:color w:val="auto"/>
                      <w:lang w:val="en-US" w:eastAsia="zh-CN"/>
                    </w:rPr>
                  </w:pPr>
                  <w:r>
                    <w:rPr>
                      <w:rFonts w:hint="default"/>
                      <w:color w:val="auto"/>
                      <w:lang w:eastAsia="zh-CN"/>
                    </w:rPr>
                    <w:t>临时堆土区</w:t>
                  </w:r>
                  <w:r>
                    <w:rPr>
                      <w:rFonts w:hint="eastAsia"/>
                      <w:color w:val="auto"/>
                      <w:lang w:val="en-US" w:eastAsia="zh-CN"/>
                    </w:rPr>
                    <w:t>2</w:t>
                  </w:r>
                </w:p>
              </w:tc>
              <w:tc>
                <w:tcPr>
                  <w:tcW w:w="720" w:type="dxa"/>
                  <w:vAlign w:val="center"/>
                </w:tcPr>
                <w:p>
                  <w:pPr>
                    <w:pStyle w:val="19"/>
                    <w:bidi w:val="0"/>
                    <w:rPr>
                      <w:rFonts w:hint="default"/>
                      <w:color w:val="auto"/>
                      <w:lang w:val="en-US" w:eastAsia="zh-CN"/>
                    </w:rPr>
                  </w:pPr>
                  <w:r>
                    <w:rPr>
                      <w:rFonts w:hint="eastAsia"/>
                      <w:color w:val="auto"/>
                      <w:lang w:val="en-US" w:eastAsia="zh-CN"/>
                    </w:rPr>
                    <w:t>0.45</w:t>
                  </w:r>
                </w:p>
              </w:tc>
              <w:tc>
                <w:tcPr>
                  <w:tcW w:w="1035" w:type="dxa"/>
                  <w:vAlign w:val="center"/>
                </w:tcPr>
                <w:p>
                  <w:pPr>
                    <w:pStyle w:val="19"/>
                    <w:bidi w:val="0"/>
                    <w:ind w:firstLine="0" w:firstLineChars="0"/>
                    <w:rPr>
                      <w:rFonts w:hint="default"/>
                      <w:color w:val="auto"/>
                      <w:lang w:val="en-US" w:eastAsia="zh-CN"/>
                    </w:rPr>
                  </w:pPr>
                  <w:r>
                    <w:rPr>
                      <w:rFonts w:hint="default"/>
                      <w:color w:val="auto"/>
                      <w:lang w:eastAsia="zh-CN"/>
                    </w:rPr>
                    <w:t>临时堆土区</w:t>
                  </w:r>
                  <w:r>
                    <w:rPr>
                      <w:rFonts w:hint="eastAsia"/>
                      <w:color w:val="auto"/>
                      <w:lang w:val="en-US" w:eastAsia="zh-CN"/>
                    </w:rPr>
                    <w:t>2</w:t>
                  </w:r>
                </w:p>
              </w:tc>
              <w:tc>
                <w:tcPr>
                  <w:tcW w:w="1080" w:type="dxa"/>
                  <w:vAlign w:val="center"/>
                </w:tcPr>
                <w:p>
                  <w:pPr>
                    <w:pStyle w:val="19"/>
                    <w:bidi w:val="0"/>
                    <w:ind w:firstLine="0" w:firstLineChars="0"/>
                    <w:rPr>
                      <w:rFonts w:hint="default"/>
                      <w:color w:val="auto"/>
                      <w:lang w:val="en-US" w:eastAsia="zh-CN"/>
                    </w:rPr>
                  </w:pPr>
                  <w:r>
                    <w:rPr>
                      <w:rFonts w:hint="eastAsia"/>
                      <w:color w:val="auto"/>
                      <w:lang w:val="en-US" w:eastAsia="zh-CN"/>
                    </w:rPr>
                    <w:t>0.45</w:t>
                  </w: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土方</w:t>
                  </w:r>
                </w:p>
              </w:tc>
              <w:tc>
                <w:tcPr>
                  <w:tcW w:w="690" w:type="dxa"/>
                  <w:vAlign w:val="center"/>
                </w:tcPr>
                <w:p>
                  <w:pPr>
                    <w:pStyle w:val="19"/>
                    <w:bidi w:val="0"/>
                    <w:rPr>
                      <w:rFonts w:hint="default"/>
                      <w:color w:val="auto"/>
                      <w:lang w:val="en-US" w:eastAsia="zh-CN"/>
                    </w:rPr>
                  </w:pPr>
                  <w:r>
                    <w:rPr>
                      <w:rFonts w:hint="eastAsia"/>
                      <w:color w:val="auto"/>
                      <w:lang w:val="en-US" w:eastAsia="zh-CN"/>
                    </w:rPr>
                    <w:t>0.84</w:t>
                  </w:r>
                </w:p>
              </w:tc>
              <w:tc>
                <w:tcPr>
                  <w:tcW w:w="705" w:type="dxa"/>
                  <w:vAlign w:val="center"/>
                </w:tcPr>
                <w:p>
                  <w:pPr>
                    <w:pStyle w:val="19"/>
                    <w:bidi w:val="0"/>
                    <w:rPr>
                      <w:rFonts w:hint="default"/>
                      <w:color w:val="auto"/>
                      <w:lang w:val="en-US" w:eastAsia="zh-CN"/>
                    </w:rPr>
                  </w:pPr>
                  <w:r>
                    <w:rPr>
                      <w:rFonts w:hint="eastAsia"/>
                      <w:color w:val="auto"/>
                      <w:lang w:val="en-US" w:eastAsia="zh-CN"/>
                    </w:rPr>
                    <w:t>13.43</w:t>
                  </w: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p>
              </w:tc>
              <w:tc>
                <w:tcPr>
                  <w:tcW w:w="1035" w:type="dxa"/>
                  <w:vAlign w:val="center"/>
                </w:tcPr>
                <w:p>
                  <w:pPr>
                    <w:pStyle w:val="19"/>
                    <w:bidi w:val="0"/>
                    <w:rPr>
                      <w:rFonts w:hint="default"/>
                      <w:color w:val="auto"/>
                      <w:lang w:val="en-US" w:eastAsia="zh-CN"/>
                    </w:rPr>
                  </w:pPr>
                </w:p>
              </w:tc>
              <w:tc>
                <w:tcPr>
                  <w:tcW w:w="1080" w:type="dxa"/>
                  <w:vAlign w:val="center"/>
                </w:tcPr>
                <w:p>
                  <w:pPr>
                    <w:pStyle w:val="19"/>
                    <w:bidi w:val="0"/>
                    <w:rPr>
                      <w:rFonts w:hint="default"/>
                      <w:color w:val="auto"/>
                      <w:lang w:val="en-US" w:eastAsia="zh-CN"/>
                    </w:rPr>
                  </w:pPr>
                </w:p>
              </w:tc>
              <w:tc>
                <w:tcPr>
                  <w:tcW w:w="806" w:type="dxa"/>
                  <w:vAlign w:val="center"/>
                </w:tcPr>
                <w:p>
                  <w:pPr>
                    <w:pStyle w:val="19"/>
                    <w:bidi w:val="0"/>
                    <w:rPr>
                      <w:rFonts w:hint="default"/>
                      <w:color w:val="auto"/>
                      <w:lang w:val="en-US" w:eastAsia="zh-CN"/>
                    </w:rPr>
                  </w:pPr>
                  <w:r>
                    <w:rPr>
                      <w:rFonts w:hint="eastAsia"/>
                      <w:color w:val="auto"/>
                      <w:lang w:val="en-US" w:eastAsia="zh-CN"/>
                    </w:rPr>
                    <w:t>-12.59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427" w:type="dxa"/>
                  <w:vMerge w:val="restart"/>
                  <w:vAlign w:val="center"/>
                </w:tcPr>
                <w:p>
                  <w:pPr>
                    <w:pStyle w:val="19"/>
                    <w:bidi w:val="0"/>
                    <w:rPr>
                      <w:rFonts w:hint="default"/>
                      <w:color w:val="auto"/>
                      <w:lang w:val="en-US" w:eastAsia="zh-CN"/>
                    </w:rPr>
                  </w:pPr>
                  <w:r>
                    <w:rPr>
                      <w:rFonts w:hint="eastAsia"/>
                      <w:color w:val="auto"/>
                      <w:lang w:val="en-US" w:eastAsia="zh-CN"/>
                    </w:rPr>
                    <w:t>4</w:t>
                  </w:r>
                </w:p>
              </w:tc>
              <w:tc>
                <w:tcPr>
                  <w:tcW w:w="870" w:type="dxa"/>
                  <w:vMerge w:val="restart"/>
                  <w:vAlign w:val="center"/>
                </w:tcPr>
                <w:p>
                  <w:pPr>
                    <w:pStyle w:val="19"/>
                    <w:bidi w:val="0"/>
                    <w:rPr>
                      <w:rFonts w:hint="default"/>
                      <w:color w:val="auto"/>
                      <w:lang w:val="en-US" w:eastAsia="zh-CN"/>
                    </w:rPr>
                  </w:pPr>
                  <w:r>
                    <w:rPr>
                      <w:rFonts w:hint="eastAsia"/>
                      <w:color w:val="auto"/>
                      <w:lang w:val="en-US" w:eastAsia="zh-CN"/>
                    </w:rPr>
                    <w:t>水域区</w:t>
                  </w: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表土</w:t>
                  </w:r>
                </w:p>
              </w:tc>
              <w:tc>
                <w:tcPr>
                  <w:tcW w:w="690" w:type="dxa"/>
                  <w:vAlign w:val="center"/>
                </w:tcPr>
                <w:p>
                  <w:pPr>
                    <w:pStyle w:val="19"/>
                    <w:bidi w:val="0"/>
                    <w:rPr>
                      <w:rFonts w:hint="default"/>
                      <w:color w:val="auto"/>
                      <w:lang w:val="en-US" w:eastAsia="zh-CN"/>
                    </w:rPr>
                  </w:pPr>
                  <w:r>
                    <w:rPr>
                      <w:rFonts w:hint="eastAsia"/>
                      <w:color w:val="auto"/>
                      <w:lang w:val="en-US" w:eastAsia="zh-CN"/>
                    </w:rPr>
                    <w:t>0.19</w:t>
                  </w:r>
                </w:p>
              </w:tc>
              <w:tc>
                <w:tcPr>
                  <w:tcW w:w="705" w:type="dxa"/>
                  <w:vAlign w:val="center"/>
                </w:tcPr>
                <w:p>
                  <w:pPr>
                    <w:pStyle w:val="19"/>
                    <w:bidi w:val="0"/>
                    <w:rPr>
                      <w:rFonts w:hint="default"/>
                      <w:color w:val="auto"/>
                      <w:lang w:val="en-US" w:eastAsia="zh-CN"/>
                    </w:rPr>
                  </w:pP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r>
                    <w:rPr>
                      <w:rFonts w:hint="eastAsia"/>
                      <w:color w:val="auto"/>
                      <w:lang w:val="en-US" w:eastAsia="zh-CN"/>
                    </w:rPr>
                    <w:t>0.19</w:t>
                  </w:r>
                </w:p>
              </w:tc>
              <w:tc>
                <w:tcPr>
                  <w:tcW w:w="1035" w:type="dxa"/>
                  <w:vAlign w:val="center"/>
                </w:tcPr>
                <w:p>
                  <w:pPr>
                    <w:pStyle w:val="19"/>
                    <w:bidi w:val="0"/>
                    <w:ind w:firstLine="0" w:firstLineChars="0"/>
                    <w:rPr>
                      <w:rFonts w:hint="default"/>
                      <w:color w:val="auto"/>
                      <w:lang w:val="en-US" w:eastAsia="zh-CN"/>
                    </w:rPr>
                  </w:pPr>
                  <w:r>
                    <w:rPr>
                      <w:rFonts w:hint="default"/>
                      <w:color w:val="auto"/>
                      <w:lang w:eastAsia="zh-CN"/>
                    </w:rPr>
                    <w:t>临时堆土区1</w:t>
                  </w:r>
                </w:p>
              </w:tc>
              <w:tc>
                <w:tcPr>
                  <w:tcW w:w="1080" w:type="dxa"/>
                  <w:vAlign w:val="center"/>
                </w:tcPr>
                <w:p>
                  <w:pPr>
                    <w:pStyle w:val="19"/>
                    <w:bidi w:val="0"/>
                    <w:rPr>
                      <w:rFonts w:hint="default"/>
                      <w:color w:val="auto"/>
                      <w:lang w:val="en-US" w:eastAsia="zh-CN"/>
                    </w:rPr>
                  </w:pPr>
                  <w:r>
                    <w:rPr>
                      <w:rFonts w:hint="eastAsia"/>
                      <w:color w:val="auto"/>
                      <w:lang w:val="en-US" w:eastAsia="zh-CN"/>
                    </w:rPr>
                    <w:t>0.19</w:t>
                  </w: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软土</w:t>
                  </w:r>
                </w:p>
              </w:tc>
              <w:tc>
                <w:tcPr>
                  <w:tcW w:w="690" w:type="dxa"/>
                  <w:vAlign w:val="center"/>
                </w:tcPr>
                <w:p>
                  <w:pPr>
                    <w:pStyle w:val="19"/>
                    <w:bidi w:val="0"/>
                    <w:rPr>
                      <w:rFonts w:hint="default"/>
                      <w:color w:val="auto"/>
                      <w:lang w:val="en-US" w:eastAsia="zh-CN"/>
                    </w:rPr>
                  </w:pPr>
                  <w:r>
                    <w:rPr>
                      <w:rFonts w:hint="eastAsia"/>
                      <w:color w:val="auto"/>
                      <w:lang w:val="en-US" w:eastAsia="zh-CN"/>
                    </w:rPr>
                    <w:t>0.08</w:t>
                  </w:r>
                </w:p>
              </w:tc>
              <w:tc>
                <w:tcPr>
                  <w:tcW w:w="705" w:type="dxa"/>
                  <w:vAlign w:val="center"/>
                </w:tcPr>
                <w:p>
                  <w:pPr>
                    <w:pStyle w:val="19"/>
                    <w:bidi w:val="0"/>
                    <w:rPr>
                      <w:rFonts w:hint="default"/>
                      <w:color w:val="auto"/>
                      <w:lang w:val="en-US" w:eastAsia="zh-CN"/>
                    </w:rPr>
                  </w:pP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r>
                    <w:rPr>
                      <w:rFonts w:hint="eastAsia"/>
                      <w:color w:val="auto"/>
                      <w:lang w:val="en-US" w:eastAsia="zh-CN"/>
                    </w:rPr>
                    <w:t>0.04</w:t>
                  </w:r>
                </w:p>
              </w:tc>
              <w:tc>
                <w:tcPr>
                  <w:tcW w:w="1035" w:type="dxa"/>
                  <w:vAlign w:val="center"/>
                </w:tcPr>
                <w:p>
                  <w:pPr>
                    <w:pStyle w:val="19"/>
                    <w:bidi w:val="0"/>
                    <w:ind w:firstLine="0" w:firstLineChars="0"/>
                    <w:rPr>
                      <w:rFonts w:hint="default"/>
                      <w:color w:val="auto"/>
                      <w:lang w:val="en-US" w:eastAsia="zh-CN"/>
                    </w:rPr>
                  </w:pPr>
                  <w:r>
                    <w:rPr>
                      <w:rFonts w:hint="default"/>
                      <w:color w:val="auto"/>
                      <w:lang w:eastAsia="zh-CN"/>
                    </w:rPr>
                    <w:t>临时堆土区</w:t>
                  </w:r>
                  <w:r>
                    <w:rPr>
                      <w:rFonts w:hint="eastAsia"/>
                      <w:color w:val="auto"/>
                      <w:lang w:val="en-US" w:eastAsia="zh-CN"/>
                    </w:rPr>
                    <w:t>2</w:t>
                  </w:r>
                </w:p>
              </w:tc>
              <w:tc>
                <w:tcPr>
                  <w:tcW w:w="1080" w:type="dxa"/>
                  <w:vAlign w:val="center"/>
                </w:tcPr>
                <w:p>
                  <w:pPr>
                    <w:pStyle w:val="19"/>
                    <w:bidi w:val="0"/>
                    <w:rPr>
                      <w:rFonts w:hint="default"/>
                      <w:color w:val="auto"/>
                      <w:lang w:val="en-US" w:eastAsia="zh-CN"/>
                    </w:rPr>
                  </w:pPr>
                  <w:r>
                    <w:rPr>
                      <w:rFonts w:hint="eastAsia"/>
                      <w:color w:val="auto"/>
                      <w:lang w:val="en-US" w:eastAsia="zh-CN"/>
                    </w:rPr>
                    <w:t>0.04</w:t>
                  </w: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土方</w:t>
                  </w:r>
                </w:p>
              </w:tc>
              <w:tc>
                <w:tcPr>
                  <w:tcW w:w="690" w:type="dxa"/>
                  <w:vAlign w:val="center"/>
                </w:tcPr>
                <w:p>
                  <w:pPr>
                    <w:pStyle w:val="19"/>
                    <w:bidi w:val="0"/>
                    <w:rPr>
                      <w:rFonts w:hint="default"/>
                      <w:color w:val="auto"/>
                      <w:lang w:val="en-US" w:eastAsia="zh-CN"/>
                    </w:rPr>
                  </w:pPr>
                  <w:r>
                    <w:rPr>
                      <w:rFonts w:hint="eastAsia"/>
                      <w:color w:val="auto"/>
                      <w:lang w:val="en-US" w:eastAsia="zh-CN"/>
                    </w:rPr>
                    <w:t>0.26</w:t>
                  </w:r>
                </w:p>
              </w:tc>
              <w:tc>
                <w:tcPr>
                  <w:tcW w:w="705" w:type="dxa"/>
                  <w:vAlign w:val="center"/>
                </w:tcPr>
                <w:p>
                  <w:pPr>
                    <w:pStyle w:val="19"/>
                    <w:bidi w:val="0"/>
                    <w:rPr>
                      <w:rFonts w:hint="default"/>
                      <w:color w:val="auto"/>
                      <w:lang w:val="en-US" w:eastAsia="zh-CN"/>
                    </w:rPr>
                  </w:pPr>
                  <w:r>
                    <w:rPr>
                      <w:rFonts w:hint="eastAsia"/>
                      <w:color w:val="auto"/>
                      <w:lang w:val="en-US" w:eastAsia="zh-CN"/>
                    </w:rPr>
                    <w:t>0.65</w:t>
                  </w: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p>
              </w:tc>
              <w:tc>
                <w:tcPr>
                  <w:tcW w:w="1035" w:type="dxa"/>
                  <w:vAlign w:val="center"/>
                </w:tcPr>
                <w:p>
                  <w:pPr>
                    <w:pStyle w:val="19"/>
                    <w:bidi w:val="0"/>
                    <w:rPr>
                      <w:rFonts w:hint="default"/>
                      <w:color w:val="auto"/>
                      <w:lang w:val="en-US" w:eastAsia="zh-CN"/>
                    </w:rPr>
                  </w:pPr>
                </w:p>
              </w:tc>
              <w:tc>
                <w:tcPr>
                  <w:tcW w:w="1080" w:type="dxa"/>
                  <w:vAlign w:val="center"/>
                </w:tcPr>
                <w:p>
                  <w:pPr>
                    <w:pStyle w:val="19"/>
                    <w:bidi w:val="0"/>
                    <w:rPr>
                      <w:rFonts w:hint="default"/>
                      <w:color w:val="auto"/>
                      <w:lang w:val="en-US" w:eastAsia="zh-CN"/>
                    </w:rPr>
                  </w:pPr>
                </w:p>
              </w:tc>
              <w:tc>
                <w:tcPr>
                  <w:tcW w:w="806" w:type="dxa"/>
                  <w:vAlign w:val="center"/>
                </w:tcPr>
                <w:p>
                  <w:pPr>
                    <w:pStyle w:val="19"/>
                    <w:bidi w:val="0"/>
                    <w:rPr>
                      <w:rFonts w:hint="default"/>
                      <w:color w:val="auto"/>
                      <w:lang w:val="en-US" w:eastAsia="zh-CN"/>
                    </w:rPr>
                  </w:pPr>
                  <w:r>
                    <w:rPr>
                      <w:rFonts w:hint="eastAsia"/>
                      <w:color w:val="auto"/>
                      <w:lang w:val="en-US" w:eastAsia="zh-CN"/>
                    </w:rPr>
                    <w:t>-0.39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restart"/>
                  <w:vAlign w:val="center"/>
                </w:tcPr>
                <w:p>
                  <w:pPr>
                    <w:pStyle w:val="19"/>
                    <w:bidi w:val="0"/>
                    <w:rPr>
                      <w:rFonts w:hint="default"/>
                      <w:color w:val="auto"/>
                      <w:lang w:val="en-US" w:eastAsia="zh-CN"/>
                    </w:rPr>
                  </w:pPr>
                  <w:r>
                    <w:rPr>
                      <w:rFonts w:hint="eastAsia"/>
                      <w:color w:val="auto"/>
                      <w:lang w:val="en-US" w:eastAsia="zh-CN"/>
                    </w:rPr>
                    <w:t>5</w:t>
                  </w:r>
                </w:p>
              </w:tc>
              <w:tc>
                <w:tcPr>
                  <w:tcW w:w="870" w:type="dxa"/>
                  <w:vMerge w:val="restart"/>
                  <w:vAlign w:val="center"/>
                </w:tcPr>
                <w:p>
                  <w:pPr>
                    <w:pStyle w:val="19"/>
                    <w:bidi w:val="0"/>
                    <w:rPr>
                      <w:rFonts w:hint="default"/>
                      <w:color w:val="auto"/>
                      <w:lang w:val="en-US" w:eastAsia="zh-CN"/>
                    </w:rPr>
                  </w:pPr>
                  <w:r>
                    <w:rPr>
                      <w:rFonts w:hint="eastAsia"/>
                      <w:color w:val="auto"/>
                      <w:lang w:val="en-US" w:eastAsia="zh-CN"/>
                    </w:rPr>
                    <w:t>临时停车场区</w:t>
                  </w: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表土</w:t>
                  </w:r>
                </w:p>
              </w:tc>
              <w:tc>
                <w:tcPr>
                  <w:tcW w:w="690" w:type="dxa"/>
                  <w:vAlign w:val="center"/>
                </w:tcPr>
                <w:p>
                  <w:pPr>
                    <w:pStyle w:val="19"/>
                    <w:bidi w:val="0"/>
                    <w:rPr>
                      <w:rFonts w:hint="default"/>
                      <w:color w:val="auto"/>
                      <w:lang w:val="en-US" w:eastAsia="zh-CN"/>
                    </w:rPr>
                  </w:pPr>
                  <w:r>
                    <w:rPr>
                      <w:rFonts w:hint="eastAsia"/>
                      <w:color w:val="auto"/>
                      <w:lang w:val="en-US" w:eastAsia="zh-CN"/>
                    </w:rPr>
                    <w:t>0.54</w:t>
                  </w:r>
                </w:p>
              </w:tc>
              <w:tc>
                <w:tcPr>
                  <w:tcW w:w="705" w:type="dxa"/>
                  <w:vAlign w:val="center"/>
                </w:tcPr>
                <w:p>
                  <w:pPr>
                    <w:pStyle w:val="19"/>
                    <w:bidi w:val="0"/>
                    <w:rPr>
                      <w:rFonts w:hint="default"/>
                      <w:color w:val="auto"/>
                      <w:lang w:val="en-US" w:eastAsia="zh-CN"/>
                    </w:rPr>
                  </w:pP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r>
                    <w:rPr>
                      <w:rFonts w:hint="eastAsia"/>
                      <w:color w:val="auto"/>
                      <w:lang w:val="en-US" w:eastAsia="zh-CN"/>
                    </w:rPr>
                    <w:t>0.54</w:t>
                  </w:r>
                </w:p>
              </w:tc>
              <w:tc>
                <w:tcPr>
                  <w:tcW w:w="1035" w:type="dxa"/>
                  <w:vAlign w:val="center"/>
                </w:tcPr>
                <w:p>
                  <w:pPr>
                    <w:pStyle w:val="19"/>
                    <w:bidi w:val="0"/>
                    <w:rPr>
                      <w:rFonts w:hint="default"/>
                      <w:color w:val="auto"/>
                      <w:lang w:val="en-US" w:eastAsia="zh-CN"/>
                    </w:rPr>
                  </w:pPr>
                  <w:r>
                    <w:rPr>
                      <w:rFonts w:hint="default"/>
                      <w:color w:val="auto"/>
                      <w:lang w:eastAsia="zh-CN"/>
                    </w:rPr>
                    <w:t>临时堆土区1</w:t>
                  </w:r>
                </w:p>
              </w:tc>
              <w:tc>
                <w:tcPr>
                  <w:tcW w:w="1080" w:type="dxa"/>
                  <w:vAlign w:val="center"/>
                </w:tcPr>
                <w:p>
                  <w:pPr>
                    <w:pStyle w:val="19"/>
                    <w:bidi w:val="0"/>
                    <w:rPr>
                      <w:rFonts w:hint="default"/>
                      <w:color w:val="auto"/>
                      <w:lang w:val="en-US" w:eastAsia="zh-CN"/>
                    </w:rPr>
                  </w:pPr>
                  <w:r>
                    <w:rPr>
                      <w:rFonts w:hint="eastAsia"/>
                      <w:color w:val="auto"/>
                      <w:lang w:val="en-US" w:eastAsia="zh-CN"/>
                    </w:rPr>
                    <w:t>0.54</w:t>
                  </w: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软土</w:t>
                  </w:r>
                </w:p>
              </w:tc>
              <w:tc>
                <w:tcPr>
                  <w:tcW w:w="690" w:type="dxa"/>
                  <w:vAlign w:val="center"/>
                </w:tcPr>
                <w:p>
                  <w:pPr>
                    <w:pStyle w:val="19"/>
                    <w:bidi w:val="0"/>
                    <w:rPr>
                      <w:rFonts w:hint="default"/>
                      <w:color w:val="auto"/>
                      <w:lang w:val="en-US" w:eastAsia="zh-CN"/>
                    </w:rPr>
                  </w:pPr>
                  <w:r>
                    <w:rPr>
                      <w:rFonts w:hint="eastAsia"/>
                      <w:color w:val="auto"/>
                      <w:lang w:val="en-US" w:eastAsia="zh-CN"/>
                    </w:rPr>
                    <w:t>0.23</w:t>
                  </w:r>
                </w:p>
              </w:tc>
              <w:tc>
                <w:tcPr>
                  <w:tcW w:w="705" w:type="dxa"/>
                  <w:vAlign w:val="center"/>
                </w:tcPr>
                <w:p>
                  <w:pPr>
                    <w:pStyle w:val="19"/>
                    <w:bidi w:val="0"/>
                    <w:rPr>
                      <w:rFonts w:hint="default"/>
                      <w:color w:val="auto"/>
                      <w:lang w:val="en-US" w:eastAsia="zh-CN"/>
                    </w:rPr>
                  </w:pP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r>
                    <w:rPr>
                      <w:rFonts w:hint="eastAsia"/>
                      <w:color w:val="auto"/>
                      <w:lang w:val="en-US" w:eastAsia="zh-CN"/>
                    </w:rPr>
                    <w:t>0.11</w:t>
                  </w:r>
                </w:p>
              </w:tc>
              <w:tc>
                <w:tcPr>
                  <w:tcW w:w="1035" w:type="dxa"/>
                  <w:vAlign w:val="center"/>
                </w:tcPr>
                <w:p>
                  <w:pPr>
                    <w:pStyle w:val="19"/>
                    <w:bidi w:val="0"/>
                    <w:rPr>
                      <w:rFonts w:hint="default"/>
                      <w:color w:val="auto"/>
                      <w:lang w:val="en-US" w:eastAsia="zh-CN"/>
                    </w:rPr>
                  </w:pPr>
                  <w:r>
                    <w:rPr>
                      <w:rFonts w:hint="default"/>
                      <w:color w:val="auto"/>
                      <w:lang w:eastAsia="zh-CN"/>
                    </w:rPr>
                    <w:t>临时堆土区</w:t>
                  </w:r>
                  <w:r>
                    <w:rPr>
                      <w:rFonts w:hint="eastAsia"/>
                      <w:color w:val="auto"/>
                      <w:lang w:val="en-US" w:eastAsia="zh-CN"/>
                    </w:rPr>
                    <w:t>2</w:t>
                  </w:r>
                </w:p>
              </w:tc>
              <w:tc>
                <w:tcPr>
                  <w:tcW w:w="1080" w:type="dxa"/>
                  <w:vAlign w:val="center"/>
                </w:tcPr>
                <w:p>
                  <w:pPr>
                    <w:pStyle w:val="19"/>
                    <w:bidi w:val="0"/>
                    <w:rPr>
                      <w:rFonts w:hint="default"/>
                      <w:color w:val="auto"/>
                      <w:lang w:val="en-US" w:eastAsia="zh-CN"/>
                    </w:rPr>
                  </w:pPr>
                  <w:r>
                    <w:rPr>
                      <w:rFonts w:hint="eastAsia"/>
                      <w:color w:val="auto"/>
                      <w:lang w:val="en-US" w:eastAsia="zh-CN"/>
                    </w:rPr>
                    <w:t>0.11</w:t>
                  </w: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土方</w:t>
                  </w:r>
                </w:p>
              </w:tc>
              <w:tc>
                <w:tcPr>
                  <w:tcW w:w="690" w:type="dxa"/>
                  <w:vAlign w:val="center"/>
                </w:tcPr>
                <w:p>
                  <w:pPr>
                    <w:pStyle w:val="19"/>
                    <w:bidi w:val="0"/>
                    <w:rPr>
                      <w:rFonts w:hint="default"/>
                      <w:color w:val="auto"/>
                      <w:lang w:val="en-US" w:eastAsia="zh-CN"/>
                    </w:rPr>
                  </w:pPr>
                  <w:r>
                    <w:rPr>
                      <w:rFonts w:hint="eastAsia"/>
                      <w:color w:val="auto"/>
                      <w:lang w:val="en-US" w:eastAsia="zh-CN"/>
                    </w:rPr>
                    <w:t>0.60</w:t>
                  </w:r>
                </w:p>
              </w:tc>
              <w:tc>
                <w:tcPr>
                  <w:tcW w:w="705" w:type="dxa"/>
                  <w:vAlign w:val="center"/>
                </w:tcPr>
                <w:p>
                  <w:pPr>
                    <w:pStyle w:val="19"/>
                    <w:bidi w:val="0"/>
                    <w:rPr>
                      <w:rFonts w:hint="default"/>
                      <w:color w:val="auto"/>
                      <w:lang w:val="en-US" w:eastAsia="zh-CN"/>
                    </w:rPr>
                  </w:pPr>
                  <w:r>
                    <w:rPr>
                      <w:rFonts w:hint="eastAsia"/>
                      <w:color w:val="auto"/>
                      <w:lang w:val="en-US" w:eastAsia="zh-CN"/>
                    </w:rPr>
                    <w:t>1.20</w:t>
                  </w: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p>
              </w:tc>
              <w:tc>
                <w:tcPr>
                  <w:tcW w:w="1035" w:type="dxa"/>
                  <w:vAlign w:val="center"/>
                </w:tcPr>
                <w:p>
                  <w:pPr>
                    <w:pStyle w:val="19"/>
                    <w:bidi w:val="0"/>
                    <w:rPr>
                      <w:rFonts w:hint="default"/>
                      <w:color w:val="auto"/>
                      <w:lang w:val="en-US" w:eastAsia="zh-CN"/>
                    </w:rPr>
                  </w:pPr>
                </w:p>
              </w:tc>
              <w:tc>
                <w:tcPr>
                  <w:tcW w:w="1080" w:type="dxa"/>
                  <w:vAlign w:val="center"/>
                </w:tcPr>
                <w:p>
                  <w:pPr>
                    <w:pStyle w:val="19"/>
                    <w:bidi w:val="0"/>
                    <w:rPr>
                      <w:rFonts w:hint="default"/>
                      <w:color w:val="auto"/>
                      <w:lang w:val="en-US" w:eastAsia="zh-CN"/>
                    </w:rPr>
                  </w:pPr>
                </w:p>
              </w:tc>
              <w:tc>
                <w:tcPr>
                  <w:tcW w:w="806" w:type="dxa"/>
                  <w:vAlign w:val="center"/>
                </w:tcPr>
                <w:p>
                  <w:pPr>
                    <w:pStyle w:val="19"/>
                    <w:bidi w:val="0"/>
                    <w:rPr>
                      <w:rFonts w:hint="default"/>
                      <w:color w:val="auto"/>
                      <w:lang w:val="en-US" w:eastAsia="zh-CN"/>
                    </w:rPr>
                  </w:pPr>
                  <w:r>
                    <w:rPr>
                      <w:rFonts w:hint="eastAsia"/>
                      <w:color w:val="auto"/>
                      <w:lang w:val="en-US" w:eastAsia="zh-CN"/>
                    </w:rPr>
                    <w:t>-0.60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restart"/>
                  <w:vAlign w:val="center"/>
                </w:tcPr>
                <w:p>
                  <w:pPr>
                    <w:pStyle w:val="19"/>
                    <w:bidi w:val="0"/>
                    <w:rPr>
                      <w:rFonts w:hint="default"/>
                      <w:color w:val="auto"/>
                      <w:lang w:val="en-US" w:eastAsia="zh-CN"/>
                    </w:rPr>
                  </w:pPr>
                  <w:r>
                    <w:rPr>
                      <w:rFonts w:hint="eastAsia"/>
                      <w:color w:val="auto"/>
                      <w:lang w:val="en-US" w:eastAsia="zh-CN"/>
                    </w:rPr>
                    <w:t>6</w:t>
                  </w:r>
                </w:p>
              </w:tc>
              <w:tc>
                <w:tcPr>
                  <w:tcW w:w="870" w:type="dxa"/>
                  <w:vMerge w:val="restart"/>
                  <w:vAlign w:val="center"/>
                </w:tcPr>
                <w:p>
                  <w:pPr>
                    <w:pStyle w:val="19"/>
                    <w:bidi w:val="0"/>
                    <w:rPr>
                      <w:rFonts w:hint="default"/>
                      <w:color w:val="auto"/>
                      <w:lang w:val="en-US" w:eastAsia="zh-CN"/>
                    </w:rPr>
                  </w:pPr>
                  <w:r>
                    <w:rPr>
                      <w:rFonts w:hint="eastAsia"/>
                      <w:color w:val="auto"/>
                      <w:lang w:val="en-US" w:eastAsia="zh-CN"/>
                    </w:rPr>
                    <w:t>拓展用地区</w:t>
                  </w: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表土</w:t>
                  </w:r>
                </w:p>
              </w:tc>
              <w:tc>
                <w:tcPr>
                  <w:tcW w:w="690" w:type="dxa"/>
                  <w:vAlign w:val="center"/>
                </w:tcPr>
                <w:p>
                  <w:pPr>
                    <w:pStyle w:val="19"/>
                    <w:bidi w:val="0"/>
                    <w:rPr>
                      <w:rFonts w:hint="default"/>
                      <w:color w:val="auto"/>
                      <w:lang w:val="en-US" w:eastAsia="zh-CN"/>
                    </w:rPr>
                  </w:pPr>
                  <w:r>
                    <w:rPr>
                      <w:rFonts w:hint="eastAsia"/>
                      <w:color w:val="auto"/>
                      <w:lang w:val="en-US" w:eastAsia="zh-CN"/>
                    </w:rPr>
                    <w:t>0.37</w:t>
                  </w:r>
                </w:p>
              </w:tc>
              <w:tc>
                <w:tcPr>
                  <w:tcW w:w="705" w:type="dxa"/>
                  <w:vAlign w:val="center"/>
                </w:tcPr>
                <w:p>
                  <w:pPr>
                    <w:pStyle w:val="19"/>
                    <w:bidi w:val="0"/>
                    <w:rPr>
                      <w:rFonts w:hint="default"/>
                      <w:color w:val="auto"/>
                      <w:lang w:val="en-US" w:eastAsia="zh-CN"/>
                    </w:rPr>
                  </w:pP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r>
                    <w:rPr>
                      <w:rFonts w:hint="eastAsia"/>
                      <w:color w:val="auto"/>
                      <w:lang w:val="en-US" w:eastAsia="zh-CN"/>
                    </w:rPr>
                    <w:t>0.37</w:t>
                  </w:r>
                </w:p>
              </w:tc>
              <w:tc>
                <w:tcPr>
                  <w:tcW w:w="1035" w:type="dxa"/>
                  <w:vAlign w:val="center"/>
                </w:tcPr>
                <w:p>
                  <w:pPr>
                    <w:pStyle w:val="19"/>
                    <w:bidi w:val="0"/>
                    <w:rPr>
                      <w:rFonts w:hint="default"/>
                      <w:color w:val="auto"/>
                      <w:lang w:val="en-US" w:eastAsia="zh-CN"/>
                    </w:rPr>
                  </w:pPr>
                  <w:r>
                    <w:rPr>
                      <w:rFonts w:hint="default"/>
                      <w:color w:val="auto"/>
                      <w:lang w:eastAsia="zh-CN"/>
                    </w:rPr>
                    <w:t>临时堆土区1</w:t>
                  </w:r>
                </w:p>
              </w:tc>
              <w:tc>
                <w:tcPr>
                  <w:tcW w:w="1080" w:type="dxa"/>
                  <w:vAlign w:val="center"/>
                </w:tcPr>
                <w:p>
                  <w:pPr>
                    <w:pStyle w:val="19"/>
                    <w:bidi w:val="0"/>
                    <w:ind w:firstLine="0" w:firstLineChars="0"/>
                    <w:rPr>
                      <w:rFonts w:hint="default"/>
                      <w:color w:val="auto"/>
                      <w:lang w:val="en-US" w:eastAsia="zh-CN"/>
                    </w:rPr>
                  </w:pPr>
                  <w:r>
                    <w:rPr>
                      <w:rFonts w:hint="eastAsia"/>
                      <w:color w:val="auto"/>
                      <w:lang w:val="en-US" w:eastAsia="zh-CN"/>
                    </w:rPr>
                    <w:t>0.37</w:t>
                  </w: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软土</w:t>
                  </w:r>
                </w:p>
              </w:tc>
              <w:tc>
                <w:tcPr>
                  <w:tcW w:w="690" w:type="dxa"/>
                  <w:vAlign w:val="center"/>
                </w:tcPr>
                <w:p>
                  <w:pPr>
                    <w:pStyle w:val="19"/>
                    <w:bidi w:val="0"/>
                    <w:rPr>
                      <w:rFonts w:hint="default"/>
                      <w:color w:val="auto"/>
                      <w:lang w:val="en-US" w:eastAsia="zh-CN"/>
                    </w:rPr>
                  </w:pPr>
                  <w:r>
                    <w:rPr>
                      <w:rFonts w:hint="eastAsia"/>
                      <w:color w:val="auto"/>
                      <w:lang w:val="en-US" w:eastAsia="zh-CN"/>
                    </w:rPr>
                    <w:t>0.21</w:t>
                  </w:r>
                </w:p>
              </w:tc>
              <w:tc>
                <w:tcPr>
                  <w:tcW w:w="705" w:type="dxa"/>
                  <w:vAlign w:val="center"/>
                </w:tcPr>
                <w:p>
                  <w:pPr>
                    <w:pStyle w:val="19"/>
                    <w:bidi w:val="0"/>
                    <w:rPr>
                      <w:rFonts w:hint="default"/>
                      <w:color w:val="auto"/>
                      <w:lang w:val="en-US" w:eastAsia="zh-CN"/>
                    </w:rPr>
                  </w:pP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r>
                    <w:rPr>
                      <w:rFonts w:hint="eastAsia"/>
                      <w:color w:val="auto"/>
                      <w:lang w:val="en-US" w:eastAsia="zh-CN"/>
                    </w:rPr>
                    <w:t>0.10</w:t>
                  </w:r>
                </w:p>
              </w:tc>
              <w:tc>
                <w:tcPr>
                  <w:tcW w:w="1035" w:type="dxa"/>
                  <w:vAlign w:val="center"/>
                </w:tcPr>
                <w:p>
                  <w:pPr>
                    <w:pStyle w:val="19"/>
                    <w:bidi w:val="0"/>
                    <w:rPr>
                      <w:rFonts w:hint="default"/>
                      <w:color w:val="auto"/>
                      <w:lang w:val="en-US" w:eastAsia="zh-CN"/>
                    </w:rPr>
                  </w:pPr>
                  <w:r>
                    <w:rPr>
                      <w:rFonts w:hint="default"/>
                      <w:color w:val="auto"/>
                      <w:lang w:eastAsia="zh-CN"/>
                    </w:rPr>
                    <w:t>临时堆土区</w:t>
                  </w:r>
                  <w:r>
                    <w:rPr>
                      <w:rFonts w:hint="eastAsia"/>
                      <w:color w:val="auto"/>
                      <w:lang w:val="en-US" w:eastAsia="zh-CN"/>
                    </w:rPr>
                    <w:t>2</w:t>
                  </w:r>
                </w:p>
              </w:tc>
              <w:tc>
                <w:tcPr>
                  <w:tcW w:w="1080" w:type="dxa"/>
                  <w:vAlign w:val="center"/>
                </w:tcPr>
                <w:p>
                  <w:pPr>
                    <w:pStyle w:val="19"/>
                    <w:bidi w:val="0"/>
                    <w:ind w:firstLine="0" w:firstLineChars="0"/>
                    <w:rPr>
                      <w:rFonts w:hint="default"/>
                      <w:color w:val="auto"/>
                      <w:lang w:val="en-US" w:eastAsia="zh-CN"/>
                    </w:rPr>
                  </w:pPr>
                  <w:r>
                    <w:rPr>
                      <w:rFonts w:hint="eastAsia"/>
                      <w:color w:val="auto"/>
                      <w:lang w:val="en-US" w:eastAsia="zh-CN"/>
                    </w:rPr>
                    <w:t>0.10</w:t>
                  </w: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土方</w:t>
                  </w:r>
                </w:p>
              </w:tc>
              <w:tc>
                <w:tcPr>
                  <w:tcW w:w="690" w:type="dxa"/>
                  <w:vAlign w:val="center"/>
                </w:tcPr>
                <w:p>
                  <w:pPr>
                    <w:pStyle w:val="19"/>
                    <w:bidi w:val="0"/>
                    <w:rPr>
                      <w:rFonts w:hint="default"/>
                      <w:color w:val="auto"/>
                      <w:lang w:val="en-US" w:eastAsia="zh-CN"/>
                    </w:rPr>
                  </w:pPr>
                  <w:r>
                    <w:rPr>
                      <w:rFonts w:hint="eastAsia"/>
                      <w:color w:val="auto"/>
                      <w:lang w:val="en-US" w:eastAsia="zh-CN"/>
                    </w:rPr>
                    <w:t>0.56</w:t>
                  </w:r>
                </w:p>
              </w:tc>
              <w:tc>
                <w:tcPr>
                  <w:tcW w:w="705" w:type="dxa"/>
                  <w:vAlign w:val="center"/>
                </w:tcPr>
                <w:p>
                  <w:pPr>
                    <w:pStyle w:val="19"/>
                    <w:bidi w:val="0"/>
                    <w:rPr>
                      <w:rFonts w:hint="default"/>
                      <w:color w:val="auto"/>
                      <w:lang w:val="en-US" w:eastAsia="zh-CN"/>
                    </w:rPr>
                  </w:pPr>
                  <w:r>
                    <w:rPr>
                      <w:rFonts w:hint="eastAsia"/>
                      <w:color w:val="auto"/>
                      <w:lang w:val="en-US" w:eastAsia="zh-CN"/>
                    </w:rPr>
                    <w:t>2.38</w:t>
                  </w: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p>
              </w:tc>
              <w:tc>
                <w:tcPr>
                  <w:tcW w:w="1035" w:type="dxa"/>
                  <w:vAlign w:val="center"/>
                </w:tcPr>
                <w:p>
                  <w:pPr>
                    <w:pStyle w:val="19"/>
                    <w:bidi w:val="0"/>
                    <w:rPr>
                      <w:rFonts w:hint="default"/>
                      <w:color w:val="auto"/>
                      <w:lang w:val="en-US" w:eastAsia="zh-CN"/>
                    </w:rPr>
                  </w:pPr>
                </w:p>
              </w:tc>
              <w:tc>
                <w:tcPr>
                  <w:tcW w:w="1080" w:type="dxa"/>
                  <w:vAlign w:val="center"/>
                </w:tcPr>
                <w:p>
                  <w:pPr>
                    <w:pStyle w:val="19"/>
                    <w:bidi w:val="0"/>
                    <w:rPr>
                      <w:rFonts w:hint="default"/>
                      <w:color w:val="auto"/>
                      <w:lang w:val="en-US" w:eastAsia="zh-CN"/>
                    </w:rPr>
                  </w:pPr>
                </w:p>
              </w:tc>
              <w:tc>
                <w:tcPr>
                  <w:tcW w:w="806" w:type="dxa"/>
                  <w:vAlign w:val="center"/>
                </w:tcPr>
                <w:p>
                  <w:pPr>
                    <w:pStyle w:val="19"/>
                    <w:bidi w:val="0"/>
                    <w:rPr>
                      <w:rFonts w:hint="default"/>
                      <w:color w:val="auto"/>
                      <w:lang w:val="en-US" w:eastAsia="zh-CN"/>
                    </w:rPr>
                  </w:pPr>
                  <w:r>
                    <w:rPr>
                      <w:rFonts w:hint="eastAsia"/>
                      <w:color w:val="auto"/>
                      <w:lang w:val="en-US" w:eastAsia="zh-CN"/>
                    </w:rPr>
                    <w:t>-1.82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restart"/>
                  <w:vAlign w:val="center"/>
                </w:tcPr>
                <w:p>
                  <w:pPr>
                    <w:pStyle w:val="19"/>
                    <w:bidi w:val="0"/>
                    <w:ind w:firstLine="0" w:firstLineChars="0"/>
                    <w:rPr>
                      <w:rFonts w:hint="eastAsia"/>
                      <w:color w:val="auto"/>
                      <w:lang w:val="en-US" w:eastAsia="zh-CN"/>
                    </w:rPr>
                  </w:pPr>
                  <w:r>
                    <w:rPr>
                      <w:rFonts w:hint="eastAsia"/>
                      <w:color w:val="auto"/>
                      <w:lang w:val="en-US" w:eastAsia="zh-CN"/>
                    </w:rPr>
                    <w:t>7</w:t>
                  </w:r>
                </w:p>
              </w:tc>
              <w:tc>
                <w:tcPr>
                  <w:tcW w:w="870" w:type="dxa"/>
                  <w:vMerge w:val="restart"/>
                  <w:vAlign w:val="center"/>
                </w:tcPr>
                <w:p>
                  <w:pPr>
                    <w:pStyle w:val="19"/>
                    <w:bidi w:val="0"/>
                    <w:ind w:firstLine="0" w:firstLineChars="0"/>
                    <w:rPr>
                      <w:rFonts w:hint="eastAsia"/>
                      <w:color w:val="auto"/>
                      <w:lang w:val="en-US" w:eastAsia="zh-CN"/>
                    </w:rPr>
                  </w:pPr>
                  <w:r>
                    <w:rPr>
                      <w:rFonts w:hint="eastAsia"/>
                      <w:color w:val="auto"/>
                      <w:lang w:val="en-US" w:eastAsia="zh-CN"/>
                    </w:rPr>
                    <w:t>小计</w:t>
                  </w: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表土</w:t>
                  </w:r>
                </w:p>
              </w:tc>
              <w:tc>
                <w:tcPr>
                  <w:tcW w:w="690" w:type="dxa"/>
                  <w:vAlign w:val="center"/>
                </w:tcPr>
                <w:p>
                  <w:pPr>
                    <w:pStyle w:val="19"/>
                    <w:bidi w:val="0"/>
                    <w:rPr>
                      <w:rFonts w:hint="default"/>
                      <w:color w:val="auto"/>
                      <w:lang w:val="en-US" w:eastAsia="zh-CN"/>
                    </w:rPr>
                  </w:pPr>
                  <w:r>
                    <w:rPr>
                      <w:rFonts w:hint="eastAsia"/>
                      <w:color w:val="auto"/>
                      <w:lang w:val="en-US" w:eastAsia="zh-CN"/>
                    </w:rPr>
                    <w:t>1.98</w:t>
                  </w:r>
                </w:p>
              </w:tc>
              <w:tc>
                <w:tcPr>
                  <w:tcW w:w="705" w:type="dxa"/>
                  <w:vAlign w:val="center"/>
                </w:tcPr>
                <w:p>
                  <w:pPr>
                    <w:pStyle w:val="19"/>
                    <w:bidi w:val="0"/>
                    <w:rPr>
                      <w:rFonts w:hint="default"/>
                      <w:color w:val="auto"/>
                      <w:lang w:val="en-US" w:eastAsia="zh-CN"/>
                    </w:rPr>
                  </w:pPr>
                  <w:r>
                    <w:rPr>
                      <w:rFonts w:hint="eastAsia"/>
                      <w:color w:val="auto"/>
                      <w:lang w:val="en-US" w:eastAsia="zh-CN"/>
                    </w:rPr>
                    <w:t>1.98</w:t>
                  </w:r>
                </w:p>
              </w:tc>
              <w:tc>
                <w:tcPr>
                  <w:tcW w:w="675" w:type="dxa"/>
                  <w:vAlign w:val="center"/>
                </w:tcPr>
                <w:p>
                  <w:pPr>
                    <w:pStyle w:val="19"/>
                    <w:bidi w:val="0"/>
                    <w:rPr>
                      <w:rFonts w:hint="default"/>
                      <w:color w:val="auto"/>
                      <w:lang w:val="en-US" w:eastAsia="zh-CN"/>
                    </w:rPr>
                  </w:pPr>
                  <w:r>
                    <w:rPr>
                      <w:rFonts w:hint="eastAsia"/>
                      <w:color w:val="auto"/>
                      <w:lang w:val="en-US" w:eastAsia="zh-CN"/>
                    </w:rPr>
                    <w:t>1.98</w:t>
                  </w:r>
                </w:p>
              </w:tc>
              <w:tc>
                <w:tcPr>
                  <w:tcW w:w="960" w:type="dxa"/>
                  <w:vAlign w:val="center"/>
                </w:tcPr>
                <w:p>
                  <w:pPr>
                    <w:pStyle w:val="19"/>
                    <w:bidi w:val="0"/>
                    <w:rPr>
                      <w:rFonts w:hint="default"/>
                      <w:color w:val="auto"/>
                      <w:lang w:val="en-US" w:eastAsia="zh-CN"/>
                    </w:rPr>
                  </w:pPr>
                  <w:r>
                    <w:rPr>
                      <w:rFonts w:hint="default"/>
                      <w:color w:val="auto"/>
                      <w:lang w:eastAsia="zh-CN"/>
                    </w:rPr>
                    <w:t>临时堆土区1</w:t>
                  </w:r>
                </w:p>
              </w:tc>
              <w:tc>
                <w:tcPr>
                  <w:tcW w:w="720" w:type="dxa"/>
                  <w:vAlign w:val="center"/>
                </w:tcPr>
                <w:p>
                  <w:pPr>
                    <w:pStyle w:val="19"/>
                    <w:bidi w:val="0"/>
                    <w:rPr>
                      <w:rFonts w:hint="default"/>
                      <w:color w:val="auto"/>
                      <w:lang w:val="en-US" w:eastAsia="zh-CN"/>
                    </w:rPr>
                  </w:pPr>
                  <w:r>
                    <w:rPr>
                      <w:rFonts w:hint="eastAsia"/>
                      <w:color w:val="auto"/>
                      <w:lang w:val="en-US" w:eastAsia="zh-CN"/>
                    </w:rPr>
                    <w:t>1.98</w:t>
                  </w:r>
                </w:p>
              </w:tc>
              <w:tc>
                <w:tcPr>
                  <w:tcW w:w="1035" w:type="dxa"/>
                  <w:vAlign w:val="center"/>
                </w:tcPr>
                <w:p>
                  <w:pPr>
                    <w:pStyle w:val="19"/>
                    <w:bidi w:val="0"/>
                    <w:rPr>
                      <w:rFonts w:hint="default"/>
                      <w:color w:val="auto"/>
                      <w:lang w:val="en-US" w:eastAsia="zh-CN"/>
                    </w:rPr>
                  </w:pPr>
                  <w:r>
                    <w:rPr>
                      <w:rFonts w:hint="default"/>
                      <w:color w:val="auto"/>
                      <w:lang w:eastAsia="zh-CN"/>
                    </w:rPr>
                    <w:t>临时堆土区1</w:t>
                  </w:r>
                </w:p>
              </w:tc>
              <w:tc>
                <w:tcPr>
                  <w:tcW w:w="1080" w:type="dxa"/>
                  <w:vAlign w:val="center"/>
                </w:tcPr>
                <w:p>
                  <w:pPr>
                    <w:pStyle w:val="19"/>
                    <w:bidi w:val="0"/>
                    <w:rPr>
                      <w:rFonts w:hint="default"/>
                      <w:color w:val="auto"/>
                      <w:lang w:val="en-US" w:eastAsia="zh-CN"/>
                    </w:rPr>
                  </w:pPr>
                  <w:r>
                    <w:rPr>
                      <w:rFonts w:hint="eastAsia"/>
                      <w:color w:val="auto"/>
                      <w:lang w:val="en-US" w:eastAsia="zh-CN"/>
                    </w:rPr>
                    <w:t>1.98</w:t>
                  </w: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软土</w:t>
                  </w:r>
                </w:p>
              </w:tc>
              <w:tc>
                <w:tcPr>
                  <w:tcW w:w="690" w:type="dxa"/>
                  <w:vAlign w:val="center"/>
                </w:tcPr>
                <w:p>
                  <w:pPr>
                    <w:pStyle w:val="19"/>
                    <w:bidi w:val="0"/>
                    <w:rPr>
                      <w:rFonts w:hint="default"/>
                      <w:color w:val="auto"/>
                      <w:lang w:val="en-US" w:eastAsia="zh-CN"/>
                    </w:rPr>
                  </w:pPr>
                  <w:r>
                    <w:rPr>
                      <w:rFonts w:hint="eastAsia"/>
                      <w:color w:val="auto"/>
                      <w:lang w:val="en-US" w:eastAsia="zh-CN"/>
                    </w:rPr>
                    <w:t>2.70</w:t>
                  </w:r>
                </w:p>
              </w:tc>
              <w:tc>
                <w:tcPr>
                  <w:tcW w:w="705" w:type="dxa"/>
                  <w:vAlign w:val="center"/>
                </w:tcPr>
                <w:p>
                  <w:pPr>
                    <w:pStyle w:val="19"/>
                    <w:bidi w:val="0"/>
                    <w:rPr>
                      <w:rFonts w:hint="default"/>
                      <w:color w:val="auto"/>
                      <w:lang w:val="en-US" w:eastAsia="zh-CN"/>
                    </w:rPr>
                  </w:pP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r>
                    <w:rPr>
                      <w:rFonts w:hint="default"/>
                      <w:color w:val="auto"/>
                      <w:lang w:eastAsia="zh-CN"/>
                    </w:rPr>
                    <w:t>临时堆土区</w:t>
                  </w:r>
                  <w:r>
                    <w:rPr>
                      <w:rFonts w:hint="eastAsia"/>
                      <w:color w:val="auto"/>
                      <w:lang w:val="en-US" w:eastAsia="zh-CN"/>
                    </w:rPr>
                    <w:t>2</w:t>
                  </w:r>
                </w:p>
              </w:tc>
              <w:tc>
                <w:tcPr>
                  <w:tcW w:w="720" w:type="dxa"/>
                  <w:vAlign w:val="center"/>
                </w:tcPr>
                <w:p>
                  <w:pPr>
                    <w:pStyle w:val="19"/>
                    <w:bidi w:val="0"/>
                    <w:rPr>
                      <w:rFonts w:hint="default"/>
                      <w:color w:val="auto"/>
                      <w:lang w:val="en-US" w:eastAsia="zh-CN"/>
                    </w:rPr>
                  </w:pPr>
                </w:p>
              </w:tc>
              <w:tc>
                <w:tcPr>
                  <w:tcW w:w="1035" w:type="dxa"/>
                  <w:vAlign w:val="center"/>
                </w:tcPr>
                <w:p>
                  <w:pPr>
                    <w:pStyle w:val="19"/>
                    <w:bidi w:val="0"/>
                    <w:rPr>
                      <w:rFonts w:hint="default"/>
                      <w:color w:val="auto"/>
                      <w:lang w:val="en-US" w:eastAsia="zh-CN"/>
                    </w:rPr>
                  </w:pPr>
                  <w:r>
                    <w:rPr>
                      <w:rFonts w:hint="default"/>
                      <w:color w:val="auto"/>
                      <w:lang w:eastAsia="zh-CN"/>
                    </w:rPr>
                    <w:t>临时堆土区</w:t>
                  </w:r>
                  <w:r>
                    <w:rPr>
                      <w:rFonts w:hint="eastAsia"/>
                      <w:color w:val="auto"/>
                      <w:lang w:val="en-US" w:eastAsia="zh-CN"/>
                    </w:rPr>
                    <w:t>2</w:t>
                  </w:r>
                </w:p>
              </w:tc>
              <w:tc>
                <w:tcPr>
                  <w:tcW w:w="1080" w:type="dxa"/>
                  <w:vAlign w:val="center"/>
                </w:tcPr>
                <w:p>
                  <w:pPr>
                    <w:pStyle w:val="19"/>
                    <w:bidi w:val="0"/>
                    <w:rPr>
                      <w:rFonts w:hint="default"/>
                      <w:color w:val="auto"/>
                      <w:lang w:val="en-US" w:eastAsia="zh-CN"/>
                    </w:rPr>
                  </w:pP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土方</w:t>
                  </w:r>
                </w:p>
              </w:tc>
              <w:tc>
                <w:tcPr>
                  <w:tcW w:w="690" w:type="dxa"/>
                  <w:vAlign w:val="center"/>
                </w:tcPr>
                <w:p>
                  <w:pPr>
                    <w:pStyle w:val="19"/>
                    <w:bidi w:val="0"/>
                    <w:rPr>
                      <w:rFonts w:hint="default"/>
                      <w:color w:val="auto"/>
                      <w:lang w:val="en-US" w:eastAsia="zh-CN"/>
                    </w:rPr>
                  </w:pPr>
                  <w:r>
                    <w:rPr>
                      <w:rFonts w:hint="eastAsia"/>
                      <w:color w:val="auto"/>
                      <w:lang w:val="en-US" w:eastAsia="zh-CN"/>
                    </w:rPr>
                    <w:t>4.51</w:t>
                  </w:r>
                </w:p>
              </w:tc>
              <w:tc>
                <w:tcPr>
                  <w:tcW w:w="705" w:type="dxa"/>
                  <w:vAlign w:val="center"/>
                </w:tcPr>
                <w:p>
                  <w:pPr>
                    <w:pStyle w:val="19"/>
                    <w:bidi w:val="0"/>
                    <w:rPr>
                      <w:rFonts w:hint="default"/>
                      <w:color w:val="auto"/>
                      <w:lang w:val="en-US" w:eastAsia="zh-CN"/>
                    </w:rPr>
                  </w:pPr>
                  <w:r>
                    <w:rPr>
                      <w:rFonts w:hint="eastAsia"/>
                      <w:color w:val="auto"/>
                      <w:lang w:val="en-US" w:eastAsia="zh-CN"/>
                    </w:rPr>
                    <w:t>39.9</w:t>
                  </w: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p>
              </w:tc>
              <w:tc>
                <w:tcPr>
                  <w:tcW w:w="1035" w:type="dxa"/>
                  <w:vAlign w:val="center"/>
                </w:tcPr>
                <w:p>
                  <w:pPr>
                    <w:pStyle w:val="19"/>
                    <w:bidi w:val="0"/>
                    <w:rPr>
                      <w:rFonts w:hint="default"/>
                      <w:color w:val="auto"/>
                      <w:lang w:val="en-US" w:eastAsia="zh-CN"/>
                    </w:rPr>
                  </w:pPr>
                </w:p>
              </w:tc>
              <w:tc>
                <w:tcPr>
                  <w:tcW w:w="1080" w:type="dxa"/>
                  <w:vAlign w:val="center"/>
                </w:tcPr>
                <w:p>
                  <w:pPr>
                    <w:pStyle w:val="19"/>
                    <w:bidi w:val="0"/>
                    <w:rPr>
                      <w:rFonts w:hint="default"/>
                      <w:color w:val="auto"/>
                      <w:lang w:val="en-US" w:eastAsia="zh-CN"/>
                    </w:rPr>
                  </w:pP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7" w:type="dxa"/>
                  <w:gridSpan w:val="2"/>
                  <w:vAlign w:val="center"/>
                </w:tcPr>
                <w:p>
                  <w:pPr>
                    <w:pStyle w:val="19"/>
                    <w:bidi w:val="0"/>
                    <w:rPr>
                      <w:rFonts w:hint="default"/>
                      <w:color w:val="auto"/>
                      <w:lang w:val="en-US" w:eastAsia="zh-CN"/>
                    </w:rPr>
                  </w:pPr>
                  <w:r>
                    <w:rPr>
                      <w:rFonts w:hint="eastAsia"/>
                      <w:color w:val="auto"/>
                      <w:lang w:val="en-US" w:eastAsia="zh-CN"/>
                    </w:rPr>
                    <w:t>合计</w:t>
                  </w:r>
                </w:p>
              </w:tc>
              <w:tc>
                <w:tcPr>
                  <w:tcW w:w="675" w:type="dxa"/>
                  <w:vAlign w:val="center"/>
                </w:tcPr>
                <w:p>
                  <w:pPr>
                    <w:pStyle w:val="19"/>
                    <w:bidi w:val="0"/>
                    <w:rPr>
                      <w:rFonts w:hint="default"/>
                      <w:color w:val="auto"/>
                      <w:lang w:val="en-US" w:eastAsia="zh-CN"/>
                    </w:rPr>
                  </w:pPr>
                </w:p>
              </w:tc>
              <w:tc>
                <w:tcPr>
                  <w:tcW w:w="690" w:type="dxa"/>
                  <w:vAlign w:val="center"/>
                </w:tcPr>
                <w:p>
                  <w:pPr>
                    <w:pStyle w:val="19"/>
                    <w:bidi w:val="0"/>
                    <w:rPr>
                      <w:rFonts w:hint="default"/>
                      <w:color w:val="auto"/>
                      <w:lang w:val="en-US" w:eastAsia="zh-CN"/>
                    </w:rPr>
                  </w:pPr>
                  <w:r>
                    <w:rPr>
                      <w:rFonts w:hint="eastAsia"/>
                      <w:color w:val="auto"/>
                      <w:lang w:val="en-US" w:eastAsia="zh-CN"/>
                    </w:rPr>
                    <w:t>9.20</w:t>
                  </w:r>
                </w:p>
              </w:tc>
              <w:tc>
                <w:tcPr>
                  <w:tcW w:w="705" w:type="dxa"/>
                  <w:vAlign w:val="center"/>
                </w:tcPr>
                <w:p>
                  <w:pPr>
                    <w:pStyle w:val="19"/>
                    <w:bidi w:val="0"/>
                    <w:rPr>
                      <w:rFonts w:hint="default"/>
                      <w:color w:val="auto"/>
                      <w:lang w:val="en-US" w:eastAsia="zh-CN"/>
                    </w:rPr>
                  </w:pPr>
                  <w:r>
                    <w:rPr>
                      <w:rFonts w:hint="eastAsia"/>
                      <w:color w:val="auto"/>
                      <w:lang w:val="en-US" w:eastAsia="zh-CN"/>
                    </w:rPr>
                    <w:t>43.23</w:t>
                  </w:r>
                </w:p>
              </w:tc>
              <w:tc>
                <w:tcPr>
                  <w:tcW w:w="675" w:type="dxa"/>
                  <w:vAlign w:val="center"/>
                </w:tcPr>
                <w:p>
                  <w:pPr>
                    <w:pStyle w:val="19"/>
                    <w:bidi w:val="0"/>
                    <w:rPr>
                      <w:rFonts w:hint="default"/>
                      <w:color w:val="auto"/>
                      <w:lang w:val="en-US" w:eastAsia="zh-CN"/>
                    </w:rPr>
                  </w:pPr>
                  <w:r>
                    <w:rPr>
                      <w:rFonts w:hint="eastAsia"/>
                      <w:color w:val="auto"/>
                      <w:lang w:val="en-US" w:eastAsia="zh-CN"/>
                    </w:rPr>
                    <w:t>3.33</w:t>
                  </w: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r>
                    <w:rPr>
                      <w:rFonts w:hint="eastAsia"/>
                      <w:color w:val="auto"/>
                      <w:lang w:val="en-US" w:eastAsia="zh-CN"/>
                    </w:rPr>
                    <w:t>3.33</w:t>
                  </w:r>
                </w:p>
              </w:tc>
              <w:tc>
                <w:tcPr>
                  <w:tcW w:w="1035" w:type="dxa"/>
                  <w:vAlign w:val="center"/>
                </w:tcPr>
                <w:p>
                  <w:pPr>
                    <w:pStyle w:val="19"/>
                    <w:bidi w:val="0"/>
                    <w:rPr>
                      <w:rFonts w:hint="default"/>
                      <w:color w:val="auto"/>
                      <w:lang w:val="en-US" w:eastAsia="zh-CN"/>
                    </w:rPr>
                  </w:pPr>
                </w:p>
              </w:tc>
              <w:tc>
                <w:tcPr>
                  <w:tcW w:w="1080" w:type="dxa"/>
                  <w:vAlign w:val="center"/>
                </w:tcPr>
                <w:p>
                  <w:pPr>
                    <w:pStyle w:val="19"/>
                    <w:bidi w:val="0"/>
                    <w:rPr>
                      <w:rFonts w:hint="default"/>
                      <w:color w:val="auto"/>
                      <w:lang w:val="en-US" w:eastAsia="zh-CN"/>
                    </w:rPr>
                  </w:pPr>
                  <w:r>
                    <w:rPr>
                      <w:rFonts w:hint="eastAsia"/>
                      <w:color w:val="auto"/>
                      <w:lang w:val="en-US" w:eastAsia="zh-CN"/>
                    </w:rPr>
                    <w:t>3.33</w:t>
                  </w:r>
                </w:p>
              </w:tc>
              <w:tc>
                <w:tcPr>
                  <w:tcW w:w="806" w:type="dxa"/>
                  <w:vAlign w:val="center"/>
                </w:tcPr>
                <w:p>
                  <w:pPr>
                    <w:pStyle w:val="19"/>
                    <w:bidi w:val="0"/>
                    <w:rPr>
                      <w:rFonts w:hint="default"/>
                      <w:color w:val="auto"/>
                      <w:lang w:val="en-US" w:eastAsia="zh-CN"/>
                    </w:rPr>
                  </w:pPr>
                  <w:r>
                    <w:rPr>
                      <w:rFonts w:hint="eastAsia"/>
                      <w:color w:val="auto"/>
                      <w:lang w:val="en-US" w:eastAsia="zh-CN"/>
                    </w:rPr>
                    <w:t>-35.38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3" w:hRule="atLeast"/>
              </w:trPr>
              <w:tc>
                <w:tcPr>
                  <w:tcW w:w="8643" w:type="dxa"/>
                  <w:gridSpan w:val="11"/>
                  <w:vAlign w:val="center"/>
                </w:tcPr>
                <w:p>
                  <w:pPr>
                    <w:pStyle w:val="19"/>
                    <w:bidi w:val="0"/>
                    <w:jc w:val="left"/>
                    <w:rPr>
                      <w:rFonts w:hint="eastAsia"/>
                      <w:color w:val="auto"/>
                      <w:lang w:val="en-US" w:eastAsia="zh-CN"/>
                    </w:rPr>
                  </w:pPr>
                  <w:r>
                    <w:rPr>
                      <w:rFonts w:hint="eastAsia"/>
                      <w:color w:val="auto"/>
                      <w:lang w:val="en-US" w:eastAsia="zh-CN"/>
                    </w:rPr>
                    <w:t>注：</w:t>
                  </w:r>
                  <w:r>
                    <w:rPr>
                      <w:rFonts w:hint="default"/>
                      <w:color w:val="auto"/>
                      <w:lang w:val="en-US" w:eastAsia="zh-CN"/>
                    </w:rPr>
                    <w:t>1</w:t>
                  </w:r>
                  <w:r>
                    <w:rPr>
                      <w:rFonts w:hint="eastAsia"/>
                      <w:color w:val="auto"/>
                      <w:lang w:val="en-US" w:eastAsia="zh-CN"/>
                    </w:rPr>
                    <w:t>、以上各土方均折算为自然方进行平衡，可按</w:t>
                  </w:r>
                  <w:r>
                    <w:rPr>
                      <w:rFonts w:hint="default"/>
                      <w:color w:val="auto"/>
                      <w:lang w:val="en-US" w:eastAsia="zh-CN"/>
                    </w:rPr>
                    <w:t>“</w:t>
                  </w:r>
                  <w:r>
                    <w:rPr>
                      <w:rFonts w:hint="eastAsia"/>
                      <w:color w:val="auto"/>
                      <w:lang w:val="en-US" w:eastAsia="zh-CN"/>
                    </w:rPr>
                    <w:t>开挖</w:t>
                  </w:r>
                  <w:r>
                    <w:rPr>
                      <w:rFonts w:hint="default"/>
                      <w:color w:val="auto"/>
                      <w:lang w:val="en-US" w:eastAsia="zh-CN"/>
                    </w:rPr>
                    <w:t>+</w:t>
                  </w:r>
                  <w:r>
                    <w:rPr>
                      <w:rFonts w:hint="eastAsia"/>
                      <w:color w:val="auto"/>
                      <w:lang w:val="en-US" w:eastAsia="zh-CN"/>
                    </w:rPr>
                    <w:t>调入</w:t>
                  </w:r>
                  <w:r>
                    <w:rPr>
                      <w:rFonts w:hint="default"/>
                      <w:color w:val="auto"/>
                      <w:lang w:val="en-US" w:eastAsia="zh-CN"/>
                    </w:rPr>
                    <w:t>+</w:t>
                  </w:r>
                  <w:r>
                    <w:rPr>
                      <w:rFonts w:hint="eastAsia"/>
                      <w:color w:val="auto"/>
                      <w:lang w:val="en-US" w:eastAsia="zh-CN"/>
                    </w:rPr>
                    <w:t>外借</w:t>
                  </w:r>
                  <w:r>
                    <w:rPr>
                      <w:rFonts w:hint="default"/>
                      <w:color w:val="auto"/>
                      <w:lang w:val="en-US" w:eastAsia="zh-CN"/>
                    </w:rPr>
                    <w:t>=</w:t>
                  </w:r>
                  <w:r>
                    <w:rPr>
                      <w:rFonts w:hint="eastAsia"/>
                      <w:color w:val="auto"/>
                      <w:lang w:val="en-US" w:eastAsia="zh-CN"/>
                    </w:rPr>
                    <w:t>回填</w:t>
                  </w:r>
                  <w:r>
                    <w:rPr>
                      <w:rFonts w:hint="default"/>
                      <w:color w:val="auto"/>
                      <w:lang w:val="en-US" w:eastAsia="zh-CN"/>
                    </w:rPr>
                    <w:t>+</w:t>
                  </w:r>
                  <w:r>
                    <w:rPr>
                      <w:rFonts w:hint="eastAsia"/>
                      <w:color w:val="auto"/>
                      <w:lang w:val="en-US" w:eastAsia="zh-CN"/>
                    </w:rPr>
                    <w:t>调出</w:t>
                  </w:r>
                  <w:r>
                    <w:rPr>
                      <w:rFonts w:hint="default"/>
                      <w:color w:val="auto"/>
                      <w:lang w:val="en-US" w:eastAsia="zh-CN"/>
                    </w:rPr>
                    <w:t>”</w:t>
                  </w:r>
                  <w:r>
                    <w:rPr>
                      <w:rFonts w:hint="eastAsia"/>
                      <w:color w:val="auto"/>
                      <w:lang w:val="en-US" w:eastAsia="zh-CN"/>
                    </w:rPr>
                    <w:t>进行校核；调入和调出中</w:t>
                  </w:r>
                  <w:r>
                    <w:rPr>
                      <w:rFonts w:hint="default"/>
                      <w:color w:val="auto"/>
                      <w:lang w:val="en-US" w:eastAsia="zh-CN"/>
                    </w:rPr>
                    <w:t>“</w:t>
                  </w:r>
                  <w:r>
                    <w:rPr>
                      <w:rFonts w:hint="eastAsia"/>
                      <w:color w:val="auto"/>
                      <w:lang w:val="en-US" w:eastAsia="zh-CN"/>
                    </w:rPr>
                    <w:t>来源</w:t>
                  </w:r>
                  <w:r>
                    <w:rPr>
                      <w:rFonts w:hint="default"/>
                      <w:color w:val="auto"/>
                      <w:lang w:val="en-US" w:eastAsia="zh-CN"/>
                    </w:rPr>
                    <w:t>”</w:t>
                  </w:r>
                  <w:r>
                    <w:rPr>
                      <w:rFonts w:hint="eastAsia"/>
                      <w:color w:val="auto"/>
                      <w:lang w:val="en-US" w:eastAsia="zh-CN"/>
                    </w:rPr>
                    <w:t>、</w:t>
                  </w:r>
                  <w:r>
                    <w:rPr>
                      <w:rFonts w:hint="default"/>
                      <w:color w:val="auto"/>
                      <w:lang w:val="en-US" w:eastAsia="zh-CN"/>
                    </w:rPr>
                    <w:t>“</w:t>
                  </w:r>
                  <w:r>
                    <w:rPr>
                      <w:rFonts w:hint="eastAsia"/>
                      <w:color w:val="auto"/>
                      <w:lang w:val="en-US" w:eastAsia="zh-CN"/>
                    </w:rPr>
                    <w:t>去向</w:t>
                  </w:r>
                  <w:r>
                    <w:rPr>
                      <w:rFonts w:hint="default"/>
                      <w:color w:val="auto"/>
                      <w:lang w:val="en-US" w:eastAsia="zh-CN"/>
                    </w:rPr>
                    <w:t>”</w:t>
                  </w:r>
                  <w:r>
                    <w:rPr>
                      <w:rFonts w:hint="eastAsia"/>
                      <w:color w:val="auto"/>
                      <w:lang w:val="en-US" w:eastAsia="zh-CN"/>
                    </w:rPr>
                    <w:t>栏内的数字与</w:t>
                  </w:r>
                  <w:r>
                    <w:rPr>
                      <w:rFonts w:hint="default"/>
                      <w:color w:val="auto"/>
                      <w:lang w:val="en-US" w:eastAsia="zh-CN"/>
                    </w:rPr>
                    <w:t>“</w:t>
                  </w:r>
                  <w:r>
                    <w:rPr>
                      <w:rFonts w:hint="eastAsia"/>
                      <w:color w:val="auto"/>
                      <w:lang w:val="en-US" w:eastAsia="zh-CN"/>
                    </w:rPr>
                    <w:t>序号</w:t>
                  </w:r>
                  <w:r>
                    <w:rPr>
                      <w:rFonts w:hint="default"/>
                      <w:color w:val="auto"/>
                      <w:lang w:val="en-US" w:eastAsia="zh-CN"/>
                    </w:rPr>
                    <w:t>”</w:t>
                  </w:r>
                  <w:r>
                    <w:rPr>
                      <w:rFonts w:hint="eastAsia"/>
                      <w:color w:val="auto"/>
                      <w:lang w:val="en-US" w:eastAsia="zh-CN"/>
                    </w:rPr>
                    <w:t>栏中相对应；</w:t>
                  </w:r>
                </w:p>
                <w:p>
                  <w:pPr>
                    <w:pStyle w:val="19"/>
                    <w:bidi w:val="0"/>
                    <w:jc w:val="left"/>
                    <w:rPr>
                      <w:rFonts w:hint="default"/>
                      <w:color w:val="auto"/>
                      <w:lang w:val="en-US" w:eastAsia="zh-CN"/>
                    </w:rPr>
                  </w:pPr>
                  <w:r>
                    <w:rPr>
                      <w:rFonts w:hint="default"/>
                      <w:color w:val="auto"/>
                      <w:lang w:val="en-US" w:eastAsia="zh-CN"/>
                    </w:rPr>
                    <w:t>2</w:t>
                  </w:r>
                  <w:r>
                    <w:rPr>
                      <w:rFonts w:hint="eastAsia"/>
                      <w:color w:val="auto"/>
                      <w:lang w:val="en-US" w:eastAsia="zh-CN"/>
                    </w:rPr>
                    <w:t>、临时堆土区设置于停车场及绿化区内，施工生产生活区设置于停车场内，故不单独参与土石方计算。</w:t>
                  </w:r>
                </w:p>
              </w:tc>
            </w:tr>
          </w:tbl>
          <w:p>
            <w:pPr>
              <w:pStyle w:val="8"/>
              <w:bidi w:val="0"/>
              <w:rPr>
                <w:rFonts w:hint="default"/>
                <w:color w:val="auto"/>
                <w:lang w:val="en-US" w:eastAsia="zh-CN"/>
              </w:rPr>
            </w:pPr>
            <w:r>
              <w:rPr>
                <w:rFonts w:hint="eastAsia"/>
                <w:color w:val="auto"/>
                <w:lang w:val="en-US" w:eastAsia="zh-CN"/>
              </w:rPr>
              <w:t>5、工程占地情况</w:t>
            </w:r>
          </w:p>
          <w:p>
            <w:pPr>
              <w:bidi w:val="0"/>
              <w:rPr>
                <w:color w:val="auto"/>
              </w:rPr>
            </w:pPr>
            <w:r>
              <w:rPr>
                <w:rFonts w:hint="eastAsia"/>
                <w:color w:val="auto"/>
                <w:lang w:val="zh-TW" w:eastAsia="zh-CN"/>
              </w:rPr>
              <w:t>衡阳侨城文化旅游度假区一期</w:t>
            </w:r>
            <w:r>
              <w:rPr>
                <w:rFonts w:hint="eastAsia"/>
                <w:color w:val="auto"/>
                <w:lang w:eastAsia="zh-CN"/>
              </w:rPr>
              <w:t>建设项目</w:t>
            </w:r>
            <w:r>
              <w:rPr>
                <w:color w:val="auto"/>
              </w:rPr>
              <w:t>总</w:t>
            </w:r>
            <w:r>
              <w:rPr>
                <w:rFonts w:hint="eastAsia"/>
                <w:color w:val="auto"/>
                <w:lang w:eastAsia="zh-CN"/>
              </w:rPr>
              <w:t>占地</w:t>
            </w:r>
            <w:r>
              <w:rPr>
                <w:color w:val="auto"/>
              </w:rPr>
              <w:t>面积</w:t>
            </w:r>
            <w:r>
              <w:rPr>
                <w:rFonts w:hint="eastAsia"/>
                <w:color w:val="auto"/>
                <w:lang w:val="en-US" w:eastAsia="zh-CN"/>
              </w:rPr>
              <w:t>17.6795hm</w:t>
            </w:r>
            <w:r>
              <w:rPr>
                <w:rFonts w:hint="eastAsia"/>
                <w:color w:val="auto"/>
                <w:vertAlign w:val="superscript"/>
                <w:lang w:val="en-US" w:eastAsia="zh-CN"/>
              </w:rPr>
              <w:t>2</w:t>
            </w:r>
            <w:r>
              <w:rPr>
                <w:color w:val="auto"/>
              </w:rPr>
              <w:t>，</w:t>
            </w:r>
            <w:r>
              <w:rPr>
                <w:rFonts w:hint="eastAsia"/>
                <w:color w:val="auto"/>
                <w:lang w:eastAsia="zh-CN"/>
              </w:rPr>
              <w:t>其中永久</w:t>
            </w:r>
            <w:r>
              <w:rPr>
                <w:color w:val="auto"/>
              </w:rPr>
              <w:t>总占地</w:t>
            </w:r>
            <w:r>
              <w:rPr>
                <w:rFonts w:hint="eastAsia"/>
                <w:color w:val="auto"/>
                <w:lang w:val="en-US" w:eastAsia="zh-CN"/>
              </w:rPr>
              <w:t>14.6795</w:t>
            </w:r>
            <w:r>
              <w:rPr>
                <w:color w:val="auto"/>
              </w:rPr>
              <w:t>hm</w:t>
            </w:r>
            <w:r>
              <w:rPr>
                <w:color w:val="auto"/>
                <w:vertAlign w:val="superscript"/>
              </w:rPr>
              <w:t>2</w:t>
            </w:r>
            <w:r>
              <w:rPr>
                <w:color w:val="auto"/>
              </w:rPr>
              <w:t>，</w:t>
            </w:r>
            <w:r>
              <w:rPr>
                <w:rFonts w:hint="eastAsia"/>
                <w:color w:val="auto"/>
                <w:lang w:eastAsia="zh-CN"/>
              </w:rPr>
              <w:t>临时</w:t>
            </w:r>
            <w:r>
              <w:rPr>
                <w:color w:val="auto"/>
              </w:rPr>
              <w:t>占地</w:t>
            </w:r>
            <w:r>
              <w:rPr>
                <w:rFonts w:hint="eastAsia"/>
                <w:color w:val="auto"/>
                <w:lang w:eastAsia="zh-CN"/>
              </w:rPr>
              <w:t>3.</w:t>
            </w:r>
            <w:r>
              <w:rPr>
                <w:rFonts w:hint="eastAsia"/>
                <w:color w:val="auto"/>
                <w:lang w:val="en-US" w:eastAsia="zh-CN"/>
              </w:rPr>
              <w:t>0</w:t>
            </w:r>
            <w:r>
              <w:rPr>
                <w:rFonts w:hint="eastAsia"/>
                <w:color w:val="auto"/>
              </w:rPr>
              <w:t>h</w:t>
            </w:r>
            <w:r>
              <w:rPr>
                <w:color w:val="auto"/>
              </w:rPr>
              <w:t>m</w:t>
            </w:r>
            <w:r>
              <w:rPr>
                <w:color w:val="auto"/>
                <w:vertAlign w:val="superscript"/>
              </w:rPr>
              <w:t>2</w:t>
            </w:r>
            <w:r>
              <w:rPr>
                <w:rFonts w:hint="eastAsia"/>
                <w:color w:val="auto"/>
                <w:lang w:eastAsia="zh-CN"/>
              </w:rPr>
              <w:t>（为二期用地面积）</w:t>
            </w:r>
            <w:r>
              <w:rPr>
                <w:color w:val="auto"/>
              </w:rPr>
              <w:t>，</w:t>
            </w:r>
            <w:r>
              <w:rPr>
                <w:rFonts w:hint="eastAsia"/>
                <w:color w:val="auto"/>
              </w:rPr>
              <w:t>占地面积均在项目红线之内</w:t>
            </w:r>
            <w:r>
              <w:rPr>
                <w:rFonts w:hint="eastAsia"/>
                <w:color w:val="auto"/>
                <w:lang w:eastAsia="zh-CN"/>
              </w:rPr>
              <w:t>。</w:t>
            </w:r>
            <w:r>
              <w:rPr>
                <w:color w:val="auto"/>
              </w:rPr>
              <w:t>项目区主要占地类型为</w:t>
            </w:r>
            <w:r>
              <w:rPr>
                <w:rFonts w:hint="eastAsia"/>
                <w:color w:val="auto"/>
                <w:lang w:eastAsia="zh-CN"/>
              </w:rPr>
              <w:t>园地</w:t>
            </w:r>
            <w:r>
              <w:rPr>
                <w:rFonts w:hint="eastAsia"/>
                <w:color w:val="auto"/>
                <w:lang w:val="en-US" w:eastAsia="zh-CN"/>
              </w:rPr>
              <w:t>9.916</w:t>
            </w:r>
            <w:r>
              <w:rPr>
                <w:color w:val="auto"/>
              </w:rPr>
              <w:t>hm</w:t>
            </w:r>
            <w:r>
              <w:rPr>
                <w:color w:val="auto"/>
                <w:vertAlign w:val="superscript"/>
              </w:rPr>
              <w:t>2</w:t>
            </w:r>
            <w:r>
              <w:rPr>
                <w:color w:val="auto"/>
              </w:rPr>
              <w:t>、</w:t>
            </w:r>
            <w:r>
              <w:rPr>
                <w:rFonts w:hint="eastAsia"/>
                <w:color w:val="auto"/>
              </w:rPr>
              <w:t>水塘</w:t>
            </w:r>
            <w:r>
              <w:rPr>
                <w:rFonts w:hint="eastAsia"/>
                <w:color w:val="auto"/>
                <w:lang w:val="en-US" w:eastAsia="zh-CN"/>
              </w:rPr>
              <w:t>3.3727</w:t>
            </w:r>
            <w:r>
              <w:rPr>
                <w:rFonts w:hint="eastAsia"/>
                <w:color w:val="auto"/>
              </w:rPr>
              <w:t>hm</w:t>
            </w:r>
            <w:r>
              <w:rPr>
                <w:rFonts w:hint="eastAsia"/>
                <w:color w:val="auto"/>
                <w:vertAlign w:val="superscript"/>
              </w:rPr>
              <w:t>2</w:t>
            </w:r>
            <w:r>
              <w:rPr>
                <w:color w:val="auto"/>
              </w:rPr>
              <w:t>、</w:t>
            </w:r>
            <w:r>
              <w:rPr>
                <w:rFonts w:hint="eastAsia"/>
                <w:color w:val="auto"/>
                <w:lang w:eastAsia="zh-CN"/>
              </w:rPr>
              <w:t>建筑用地</w:t>
            </w:r>
            <w:r>
              <w:rPr>
                <w:rFonts w:hint="eastAsia"/>
                <w:color w:val="auto"/>
                <w:lang w:val="en-US" w:eastAsia="zh-CN"/>
              </w:rPr>
              <w:t>4.3852</w:t>
            </w:r>
            <w:r>
              <w:rPr>
                <w:rFonts w:hint="eastAsia"/>
                <w:color w:val="auto"/>
              </w:rPr>
              <w:t>hm</w:t>
            </w:r>
            <w:r>
              <w:rPr>
                <w:rFonts w:hint="eastAsia"/>
                <w:color w:val="auto"/>
                <w:vertAlign w:val="superscript"/>
              </w:rPr>
              <w:t>2</w:t>
            </w:r>
            <w:r>
              <w:rPr>
                <w:color w:val="auto"/>
              </w:rPr>
              <w:t>，分别约占工程占地总面积的</w:t>
            </w:r>
            <w:r>
              <w:rPr>
                <w:rFonts w:hint="eastAsia"/>
                <w:color w:val="auto"/>
                <w:lang w:val="en-US" w:eastAsia="zh-CN"/>
              </w:rPr>
              <w:t>56</w:t>
            </w:r>
            <w:r>
              <w:rPr>
                <w:color w:val="auto"/>
              </w:rPr>
              <w:t>%</w:t>
            </w:r>
            <w:r>
              <w:rPr>
                <w:rFonts w:hint="eastAsia"/>
                <w:color w:val="auto"/>
                <w:lang w:eastAsia="zh-CN"/>
              </w:rPr>
              <w:t>、</w:t>
            </w:r>
            <w:r>
              <w:rPr>
                <w:rFonts w:hint="eastAsia"/>
                <w:color w:val="auto"/>
                <w:lang w:val="en-US" w:eastAsia="zh-CN"/>
              </w:rPr>
              <w:t>19%</w:t>
            </w:r>
            <w:r>
              <w:rPr>
                <w:rFonts w:hint="eastAsia"/>
                <w:color w:val="auto"/>
              </w:rPr>
              <w:t>和</w:t>
            </w:r>
            <w:r>
              <w:rPr>
                <w:rFonts w:hint="eastAsia"/>
                <w:color w:val="auto"/>
                <w:lang w:val="en-US" w:eastAsia="zh-CN"/>
              </w:rPr>
              <w:t>25</w:t>
            </w:r>
            <w:r>
              <w:rPr>
                <w:color w:val="auto"/>
              </w:rPr>
              <w:t>%。</w:t>
            </w:r>
          </w:p>
          <w:p>
            <w:pPr>
              <w:pStyle w:val="18"/>
              <w:bidi w:val="0"/>
              <w:rPr>
                <w:rFonts w:hint="eastAsia"/>
                <w:color w:val="auto"/>
                <w:lang w:val="en-US" w:eastAsia="zh-CN"/>
              </w:rPr>
            </w:pPr>
            <w:r>
              <w:rPr>
                <w:rFonts w:hint="eastAsia"/>
                <w:color w:val="auto"/>
                <w:lang w:val="en-US" w:eastAsia="zh-CN"/>
              </w:rPr>
              <w:t>表6 项目工程占地汇总表</w:t>
            </w:r>
          </w:p>
          <w:tbl>
            <w:tblPr>
              <w:tblStyle w:val="16"/>
              <w:tblW w:w="86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2"/>
              <w:gridCol w:w="1666"/>
              <w:gridCol w:w="1235"/>
              <w:gridCol w:w="1235"/>
              <w:gridCol w:w="1235"/>
              <w:gridCol w:w="1235"/>
              <w:gridCol w:w="12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802" w:type="dxa"/>
                  <w:vMerge w:val="restart"/>
                  <w:vAlign w:val="center"/>
                </w:tcPr>
                <w:p>
                  <w:pPr>
                    <w:pStyle w:val="19"/>
                    <w:bidi w:val="0"/>
                    <w:jc w:val="center"/>
                    <w:rPr>
                      <w:rFonts w:hint="default"/>
                      <w:color w:val="auto"/>
                      <w:lang w:val="en-US" w:eastAsia="zh-CN"/>
                    </w:rPr>
                  </w:pPr>
                  <w:r>
                    <w:rPr>
                      <w:rFonts w:hint="default"/>
                      <w:color w:val="auto"/>
                      <w:lang w:val="en-US" w:eastAsia="zh-CN"/>
                    </w:rPr>
                    <w:t>序号</w:t>
                  </w:r>
                </w:p>
              </w:tc>
              <w:tc>
                <w:tcPr>
                  <w:tcW w:w="1666" w:type="dxa"/>
                  <w:vMerge w:val="restart"/>
                  <w:vAlign w:val="center"/>
                </w:tcPr>
                <w:p>
                  <w:pPr>
                    <w:pStyle w:val="19"/>
                    <w:bidi w:val="0"/>
                    <w:jc w:val="center"/>
                    <w:rPr>
                      <w:rFonts w:hint="default"/>
                      <w:color w:val="auto"/>
                      <w:lang w:val="en-US" w:eastAsia="zh-CN"/>
                    </w:rPr>
                  </w:pPr>
                  <w:r>
                    <w:rPr>
                      <w:rFonts w:hint="default"/>
                      <w:color w:val="auto"/>
                      <w:lang w:val="en-US" w:eastAsia="zh-CN"/>
                    </w:rPr>
                    <w:t>项目划分</w:t>
                  </w:r>
                </w:p>
              </w:tc>
              <w:tc>
                <w:tcPr>
                  <w:tcW w:w="4940" w:type="dxa"/>
                  <w:gridSpan w:val="4"/>
                  <w:vAlign w:val="center"/>
                </w:tcPr>
                <w:p>
                  <w:pPr>
                    <w:pStyle w:val="19"/>
                    <w:bidi w:val="0"/>
                    <w:jc w:val="center"/>
                    <w:rPr>
                      <w:rFonts w:hint="default"/>
                      <w:color w:val="auto"/>
                      <w:lang w:val="en-US" w:eastAsia="zh-CN"/>
                    </w:rPr>
                  </w:pPr>
                  <w:r>
                    <w:rPr>
                      <w:rFonts w:hint="default"/>
                      <w:color w:val="auto"/>
                      <w:lang w:val="en-US" w:eastAsia="zh-CN"/>
                    </w:rPr>
                    <w:t>占地数量（hm</w:t>
                  </w:r>
                  <w:r>
                    <w:rPr>
                      <w:rFonts w:hint="default"/>
                      <w:color w:val="auto"/>
                      <w:vertAlign w:val="superscript"/>
                      <w:lang w:val="en-US" w:eastAsia="zh-CN"/>
                    </w:rPr>
                    <w:t>2</w:t>
                  </w:r>
                  <w:r>
                    <w:rPr>
                      <w:rFonts w:hint="default"/>
                      <w:color w:val="auto"/>
                      <w:lang w:val="en-US" w:eastAsia="zh-CN"/>
                    </w:rPr>
                    <w:t>）</w:t>
                  </w:r>
                </w:p>
              </w:tc>
              <w:tc>
                <w:tcPr>
                  <w:tcW w:w="1235" w:type="dxa"/>
                  <w:vMerge w:val="restart"/>
                  <w:vAlign w:val="center"/>
                </w:tcPr>
                <w:p>
                  <w:pPr>
                    <w:pStyle w:val="19"/>
                    <w:bidi w:val="0"/>
                    <w:jc w:val="center"/>
                    <w:rPr>
                      <w:rFonts w:hint="default"/>
                      <w:color w:val="auto"/>
                      <w:lang w:val="en-US" w:eastAsia="zh-CN"/>
                    </w:rPr>
                  </w:pPr>
                  <w:r>
                    <w:rPr>
                      <w:rFonts w:hint="default"/>
                      <w:color w:val="auto"/>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 w:hRule="atLeast"/>
              </w:trPr>
              <w:tc>
                <w:tcPr>
                  <w:tcW w:w="802" w:type="dxa"/>
                  <w:vMerge w:val="continue"/>
                  <w:vAlign w:val="center"/>
                </w:tcPr>
                <w:p>
                  <w:pPr>
                    <w:pStyle w:val="19"/>
                    <w:bidi w:val="0"/>
                    <w:jc w:val="center"/>
                    <w:rPr>
                      <w:rFonts w:hint="default"/>
                      <w:color w:val="auto"/>
                      <w:lang w:val="en-US" w:eastAsia="zh-CN"/>
                    </w:rPr>
                  </w:pPr>
                </w:p>
              </w:tc>
              <w:tc>
                <w:tcPr>
                  <w:tcW w:w="1666" w:type="dxa"/>
                  <w:vMerge w:val="continue"/>
                  <w:vAlign w:val="center"/>
                </w:tcPr>
                <w:p>
                  <w:pPr>
                    <w:pStyle w:val="19"/>
                    <w:bidi w:val="0"/>
                    <w:jc w:val="center"/>
                    <w:rPr>
                      <w:rFonts w:hint="default"/>
                      <w:color w:val="auto"/>
                      <w:lang w:val="en-US" w:eastAsia="zh-CN"/>
                    </w:rPr>
                  </w:pPr>
                </w:p>
              </w:tc>
              <w:tc>
                <w:tcPr>
                  <w:tcW w:w="1235" w:type="dxa"/>
                  <w:vAlign w:val="center"/>
                </w:tcPr>
                <w:p>
                  <w:pPr>
                    <w:pStyle w:val="19"/>
                    <w:bidi w:val="0"/>
                    <w:jc w:val="center"/>
                    <w:rPr>
                      <w:rFonts w:hint="default"/>
                      <w:color w:val="auto"/>
                      <w:lang w:val="en-US" w:eastAsia="zh-CN"/>
                    </w:rPr>
                  </w:pPr>
                  <w:r>
                    <w:rPr>
                      <w:rFonts w:hint="eastAsia"/>
                      <w:color w:val="auto"/>
                      <w:lang w:val="en-US" w:eastAsia="zh-CN"/>
                    </w:rPr>
                    <w:t>园地</w:t>
                  </w:r>
                </w:p>
              </w:tc>
              <w:tc>
                <w:tcPr>
                  <w:tcW w:w="1235" w:type="dxa"/>
                  <w:vAlign w:val="center"/>
                </w:tcPr>
                <w:p>
                  <w:pPr>
                    <w:pStyle w:val="19"/>
                    <w:bidi w:val="0"/>
                    <w:jc w:val="center"/>
                    <w:rPr>
                      <w:rFonts w:hint="default"/>
                      <w:color w:val="auto"/>
                      <w:lang w:val="en-US" w:eastAsia="zh-CN"/>
                    </w:rPr>
                  </w:pPr>
                  <w:r>
                    <w:rPr>
                      <w:rFonts w:hint="eastAsia"/>
                      <w:color w:val="auto"/>
                      <w:lang w:val="en-US" w:eastAsia="zh-CN"/>
                    </w:rPr>
                    <w:t>水塘</w:t>
                  </w:r>
                </w:p>
              </w:tc>
              <w:tc>
                <w:tcPr>
                  <w:tcW w:w="1235" w:type="dxa"/>
                  <w:vAlign w:val="center"/>
                </w:tcPr>
                <w:p>
                  <w:pPr>
                    <w:pStyle w:val="19"/>
                    <w:bidi w:val="0"/>
                    <w:jc w:val="center"/>
                    <w:rPr>
                      <w:rFonts w:hint="default"/>
                      <w:color w:val="auto"/>
                      <w:lang w:val="en-US" w:eastAsia="zh-CN"/>
                    </w:rPr>
                  </w:pPr>
                  <w:r>
                    <w:rPr>
                      <w:rFonts w:hint="eastAsia"/>
                      <w:color w:val="auto"/>
                      <w:lang w:val="en-US" w:eastAsia="zh-CN"/>
                    </w:rPr>
                    <w:t>建筑用地</w:t>
                  </w:r>
                </w:p>
              </w:tc>
              <w:tc>
                <w:tcPr>
                  <w:tcW w:w="1235" w:type="dxa"/>
                  <w:vAlign w:val="center"/>
                </w:tcPr>
                <w:p>
                  <w:pPr>
                    <w:pStyle w:val="19"/>
                    <w:bidi w:val="0"/>
                    <w:jc w:val="center"/>
                    <w:rPr>
                      <w:rFonts w:hint="default"/>
                      <w:color w:val="auto"/>
                      <w:lang w:val="en-US" w:eastAsia="zh-CN"/>
                    </w:rPr>
                  </w:pPr>
                  <w:r>
                    <w:rPr>
                      <w:rFonts w:hint="default"/>
                      <w:color w:val="auto"/>
                      <w:lang w:val="en-US" w:eastAsia="zh-CN"/>
                    </w:rPr>
                    <w:t>小计</w:t>
                  </w:r>
                </w:p>
              </w:tc>
              <w:tc>
                <w:tcPr>
                  <w:tcW w:w="1235" w:type="dxa"/>
                  <w:vMerge w:val="continue"/>
                  <w:vAlign w:val="center"/>
                </w:tcPr>
                <w:p>
                  <w:pPr>
                    <w:pStyle w:val="19"/>
                    <w:bidi w:val="0"/>
                    <w:jc w:val="center"/>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dxa"/>
                  <w:vAlign w:val="center"/>
                </w:tcPr>
                <w:p>
                  <w:pPr>
                    <w:pStyle w:val="19"/>
                    <w:bidi w:val="0"/>
                    <w:jc w:val="center"/>
                    <w:rPr>
                      <w:rFonts w:hint="default"/>
                      <w:color w:val="auto"/>
                      <w:lang w:val="en-US" w:eastAsia="zh-CN"/>
                    </w:rPr>
                  </w:pPr>
                  <w:r>
                    <w:rPr>
                      <w:rFonts w:hint="default"/>
                      <w:color w:val="auto"/>
                      <w:lang w:val="en-US" w:eastAsia="zh-CN"/>
                    </w:rPr>
                    <w:t>1</w:t>
                  </w:r>
                </w:p>
              </w:tc>
              <w:tc>
                <w:tcPr>
                  <w:tcW w:w="1666" w:type="dxa"/>
                  <w:vAlign w:val="center"/>
                </w:tcPr>
                <w:p>
                  <w:pPr>
                    <w:pStyle w:val="19"/>
                    <w:bidi w:val="0"/>
                    <w:jc w:val="center"/>
                    <w:rPr>
                      <w:rFonts w:hint="default"/>
                      <w:color w:val="auto"/>
                      <w:lang w:val="en-US" w:eastAsia="zh-CN"/>
                    </w:rPr>
                  </w:pPr>
                  <w:r>
                    <w:rPr>
                      <w:rFonts w:hint="default"/>
                      <w:color w:val="auto"/>
                      <w:lang w:val="en-US" w:eastAsia="zh-CN"/>
                    </w:rPr>
                    <w:t>建构筑物区</w:t>
                  </w:r>
                </w:p>
              </w:tc>
              <w:tc>
                <w:tcPr>
                  <w:tcW w:w="1235" w:type="dxa"/>
                  <w:vAlign w:val="bottom"/>
                </w:tcPr>
                <w:p>
                  <w:pPr>
                    <w:pStyle w:val="23"/>
                    <w:bidi w:val="0"/>
                    <w:rPr>
                      <w:rFonts w:hint="default"/>
                      <w:color w:val="auto"/>
                      <w:lang w:val="en-US" w:eastAsia="zh-CN"/>
                    </w:rPr>
                  </w:pPr>
                  <w:r>
                    <w:rPr>
                      <w:rFonts w:hint="default"/>
                      <w:color w:val="auto"/>
                      <w:lang w:val="en-US" w:eastAsia="zh-CN"/>
                    </w:rPr>
                    <w:t>1.0734</w:t>
                  </w:r>
                </w:p>
              </w:tc>
              <w:tc>
                <w:tcPr>
                  <w:tcW w:w="1235" w:type="dxa"/>
                  <w:vAlign w:val="bottom"/>
                </w:tcPr>
                <w:p>
                  <w:pPr>
                    <w:pStyle w:val="23"/>
                    <w:bidi w:val="0"/>
                    <w:rPr>
                      <w:rFonts w:hint="default"/>
                      <w:color w:val="auto"/>
                      <w:lang w:val="en-US" w:eastAsia="zh-CN"/>
                    </w:rPr>
                  </w:pPr>
                  <w:r>
                    <w:rPr>
                      <w:rFonts w:hint="default"/>
                      <w:color w:val="auto"/>
                      <w:lang w:val="en-US" w:eastAsia="zh-CN"/>
                    </w:rPr>
                    <w:t>0.195</w:t>
                  </w:r>
                </w:p>
              </w:tc>
              <w:tc>
                <w:tcPr>
                  <w:tcW w:w="1235" w:type="dxa"/>
                  <w:vAlign w:val="bottom"/>
                </w:tcPr>
                <w:p>
                  <w:pPr>
                    <w:pStyle w:val="23"/>
                    <w:bidi w:val="0"/>
                    <w:rPr>
                      <w:rFonts w:hint="default"/>
                      <w:color w:val="auto"/>
                      <w:lang w:val="en-US" w:eastAsia="zh-CN"/>
                    </w:rPr>
                  </w:pPr>
                  <w:r>
                    <w:rPr>
                      <w:rFonts w:hint="default"/>
                      <w:color w:val="auto"/>
                      <w:lang w:val="en-US" w:eastAsia="zh-CN"/>
                    </w:rPr>
                    <w:t>0.4454</w:t>
                  </w:r>
                </w:p>
              </w:tc>
              <w:tc>
                <w:tcPr>
                  <w:tcW w:w="1235" w:type="dxa"/>
                  <w:vAlign w:val="bottom"/>
                </w:tcPr>
                <w:p>
                  <w:pPr>
                    <w:pStyle w:val="23"/>
                    <w:bidi w:val="0"/>
                    <w:rPr>
                      <w:rFonts w:hint="default"/>
                      <w:color w:val="auto"/>
                      <w:lang w:val="en-US" w:eastAsia="zh-CN"/>
                    </w:rPr>
                  </w:pPr>
                  <w:r>
                    <w:rPr>
                      <w:rFonts w:hint="default"/>
                      <w:color w:val="auto"/>
                      <w:lang w:val="en-US" w:eastAsia="zh-CN"/>
                    </w:rPr>
                    <w:t>1.7138</w:t>
                  </w:r>
                </w:p>
              </w:tc>
              <w:tc>
                <w:tcPr>
                  <w:tcW w:w="1235" w:type="dxa"/>
                  <w:vMerge w:val="restart"/>
                  <w:vAlign w:val="center"/>
                </w:tcPr>
                <w:p>
                  <w:pPr>
                    <w:pStyle w:val="19"/>
                    <w:bidi w:val="0"/>
                    <w:jc w:val="center"/>
                    <w:rPr>
                      <w:rFonts w:hint="default"/>
                      <w:color w:val="auto"/>
                      <w:lang w:val="en-US" w:eastAsia="zh-CN"/>
                    </w:rPr>
                  </w:pPr>
                  <w:r>
                    <w:rPr>
                      <w:rFonts w:hint="eastAsia"/>
                      <w:color w:val="auto"/>
                      <w:lang w:val="en-US" w:eastAsia="zh-CN"/>
                    </w:rPr>
                    <w:t>永久占地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dxa"/>
                  <w:vAlign w:val="center"/>
                </w:tcPr>
                <w:p>
                  <w:pPr>
                    <w:pStyle w:val="19"/>
                    <w:bidi w:val="0"/>
                    <w:jc w:val="center"/>
                    <w:rPr>
                      <w:rFonts w:hint="default"/>
                      <w:color w:val="auto"/>
                      <w:lang w:val="en-US" w:eastAsia="zh-CN"/>
                    </w:rPr>
                  </w:pPr>
                  <w:r>
                    <w:rPr>
                      <w:rFonts w:hint="default"/>
                      <w:color w:val="auto"/>
                      <w:lang w:val="en-US" w:eastAsia="zh-CN"/>
                    </w:rPr>
                    <w:t>2</w:t>
                  </w:r>
                </w:p>
              </w:tc>
              <w:tc>
                <w:tcPr>
                  <w:tcW w:w="1666" w:type="dxa"/>
                  <w:vAlign w:val="center"/>
                </w:tcPr>
                <w:p>
                  <w:pPr>
                    <w:pStyle w:val="19"/>
                    <w:bidi w:val="0"/>
                    <w:jc w:val="center"/>
                    <w:rPr>
                      <w:rFonts w:hint="default"/>
                      <w:color w:val="auto"/>
                      <w:lang w:val="en-US" w:eastAsia="zh-CN"/>
                    </w:rPr>
                  </w:pPr>
                  <w:r>
                    <w:rPr>
                      <w:rFonts w:hint="default"/>
                      <w:color w:val="auto"/>
                      <w:lang w:val="en-US" w:eastAsia="zh-CN"/>
                    </w:rPr>
                    <w:t>道路广场区</w:t>
                  </w:r>
                </w:p>
              </w:tc>
              <w:tc>
                <w:tcPr>
                  <w:tcW w:w="1235" w:type="dxa"/>
                  <w:vAlign w:val="bottom"/>
                </w:tcPr>
                <w:p>
                  <w:pPr>
                    <w:pStyle w:val="23"/>
                    <w:bidi w:val="0"/>
                    <w:rPr>
                      <w:rFonts w:hint="default"/>
                      <w:color w:val="auto"/>
                      <w:lang w:val="en-US" w:eastAsia="zh-CN"/>
                    </w:rPr>
                  </w:pPr>
                  <w:r>
                    <w:rPr>
                      <w:rFonts w:hint="default"/>
                      <w:color w:val="auto"/>
                      <w:lang w:val="en-US" w:eastAsia="zh-CN"/>
                    </w:rPr>
                    <w:t>1.99</w:t>
                  </w:r>
                </w:p>
              </w:tc>
              <w:tc>
                <w:tcPr>
                  <w:tcW w:w="1235" w:type="dxa"/>
                  <w:vAlign w:val="bottom"/>
                </w:tcPr>
                <w:p>
                  <w:pPr>
                    <w:pStyle w:val="23"/>
                    <w:bidi w:val="0"/>
                    <w:rPr>
                      <w:rFonts w:hint="default"/>
                      <w:color w:val="auto"/>
                      <w:lang w:val="en-US" w:eastAsia="zh-CN"/>
                    </w:rPr>
                  </w:pPr>
                  <w:r>
                    <w:rPr>
                      <w:rFonts w:hint="default"/>
                      <w:color w:val="auto"/>
                      <w:lang w:val="en-US" w:eastAsia="zh-CN"/>
                    </w:rPr>
                    <w:t>1.414</w:t>
                  </w:r>
                </w:p>
              </w:tc>
              <w:tc>
                <w:tcPr>
                  <w:tcW w:w="1235" w:type="dxa"/>
                  <w:vAlign w:val="bottom"/>
                </w:tcPr>
                <w:p>
                  <w:pPr>
                    <w:pStyle w:val="23"/>
                    <w:bidi w:val="0"/>
                    <w:rPr>
                      <w:rFonts w:hint="default"/>
                      <w:color w:val="auto"/>
                      <w:lang w:val="en-US" w:eastAsia="zh-CN"/>
                    </w:rPr>
                  </w:pPr>
                  <w:r>
                    <w:rPr>
                      <w:rFonts w:hint="default"/>
                      <w:color w:val="auto"/>
                      <w:lang w:val="en-US" w:eastAsia="zh-CN"/>
                    </w:rPr>
                    <w:t>1.235</w:t>
                  </w:r>
                </w:p>
              </w:tc>
              <w:tc>
                <w:tcPr>
                  <w:tcW w:w="1235" w:type="dxa"/>
                  <w:vAlign w:val="bottom"/>
                </w:tcPr>
                <w:p>
                  <w:pPr>
                    <w:pStyle w:val="23"/>
                    <w:bidi w:val="0"/>
                    <w:rPr>
                      <w:rFonts w:hint="default"/>
                      <w:color w:val="auto"/>
                      <w:lang w:val="en-US" w:eastAsia="zh-CN"/>
                    </w:rPr>
                  </w:pPr>
                  <w:r>
                    <w:rPr>
                      <w:rFonts w:hint="default"/>
                      <w:color w:val="auto"/>
                      <w:lang w:val="en-US" w:eastAsia="zh-CN"/>
                    </w:rPr>
                    <w:t>4.639</w:t>
                  </w:r>
                </w:p>
              </w:tc>
              <w:tc>
                <w:tcPr>
                  <w:tcW w:w="1235" w:type="dxa"/>
                  <w:vMerge w:val="continue"/>
                  <w:vAlign w:val="center"/>
                </w:tcPr>
                <w:p>
                  <w:pPr>
                    <w:pStyle w:val="19"/>
                    <w:bidi w:val="0"/>
                    <w:jc w:val="center"/>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dxa"/>
                  <w:vAlign w:val="center"/>
                </w:tcPr>
                <w:p>
                  <w:pPr>
                    <w:pStyle w:val="19"/>
                    <w:bidi w:val="0"/>
                    <w:jc w:val="center"/>
                    <w:rPr>
                      <w:rFonts w:hint="default"/>
                      <w:color w:val="auto"/>
                      <w:lang w:val="en-US" w:eastAsia="zh-CN"/>
                    </w:rPr>
                  </w:pPr>
                  <w:r>
                    <w:rPr>
                      <w:rFonts w:hint="default"/>
                      <w:color w:val="auto"/>
                      <w:lang w:val="en-US" w:eastAsia="zh-CN"/>
                    </w:rPr>
                    <w:t>3</w:t>
                  </w:r>
                </w:p>
              </w:tc>
              <w:tc>
                <w:tcPr>
                  <w:tcW w:w="1666" w:type="dxa"/>
                  <w:vAlign w:val="center"/>
                </w:tcPr>
                <w:p>
                  <w:pPr>
                    <w:pStyle w:val="19"/>
                    <w:bidi w:val="0"/>
                    <w:jc w:val="center"/>
                    <w:rPr>
                      <w:rFonts w:hint="default"/>
                      <w:color w:val="auto"/>
                      <w:lang w:val="en-US" w:eastAsia="zh-CN"/>
                    </w:rPr>
                  </w:pPr>
                  <w:r>
                    <w:rPr>
                      <w:rFonts w:hint="default"/>
                      <w:color w:val="auto"/>
                      <w:lang w:val="en-US" w:eastAsia="zh-CN"/>
                    </w:rPr>
                    <w:t>绿化区</w:t>
                  </w:r>
                </w:p>
              </w:tc>
              <w:tc>
                <w:tcPr>
                  <w:tcW w:w="1235" w:type="dxa"/>
                  <w:vAlign w:val="bottom"/>
                </w:tcPr>
                <w:p>
                  <w:pPr>
                    <w:pStyle w:val="23"/>
                    <w:bidi w:val="0"/>
                    <w:rPr>
                      <w:rFonts w:hint="default"/>
                      <w:color w:val="auto"/>
                      <w:lang w:val="en-US" w:eastAsia="zh-CN"/>
                    </w:rPr>
                  </w:pPr>
                  <w:r>
                    <w:rPr>
                      <w:rFonts w:hint="default"/>
                      <w:color w:val="auto"/>
                      <w:lang w:val="en-US" w:eastAsia="zh-CN"/>
                    </w:rPr>
                    <w:t>1.3346</w:t>
                  </w:r>
                </w:p>
              </w:tc>
              <w:tc>
                <w:tcPr>
                  <w:tcW w:w="1235" w:type="dxa"/>
                  <w:vAlign w:val="bottom"/>
                </w:tcPr>
                <w:p>
                  <w:pPr>
                    <w:pStyle w:val="23"/>
                    <w:bidi w:val="0"/>
                    <w:rPr>
                      <w:rFonts w:hint="default"/>
                      <w:color w:val="auto"/>
                      <w:lang w:val="en-US" w:eastAsia="zh-CN"/>
                    </w:rPr>
                  </w:pPr>
                  <w:r>
                    <w:rPr>
                      <w:rFonts w:hint="default"/>
                      <w:color w:val="auto"/>
                      <w:lang w:val="en-US" w:eastAsia="zh-CN"/>
                    </w:rPr>
                    <w:t>1.116</w:t>
                  </w:r>
                </w:p>
              </w:tc>
              <w:tc>
                <w:tcPr>
                  <w:tcW w:w="1235" w:type="dxa"/>
                  <w:vAlign w:val="bottom"/>
                </w:tcPr>
                <w:p>
                  <w:pPr>
                    <w:pStyle w:val="23"/>
                    <w:bidi w:val="0"/>
                    <w:rPr>
                      <w:rFonts w:hint="default"/>
                      <w:color w:val="auto"/>
                      <w:lang w:val="en-US" w:eastAsia="zh-CN"/>
                    </w:rPr>
                  </w:pPr>
                  <w:r>
                    <w:rPr>
                      <w:rFonts w:hint="default"/>
                      <w:color w:val="auto"/>
                      <w:lang w:val="en-US" w:eastAsia="zh-CN"/>
                    </w:rPr>
                    <w:t>1.747</w:t>
                  </w:r>
                </w:p>
              </w:tc>
              <w:tc>
                <w:tcPr>
                  <w:tcW w:w="1235" w:type="dxa"/>
                  <w:vAlign w:val="bottom"/>
                </w:tcPr>
                <w:p>
                  <w:pPr>
                    <w:pStyle w:val="23"/>
                    <w:bidi w:val="0"/>
                    <w:rPr>
                      <w:rFonts w:hint="default"/>
                      <w:color w:val="auto"/>
                      <w:lang w:val="en-US" w:eastAsia="zh-CN"/>
                    </w:rPr>
                  </w:pPr>
                  <w:r>
                    <w:rPr>
                      <w:rFonts w:hint="default"/>
                      <w:color w:val="auto"/>
                      <w:lang w:val="en-US" w:eastAsia="zh-CN"/>
                    </w:rPr>
                    <w:t>4.1976</w:t>
                  </w:r>
                </w:p>
              </w:tc>
              <w:tc>
                <w:tcPr>
                  <w:tcW w:w="1235" w:type="dxa"/>
                  <w:vMerge w:val="continue"/>
                  <w:vAlign w:val="center"/>
                </w:tcPr>
                <w:p>
                  <w:pPr>
                    <w:pStyle w:val="19"/>
                    <w:bidi w:val="0"/>
                    <w:jc w:val="center"/>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dxa"/>
                  <w:vAlign w:val="center"/>
                </w:tcPr>
                <w:p>
                  <w:pPr>
                    <w:pStyle w:val="19"/>
                    <w:bidi w:val="0"/>
                    <w:jc w:val="center"/>
                    <w:rPr>
                      <w:rFonts w:hint="default"/>
                      <w:color w:val="auto"/>
                      <w:lang w:val="en-US" w:eastAsia="zh-CN"/>
                    </w:rPr>
                  </w:pPr>
                  <w:r>
                    <w:rPr>
                      <w:rFonts w:hint="default"/>
                      <w:color w:val="auto"/>
                      <w:lang w:val="en-US" w:eastAsia="zh-CN"/>
                    </w:rPr>
                    <w:t>4</w:t>
                  </w:r>
                </w:p>
              </w:tc>
              <w:tc>
                <w:tcPr>
                  <w:tcW w:w="1666" w:type="dxa"/>
                  <w:vAlign w:val="center"/>
                </w:tcPr>
                <w:p>
                  <w:pPr>
                    <w:pStyle w:val="19"/>
                    <w:bidi w:val="0"/>
                    <w:jc w:val="center"/>
                    <w:rPr>
                      <w:rFonts w:hint="default"/>
                      <w:color w:val="auto"/>
                      <w:lang w:val="en-US" w:eastAsia="zh-CN"/>
                    </w:rPr>
                  </w:pPr>
                  <w:r>
                    <w:rPr>
                      <w:rFonts w:hint="eastAsia"/>
                      <w:color w:val="auto"/>
                      <w:lang w:val="en-US" w:eastAsia="zh-CN"/>
                    </w:rPr>
                    <w:t>水域区</w:t>
                  </w:r>
                </w:p>
              </w:tc>
              <w:tc>
                <w:tcPr>
                  <w:tcW w:w="1235" w:type="dxa"/>
                  <w:vAlign w:val="bottom"/>
                </w:tcPr>
                <w:p>
                  <w:pPr>
                    <w:pStyle w:val="23"/>
                    <w:bidi w:val="0"/>
                    <w:rPr>
                      <w:rFonts w:hint="default"/>
                      <w:color w:val="auto"/>
                      <w:lang w:val="en-US" w:eastAsia="zh-CN"/>
                    </w:rPr>
                  </w:pPr>
                  <w:r>
                    <w:rPr>
                      <w:rFonts w:hint="default"/>
                      <w:color w:val="auto"/>
                      <w:lang w:val="en-US" w:eastAsia="zh-CN"/>
                    </w:rPr>
                    <w:t>0.9654</w:t>
                  </w:r>
                </w:p>
              </w:tc>
              <w:tc>
                <w:tcPr>
                  <w:tcW w:w="1235" w:type="dxa"/>
                  <w:vAlign w:val="bottom"/>
                </w:tcPr>
                <w:p>
                  <w:pPr>
                    <w:pStyle w:val="23"/>
                    <w:bidi w:val="0"/>
                    <w:rPr>
                      <w:rFonts w:hint="default"/>
                      <w:color w:val="auto"/>
                      <w:lang w:val="en-US" w:eastAsia="zh-CN"/>
                    </w:rPr>
                  </w:pPr>
                  <w:r>
                    <w:rPr>
                      <w:rFonts w:hint="default"/>
                      <w:color w:val="auto"/>
                      <w:lang w:val="en-US" w:eastAsia="zh-CN"/>
                    </w:rPr>
                    <w:t>0.1053</w:t>
                  </w:r>
                </w:p>
              </w:tc>
              <w:tc>
                <w:tcPr>
                  <w:tcW w:w="1235" w:type="dxa"/>
                  <w:vAlign w:val="bottom"/>
                </w:tcPr>
                <w:p>
                  <w:pPr>
                    <w:pStyle w:val="23"/>
                    <w:bidi w:val="0"/>
                    <w:rPr>
                      <w:rFonts w:hint="default"/>
                      <w:color w:val="auto"/>
                      <w:lang w:val="en-US" w:eastAsia="zh-CN"/>
                    </w:rPr>
                  </w:pPr>
                  <w:r>
                    <w:rPr>
                      <w:rFonts w:hint="default"/>
                      <w:color w:val="auto"/>
                      <w:lang w:val="en-US" w:eastAsia="zh-CN"/>
                    </w:rPr>
                    <w:t>0.2457</w:t>
                  </w:r>
                </w:p>
              </w:tc>
              <w:tc>
                <w:tcPr>
                  <w:tcW w:w="1235" w:type="dxa"/>
                  <w:vAlign w:val="bottom"/>
                </w:tcPr>
                <w:p>
                  <w:pPr>
                    <w:pStyle w:val="23"/>
                    <w:bidi w:val="0"/>
                    <w:rPr>
                      <w:rFonts w:hint="default"/>
                      <w:color w:val="auto"/>
                      <w:lang w:val="en-US" w:eastAsia="zh-CN"/>
                    </w:rPr>
                  </w:pPr>
                  <w:r>
                    <w:rPr>
                      <w:rFonts w:hint="default"/>
                      <w:color w:val="auto"/>
                      <w:lang w:val="en-US" w:eastAsia="zh-CN"/>
                    </w:rPr>
                    <w:t>1.3164</w:t>
                  </w:r>
                </w:p>
              </w:tc>
              <w:tc>
                <w:tcPr>
                  <w:tcW w:w="1235" w:type="dxa"/>
                  <w:vMerge w:val="continue"/>
                  <w:vAlign w:val="center"/>
                </w:tcPr>
                <w:p>
                  <w:pPr>
                    <w:pStyle w:val="19"/>
                    <w:bidi w:val="0"/>
                    <w:jc w:val="center"/>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dxa"/>
                  <w:vAlign w:val="center"/>
                </w:tcPr>
                <w:p>
                  <w:pPr>
                    <w:pStyle w:val="19"/>
                    <w:bidi w:val="0"/>
                    <w:jc w:val="center"/>
                    <w:rPr>
                      <w:rFonts w:hint="default"/>
                      <w:color w:val="auto"/>
                      <w:lang w:val="en-US" w:eastAsia="zh-CN"/>
                    </w:rPr>
                  </w:pPr>
                  <w:r>
                    <w:rPr>
                      <w:rFonts w:hint="default"/>
                      <w:color w:val="auto"/>
                      <w:lang w:val="en-US" w:eastAsia="zh-CN"/>
                    </w:rPr>
                    <w:t>6</w:t>
                  </w:r>
                </w:p>
              </w:tc>
              <w:tc>
                <w:tcPr>
                  <w:tcW w:w="1666" w:type="dxa"/>
                  <w:vAlign w:val="center"/>
                </w:tcPr>
                <w:p>
                  <w:pPr>
                    <w:pStyle w:val="19"/>
                    <w:bidi w:val="0"/>
                    <w:jc w:val="center"/>
                    <w:rPr>
                      <w:rFonts w:hint="default"/>
                      <w:color w:val="auto"/>
                      <w:lang w:val="en-US" w:eastAsia="zh-CN"/>
                    </w:rPr>
                  </w:pPr>
                  <w:r>
                    <w:rPr>
                      <w:rFonts w:hint="eastAsia"/>
                      <w:color w:val="auto"/>
                      <w:lang w:val="en-US" w:eastAsia="zh-CN"/>
                    </w:rPr>
                    <w:t>拓展用地</w:t>
                  </w:r>
                </w:p>
              </w:tc>
              <w:tc>
                <w:tcPr>
                  <w:tcW w:w="1235" w:type="dxa"/>
                  <w:vAlign w:val="bottom"/>
                </w:tcPr>
                <w:p>
                  <w:pPr>
                    <w:pStyle w:val="23"/>
                    <w:bidi w:val="0"/>
                    <w:rPr>
                      <w:rFonts w:hint="default"/>
                      <w:color w:val="auto"/>
                      <w:lang w:val="en-US" w:eastAsia="zh-CN"/>
                    </w:rPr>
                  </w:pPr>
                  <w:r>
                    <w:rPr>
                      <w:rFonts w:hint="default"/>
                      <w:color w:val="auto"/>
                      <w:lang w:val="en-US" w:eastAsia="zh-CN"/>
                    </w:rPr>
                    <w:t>1.844</w:t>
                  </w:r>
                </w:p>
              </w:tc>
              <w:tc>
                <w:tcPr>
                  <w:tcW w:w="1235" w:type="dxa"/>
                  <w:vAlign w:val="bottom"/>
                </w:tcPr>
                <w:p>
                  <w:pPr>
                    <w:pStyle w:val="23"/>
                    <w:bidi w:val="0"/>
                    <w:rPr>
                      <w:rFonts w:hint="default"/>
                      <w:color w:val="auto"/>
                      <w:lang w:val="en-US" w:eastAsia="zh-CN"/>
                    </w:rPr>
                  </w:pPr>
                  <w:r>
                    <w:rPr>
                      <w:rFonts w:hint="default"/>
                      <w:color w:val="auto"/>
                      <w:lang w:val="en-US" w:eastAsia="zh-CN"/>
                    </w:rPr>
                    <w:t>0.2566</w:t>
                  </w:r>
                </w:p>
              </w:tc>
              <w:tc>
                <w:tcPr>
                  <w:tcW w:w="1235" w:type="dxa"/>
                  <w:vAlign w:val="bottom"/>
                </w:tcPr>
                <w:p>
                  <w:pPr>
                    <w:pStyle w:val="23"/>
                    <w:bidi w:val="0"/>
                    <w:rPr>
                      <w:rFonts w:hint="default"/>
                      <w:color w:val="auto"/>
                      <w:lang w:val="en-US" w:eastAsia="zh-CN"/>
                    </w:rPr>
                  </w:pPr>
                  <w:r>
                    <w:rPr>
                      <w:rFonts w:hint="default"/>
                      <w:color w:val="auto"/>
                      <w:lang w:val="en-US" w:eastAsia="zh-CN"/>
                    </w:rPr>
                    <w:t>0.7121</w:t>
                  </w:r>
                </w:p>
              </w:tc>
              <w:tc>
                <w:tcPr>
                  <w:tcW w:w="1235" w:type="dxa"/>
                  <w:vAlign w:val="bottom"/>
                </w:tcPr>
                <w:p>
                  <w:pPr>
                    <w:pStyle w:val="23"/>
                    <w:bidi w:val="0"/>
                    <w:rPr>
                      <w:rFonts w:hint="default"/>
                      <w:color w:val="auto"/>
                      <w:lang w:val="en-US" w:eastAsia="zh-CN"/>
                    </w:rPr>
                  </w:pPr>
                  <w:r>
                    <w:rPr>
                      <w:rFonts w:hint="default"/>
                      <w:color w:val="auto"/>
                      <w:lang w:val="en-US" w:eastAsia="zh-CN"/>
                    </w:rPr>
                    <w:t>2.8127</w:t>
                  </w:r>
                </w:p>
              </w:tc>
              <w:tc>
                <w:tcPr>
                  <w:tcW w:w="1235" w:type="dxa"/>
                  <w:vMerge w:val="continue"/>
                  <w:vAlign w:val="center"/>
                </w:tcPr>
                <w:p>
                  <w:pPr>
                    <w:pStyle w:val="19"/>
                    <w:bidi w:val="0"/>
                    <w:jc w:val="center"/>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8" w:type="dxa"/>
                  <w:gridSpan w:val="2"/>
                  <w:vAlign w:val="center"/>
                </w:tcPr>
                <w:p>
                  <w:pPr>
                    <w:pStyle w:val="19"/>
                    <w:bidi w:val="0"/>
                    <w:jc w:val="center"/>
                    <w:rPr>
                      <w:rFonts w:hint="default"/>
                      <w:color w:val="auto"/>
                      <w:lang w:val="en-US" w:eastAsia="zh-CN"/>
                    </w:rPr>
                  </w:pPr>
                  <w:r>
                    <w:rPr>
                      <w:rFonts w:hint="eastAsia"/>
                      <w:color w:val="auto"/>
                      <w:lang w:val="en-US" w:eastAsia="zh-CN"/>
                    </w:rPr>
                    <w:t>小计</w:t>
                  </w:r>
                </w:p>
              </w:tc>
              <w:tc>
                <w:tcPr>
                  <w:tcW w:w="1235" w:type="dxa"/>
                  <w:vAlign w:val="bottom"/>
                </w:tcPr>
                <w:p>
                  <w:pPr>
                    <w:pStyle w:val="23"/>
                    <w:bidi w:val="0"/>
                    <w:rPr>
                      <w:rFonts w:hint="default"/>
                      <w:color w:val="auto"/>
                      <w:lang w:val="en-US" w:eastAsia="zh-CN"/>
                    </w:rPr>
                  </w:pPr>
                  <w:r>
                    <w:rPr>
                      <w:rFonts w:hint="default"/>
                      <w:color w:val="auto"/>
                      <w:lang w:val="en-US" w:eastAsia="zh-CN"/>
                    </w:rPr>
                    <w:t>7.2074</w:t>
                  </w:r>
                </w:p>
              </w:tc>
              <w:tc>
                <w:tcPr>
                  <w:tcW w:w="1235" w:type="dxa"/>
                  <w:vAlign w:val="bottom"/>
                </w:tcPr>
                <w:p>
                  <w:pPr>
                    <w:pStyle w:val="23"/>
                    <w:bidi w:val="0"/>
                    <w:rPr>
                      <w:rFonts w:hint="default"/>
                      <w:color w:val="auto"/>
                      <w:lang w:val="en-US" w:eastAsia="zh-CN"/>
                    </w:rPr>
                  </w:pPr>
                  <w:r>
                    <w:rPr>
                      <w:rFonts w:hint="default"/>
                      <w:color w:val="auto"/>
                      <w:lang w:val="en-US" w:eastAsia="zh-CN"/>
                    </w:rPr>
                    <w:t>3.0869</w:t>
                  </w:r>
                </w:p>
              </w:tc>
              <w:tc>
                <w:tcPr>
                  <w:tcW w:w="1235" w:type="dxa"/>
                  <w:vAlign w:val="bottom"/>
                </w:tcPr>
                <w:p>
                  <w:pPr>
                    <w:pStyle w:val="23"/>
                    <w:bidi w:val="0"/>
                    <w:rPr>
                      <w:rFonts w:hint="default"/>
                      <w:color w:val="auto"/>
                      <w:lang w:val="en-US" w:eastAsia="zh-CN"/>
                    </w:rPr>
                  </w:pPr>
                  <w:r>
                    <w:rPr>
                      <w:rFonts w:hint="default"/>
                      <w:color w:val="auto"/>
                      <w:lang w:val="en-US" w:eastAsia="zh-CN"/>
                    </w:rPr>
                    <w:t>4.3852</w:t>
                  </w:r>
                </w:p>
              </w:tc>
              <w:tc>
                <w:tcPr>
                  <w:tcW w:w="1235" w:type="dxa"/>
                  <w:vAlign w:val="bottom"/>
                </w:tcPr>
                <w:p>
                  <w:pPr>
                    <w:pStyle w:val="23"/>
                    <w:bidi w:val="0"/>
                    <w:rPr>
                      <w:rFonts w:hint="default"/>
                      <w:color w:val="auto"/>
                      <w:lang w:val="en-US" w:eastAsia="zh-CN"/>
                    </w:rPr>
                  </w:pPr>
                  <w:r>
                    <w:rPr>
                      <w:rFonts w:hint="default"/>
                      <w:color w:val="auto"/>
                      <w:lang w:val="en-US" w:eastAsia="zh-CN"/>
                    </w:rPr>
                    <w:t>14.6795</w:t>
                  </w:r>
                </w:p>
              </w:tc>
              <w:tc>
                <w:tcPr>
                  <w:tcW w:w="1235" w:type="dxa"/>
                  <w:vMerge w:val="continue"/>
                  <w:vAlign w:val="center"/>
                </w:tcPr>
                <w:p>
                  <w:pPr>
                    <w:pStyle w:val="19"/>
                    <w:bidi w:val="0"/>
                    <w:jc w:val="center"/>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dxa"/>
                  <w:vAlign w:val="center"/>
                </w:tcPr>
                <w:p>
                  <w:pPr>
                    <w:pStyle w:val="19"/>
                    <w:bidi w:val="0"/>
                    <w:jc w:val="center"/>
                    <w:rPr>
                      <w:rFonts w:hint="default"/>
                      <w:color w:val="auto"/>
                      <w:lang w:val="en-US" w:eastAsia="zh-CN"/>
                    </w:rPr>
                  </w:pPr>
                  <w:r>
                    <w:rPr>
                      <w:rFonts w:hint="default"/>
                      <w:color w:val="auto"/>
                      <w:lang w:val="en-US" w:eastAsia="zh-CN"/>
                    </w:rPr>
                    <w:t>7</w:t>
                  </w:r>
                </w:p>
              </w:tc>
              <w:tc>
                <w:tcPr>
                  <w:tcW w:w="1666" w:type="dxa"/>
                  <w:vAlign w:val="center"/>
                </w:tcPr>
                <w:p>
                  <w:pPr>
                    <w:pStyle w:val="19"/>
                    <w:bidi w:val="0"/>
                    <w:jc w:val="center"/>
                    <w:rPr>
                      <w:rFonts w:hint="default"/>
                      <w:color w:val="auto"/>
                      <w:lang w:val="en-US" w:eastAsia="zh-CN"/>
                    </w:rPr>
                  </w:pPr>
                  <w:r>
                    <w:rPr>
                      <w:rFonts w:hint="eastAsia"/>
                      <w:color w:val="auto"/>
                      <w:lang w:val="en-US" w:eastAsia="zh-CN"/>
                    </w:rPr>
                    <w:t>停车场（二期）</w:t>
                  </w:r>
                </w:p>
              </w:tc>
              <w:tc>
                <w:tcPr>
                  <w:tcW w:w="1235" w:type="dxa"/>
                  <w:vAlign w:val="bottom"/>
                </w:tcPr>
                <w:p>
                  <w:pPr>
                    <w:pStyle w:val="23"/>
                    <w:bidi w:val="0"/>
                    <w:rPr>
                      <w:rFonts w:hint="default"/>
                      <w:color w:val="auto"/>
                      <w:lang w:val="en-US" w:eastAsia="zh-CN"/>
                    </w:rPr>
                  </w:pPr>
                  <w:r>
                    <w:rPr>
                      <w:rFonts w:hint="default"/>
                      <w:color w:val="auto"/>
                      <w:lang w:val="en-US" w:eastAsia="zh-CN"/>
                    </w:rPr>
                    <w:t>2.7142</w:t>
                  </w:r>
                </w:p>
              </w:tc>
              <w:tc>
                <w:tcPr>
                  <w:tcW w:w="1235" w:type="dxa"/>
                  <w:vAlign w:val="bottom"/>
                </w:tcPr>
                <w:p>
                  <w:pPr>
                    <w:pStyle w:val="23"/>
                    <w:bidi w:val="0"/>
                    <w:rPr>
                      <w:rFonts w:hint="default"/>
                      <w:color w:val="auto"/>
                      <w:lang w:val="en-US" w:eastAsia="zh-CN"/>
                    </w:rPr>
                  </w:pPr>
                  <w:r>
                    <w:rPr>
                      <w:rFonts w:hint="default"/>
                      <w:color w:val="auto"/>
                      <w:lang w:val="en-US" w:eastAsia="zh-CN"/>
                    </w:rPr>
                    <w:t>0.2858</w:t>
                  </w:r>
                </w:p>
              </w:tc>
              <w:tc>
                <w:tcPr>
                  <w:tcW w:w="1235" w:type="dxa"/>
                  <w:vAlign w:val="bottom"/>
                </w:tcPr>
                <w:p>
                  <w:pPr>
                    <w:pStyle w:val="23"/>
                    <w:bidi w:val="0"/>
                    <w:rPr>
                      <w:rFonts w:hint="default"/>
                      <w:color w:val="auto"/>
                      <w:lang w:val="en-US" w:eastAsia="zh-CN"/>
                    </w:rPr>
                  </w:pPr>
                  <w:r>
                    <w:rPr>
                      <w:rFonts w:hint="eastAsia"/>
                      <w:color w:val="auto"/>
                      <w:lang w:val="en-US" w:eastAsia="zh-CN"/>
                    </w:rPr>
                    <w:t>0</w:t>
                  </w:r>
                </w:p>
              </w:tc>
              <w:tc>
                <w:tcPr>
                  <w:tcW w:w="1235" w:type="dxa"/>
                  <w:vAlign w:val="bottom"/>
                </w:tcPr>
                <w:p>
                  <w:pPr>
                    <w:pStyle w:val="23"/>
                    <w:bidi w:val="0"/>
                    <w:rPr>
                      <w:rFonts w:hint="default"/>
                      <w:color w:val="auto"/>
                      <w:lang w:val="en-US" w:eastAsia="zh-CN"/>
                    </w:rPr>
                  </w:pPr>
                  <w:r>
                    <w:rPr>
                      <w:rFonts w:hint="default"/>
                      <w:color w:val="auto"/>
                      <w:lang w:val="en-US" w:eastAsia="zh-CN"/>
                    </w:rPr>
                    <w:t>3</w:t>
                  </w:r>
                </w:p>
              </w:tc>
              <w:tc>
                <w:tcPr>
                  <w:tcW w:w="1235" w:type="dxa"/>
                  <w:vAlign w:val="center"/>
                </w:tcPr>
                <w:p>
                  <w:pPr>
                    <w:pStyle w:val="19"/>
                    <w:bidi w:val="0"/>
                    <w:jc w:val="center"/>
                    <w:rPr>
                      <w:rFonts w:hint="default"/>
                      <w:color w:val="auto"/>
                      <w:lang w:val="en-US" w:eastAsia="zh-CN"/>
                    </w:rPr>
                  </w:pPr>
                  <w:r>
                    <w:rPr>
                      <w:rFonts w:hint="eastAsia"/>
                      <w:color w:val="auto"/>
                      <w:lang w:val="en-US" w:eastAsia="zh-CN"/>
                    </w:rPr>
                    <w:t>临时占地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8" w:type="dxa"/>
                  <w:gridSpan w:val="2"/>
                  <w:vAlign w:val="center"/>
                </w:tcPr>
                <w:p>
                  <w:pPr>
                    <w:pStyle w:val="19"/>
                    <w:bidi w:val="0"/>
                    <w:jc w:val="center"/>
                    <w:rPr>
                      <w:rFonts w:hint="eastAsia"/>
                      <w:color w:val="auto"/>
                      <w:lang w:val="en-US" w:eastAsia="zh-CN"/>
                    </w:rPr>
                  </w:pPr>
                  <w:r>
                    <w:rPr>
                      <w:rFonts w:hint="default"/>
                      <w:color w:val="auto"/>
                      <w:lang w:val="en-US" w:eastAsia="zh-CN"/>
                    </w:rPr>
                    <w:t>合计</w:t>
                  </w:r>
                </w:p>
              </w:tc>
              <w:tc>
                <w:tcPr>
                  <w:tcW w:w="1235" w:type="dxa"/>
                  <w:vAlign w:val="bottom"/>
                </w:tcPr>
                <w:p>
                  <w:pPr>
                    <w:pStyle w:val="23"/>
                    <w:bidi w:val="0"/>
                    <w:rPr>
                      <w:rFonts w:hint="default"/>
                      <w:color w:val="auto"/>
                      <w:lang w:val="en-US" w:eastAsia="zh-CN"/>
                    </w:rPr>
                  </w:pPr>
                  <w:r>
                    <w:rPr>
                      <w:rFonts w:hint="default"/>
                      <w:color w:val="auto"/>
                      <w:lang w:val="en-US" w:eastAsia="zh-CN"/>
                    </w:rPr>
                    <w:t>9.9216</w:t>
                  </w:r>
                </w:p>
              </w:tc>
              <w:tc>
                <w:tcPr>
                  <w:tcW w:w="1235" w:type="dxa"/>
                  <w:vAlign w:val="bottom"/>
                </w:tcPr>
                <w:p>
                  <w:pPr>
                    <w:pStyle w:val="23"/>
                    <w:bidi w:val="0"/>
                    <w:rPr>
                      <w:rFonts w:hint="default"/>
                      <w:color w:val="auto"/>
                      <w:lang w:val="en-US" w:eastAsia="zh-CN"/>
                    </w:rPr>
                  </w:pPr>
                  <w:r>
                    <w:rPr>
                      <w:rFonts w:hint="default"/>
                      <w:color w:val="auto"/>
                      <w:lang w:val="en-US" w:eastAsia="zh-CN"/>
                    </w:rPr>
                    <w:t>3.3727</w:t>
                  </w:r>
                </w:p>
              </w:tc>
              <w:tc>
                <w:tcPr>
                  <w:tcW w:w="1235" w:type="dxa"/>
                  <w:vAlign w:val="bottom"/>
                </w:tcPr>
                <w:p>
                  <w:pPr>
                    <w:pStyle w:val="23"/>
                    <w:bidi w:val="0"/>
                    <w:rPr>
                      <w:rFonts w:hint="default"/>
                      <w:color w:val="auto"/>
                      <w:lang w:val="en-US" w:eastAsia="zh-CN"/>
                    </w:rPr>
                  </w:pPr>
                  <w:r>
                    <w:rPr>
                      <w:rFonts w:hint="default"/>
                      <w:color w:val="auto"/>
                      <w:lang w:val="en-US" w:eastAsia="zh-CN"/>
                    </w:rPr>
                    <w:t>4.3852</w:t>
                  </w:r>
                </w:p>
              </w:tc>
              <w:tc>
                <w:tcPr>
                  <w:tcW w:w="1235" w:type="dxa"/>
                  <w:vAlign w:val="bottom"/>
                </w:tcPr>
                <w:p>
                  <w:pPr>
                    <w:pStyle w:val="23"/>
                    <w:bidi w:val="0"/>
                    <w:rPr>
                      <w:rFonts w:hint="default"/>
                      <w:color w:val="auto"/>
                      <w:lang w:val="en-US" w:eastAsia="zh-CN"/>
                    </w:rPr>
                  </w:pPr>
                  <w:r>
                    <w:rPr>
                      <w:rFonts w:hint="default"/>
                      <w:color w:val="auto"/>
                      <w:lang w:val="en-US" w:eastAsia="zh-CN"/>
                    </w:rPr>
                    <w:t>17.6795</w:t>
                  </w:r>
                </w:p>
              </w:tc>
              <w:tc>
                <w:tcPr>
                  <w:tcW w:w="1235" w:type="dxa"/>
                  <w:vAlign w:val="center"/>
                </w:tcPr>
                <w:p>
                  <w:pPr>
                    <w:pStyle w:val="19"/>
                    <w:bidi w:val="0"/>
                    <w:jc w:val="center"/>
                    <w:rPr>
                      <w:rFonts w:hint="default"/>
                      <w:color w:val="auto"/>
                      <w:lang w:val="en-US" w:eastAsia="zh-CN"/>
                    </w:rPr>
                  </w:pPr>
                  <w:r>
                    <w:rPr>
                      <w:rFonts w:hint="eastAsia"/>
                      <w:color w:val="auto"/>
                      <w:lang w:val="en-US" w:eastAsia="zh-CN"/>
                    </w:rPr>
                    <w:t>/</w:t>
                  </w:r>
                </w:p>
              </w:tc>
            </w:tr>
          </w:tbl>
          <w:p>
            <w:pPr>
              <w:bidi w:val="0"/>
              <w:ind w:left="0" w:leftChars="0" w:firstLine="480" w:firstLineChars="200"/>
              <w:rPr>
                <w:rFonts w:hint="eastAsia"/>
                <w:color w:val="auto"/>
                <w:lang w:val="en-US" w:eastAsia="zh-CN"/>
              </w:rPr>
            </w:pPr>
            <w:r>
              <w:rPr>
                <w:color w:val="auto"/>
              </w:rPr>
              <w:t>本项目</w:t>
            </w:r>
            <w:r>
              <w:rPr>
                <w:rFonts w:hint="eastAsia"/>
                <w:color w:val="auto"/>
                <w:lang w:eastAsia="zh-CN"/>
              </w:rPr>
              <w:t>建设</w:t>
            </w:r>
            <w:r>
              <w:rPr>
                <w:color w:val="auto"/>
              </w:rPr>
              <w:t>包括建构筑物区、道路广场区、绿化区</w:t>
            </w:r>
            <w:r>
              <w:rPr>
                <w:rFonts w:hint="eastAsia"/>
                <w:color w:val="auto"/>
                <w:lang w:val="en-US" w:eastAsia="zh-CN"/>
              </w:rPr>
              <w:t>、水域区、拓展用地区、临时停车场区</w:t>
            </w:r>
            <w:r>
              <w:rPr>
                <w:color w:val="auto"/>
              </w:rPr>
              <w:t>共</w:t>
            </w:r>
            <w:r>
              <w:rPr>
                <w:rFonts w:hint="eastAsia"/>
                <w:color w:val="auto"/>
                <w:lang w:eastAsia="zh-CN"/>
              </w:rPr>
              <w:t>六</w:t>
            </w:r>
            <w:r>
              <w:rPr>
                <w:color w:val="auto"/>
              </w:rPr>
              <w:t>个建设分区，</w:t>
            </w:r>
            <w:r>
              <w:rPr>
                <w:rFonts w:hint="eastAsia"/>
                <w:color w:val="auto"/>
                <w:lang w:eastAsia="zh-CN"/>
              </w:rPr>
              <w:t>项目总占地</w:t>
            </w:r>
            <w:r>
              <w:rPr>
                <w:color w:val="auto"/>
              </w:rPr>
              <w:t>面积共计</w:t>
            </w:r>
            <w:r>
              <w:rPr>
                <w:rFonts w:hint="eastAsia"/>
                <w:color w:val="auto"/>
                <w:lang w:val="en-US" w:eastAsia="zh-CN"/>
              </w:rPr>
              <w:t>17.6795</w:t>
            </w:r>
            <w:r>
              <w:rPr>
                <w:rFonts w:hint="eastAsia"/>
                <w:color w:val="auto"/>
              </w:rPr>
              <w:t>h</w:t>
            </w:r>
            <w:r>
              <w:rPr>
                <w:color w:val="auto"/>
              </w:rPr>
              <w:t>m</w:t>
            </w:r>
            <w:r>
              <w:rPr>
                <w:color w:val="auto"/>
                <w:vertAlign w:val="superscript"/>
              </w:rPr>
              <w:t>2</w:t>
            </w:r>
            <w:r>
              <w:rPr>
                <w:rFonts w:hint="eastAsia"/>
                <w:color w:val="auto"/>
                <w:lang w:eastAsia="zh-CN"/>
              </w:rPr>
              <w:t>。</w:t>
            </w:r>
            <w:r>
              <w:rPr>
                <w:rFonts w:hint="eastAsia"/>
                <w:color w:val="auto"/>
                <w:lang w:val="en-US" w:eastAsia="zh-CN"/>
              </w:rPr>
              <w:t>各部分面积见下表。</w:t>
            </w:r>
          </w:p>
          <w:p>
            <w:pPr>
              <w:pStyle w:val="18"/>
              <w:bidi w:val="0"/>
              <w:rPr>
                <w:rFonts w:hint="eastAsia"/>
                <w:color w:val="auto"/>
                <w:lang w:val="en-US" w:eastAsia="zh-CN"/>
              </w:rPr>
            </w:pPr>
            <w:r>
              <w:rPr>
                <w:rFonts w:hint="eastAsia"/>
                <w:color w:val="auto"/>
                <w:lang w:val="en-US" w:eastAsia="zh-CN"/>
              </w:rPr>
              <w:t>表7 项目建设分区面积表</w:t>
            </w:r>
          </w:p>
          <w:tbl>
            <w:tblPr>
              <w:tblStyle w:val="16"/>
              <w:tblW w:w="86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67"/>
              <w:gridCol w:w="3705"/>
              <w:gridCol w:w="24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7" w:type="dxa"/>
                  <w:vAlign w:val="center"/>
                </w:tcPr>
                <w:p>
                  <w:pPr>
                    <w:pStyle w:val="19"/>
                    <w:bidi w:val="0"/>
                    <w:rPr>
                      <w:rFonts w:hint="default"/>
                      <w:color w:val="auto"/>
                      <w:lang w:val="en-US" w:eastAsia="zh-CN"/>
                    </w:rPr>
                  </w:pPr>
                  <w:r>
                    <w:rPr>
                      <w:rFonts w:hint="eastAsia"/>
                      <w:color w:val="auto"/>
                      <w:lang w:val="en-US" w:eastAsia="zh-CN"/>
                    </w:rPr>
                    <w:t>项目建设分</w:t>
                  </w:r>
                  <w:r>
                    <w:rPr>
                      <w:color w:val="auto"/>
                    </w:rPr>
                    <w:t>区</w:t>
                  </w:r>
                </w:p>
              </w:tc>
              <w:tc>
                <w:tcPr>
                  <w:tcW w:w="3705" w:type="dxa"/>
                  <w:vAlign w:val="center"/>
                </w:tcPr>
                <w:p>
                  <w:pPr>
                    <w:pStyle w:val="19"/>
                    <w:bidi w:val="0"/>
                    <w:rPr>
                      <w:rFonts w:hint="default"/>
                      <w:color w:val="auto"/>
                      <w:lang w:val="en-US" w:eastAsia="zh-CN"/>
                    </w:rPr>
                  </w:pPr>
                  <w:r>
                    <w:rPr>
                      <w:color w:val="auto"/>
                    </w:rPr>
                    <w:t>建设区面积（hm</w:t>
                  </w:r>
                  <w:r>
                    <w:rPr>
                      <w:color w:val="auto"/>
                      <w:vertAlign w:val="superscript"/>
                    </w:rPr>
                    <w:t>2</w:t>
                  </w:r>
                  <w:r>
                    <w:rPr>
                      <w:color w:val="auto"/>
                    </w:rPr>
                    <w:t>）</w:t>
                  </w:r>
                </w:p>
              </w:tc>
              <w:tc>
                <w:tcPr>
                  <w:tcW w:w="2475" w:type="dxa"/>
                  <w:vAlign w:val="center"/>
                </w:tcPr>
                <w:p>
                  <w:pPr>
                    <w:pStyle w:val="19"/>
                    <w:bidi w:val="0"/>
                    <w:rPr>
                      <w:rFonts w:hint="default"/>
                      <w:color w:val="auto"/>
                      <w:lang w:val="en-US" w:eastAsia="zh-CN"/>
                    </w:rPr>
                  </w:pPr>
                  <w:r>
                    <w:rPr>
                      <w:rFonts w:hint="eastAsia"/>
                      <w:color w:val="auto"/>
                      <w:lang w:val="en-US" w:eastAsia="zh-CN"/>
                    </w:rPr>
                    <w:t>占地情况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7" w:type="dxa"/>
                  <w:vAlign w:val="center"/>
                </w:tcPr>
                <w:p>
                  <w:pPr>
                    <w:pStyle w:val="19"/>
                    <w:bidi w:val="0"/>
                    <w:rPr>
                      <w:rFonts w:hint="default"/>
                      <w:color w:val="auto"/>
                      <w:lang w:val="en-US" w:eastAsia="zh-CN"/>
                    </w:rPr>
                  </w:pPr>
                  <w:r>
                    <w:rPr>
                      <w:color w:val="auto"/>
                    </w:rPr>
                    <w:t>建构筑物区</w:t>
                  </w:r>
                </w:p>
              </w:tc>
              <w:tc>
                <w:tcPr>
                  <w:tcW w:w="3705" w:type="dxa"/>
                  <w:vAlign w:val="bottom"/>
                </w:tcPr>
                <w:p>
                  <w:pPr>
                    <w:pStyle w:val="19"/>
                    <w:bidi w:val="0"/>
                    <w:rPr>
                      <w:rFonts w:hint="default"/>
                      <w:color w:val="auto"/>
                      <w:lang w:val="en-US" w:eastAsia="zh-CN"/>
                    </w:rPr>
                  </w:pPr>
                  <w:r>
                    <w:rPr>
                      <w:rFonts w:hint="eastAsia"/>
                      <w:color w:val="auto"/>
                      <w:lang w:val="en-US" w:eastAsia="zh-CN"/>
                    </w:rPr>
                    <w:t>1.7138</w:t>
                  </w:r>
                </w:p>
              </w:tc>
              <w:tc>
                <w:tcPr>
                  <w:tcW w:w="2475" w:type="dxa"/>
                  <w:vAlign w:val="center"/>
                </w:tcPr>
                <w:p>
                  <w:pPr>
                    <w:pStyle w:val="19"/>
                    <w:bidi w:val="0"/>
                    <w:rPr>
                      <w:rFonts w:hint="default"/>
                      <w:color w:val="auto"/>
                      <w:lang w:val="en-US" w:eastAsia="zh-CN"/>
                    </w:rPr>
                  </w:pPr>
                  <w:r>
                    <w:rPr>
                      <w:rFonts w:hint="eastAsia"/>
                      <w:color w:val="auto"/>
                      <w:lang w:eastAsia="zh-CN"/>
                    </w:rPr>
                    <w:t>永久占地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7" w:type="dxa"/>
                  <w:vAlign w:val="center"/>
                </w:tcPr>
                <w:p>
                  <w:pPr>
                    <w:pStyle w:val="19"/>
                    <w:bidi w:val="0"/>
                    <w:rPr>
                      <w:rFonts w:hint="default"/>
                      <w:color w:val="auto"/>
                      <w:lang w:val="en-US" w:eastAsia="zh-CN"/>
                    </w:rPr>
                  </w:pPr>
                  <w:r>
                    <w:rPr>
                      <w:color w:val="auto"/>
                    </w:rPr>
                    <w:t>道路广场区</w:t>
                  </w:r>
                </w:p>
              </w:tc>
              <w:tc>
                <w:tcPr>
                  <w:tcW w:w="3705" w:type="dxa"/>
                  <w:vAlign w:val="bottom"/>
                </w:tcPr>
                <w:p>
                  <w:pPr>
                    <w:pStyle w:val="19"/>
                    <w:bidi w:val="0"/>
                    <w:rPr>
                      <w:rFonts w:hint="default"/>
                      <w:color w:val="auto"/>
                      <w:lang w:val="en-US" w:eastAsia="zh-CN"/>
                    </w:rPr>
                  </w:pPr>
                  <w:r>
                    <w:rPr>
                      <w:rFonts w:hint="eastAsia"/>
                      <w:color w:val="auto"/>
                      <w:lang w:val="en-US" w:eastAsia="zh-CN"/>
                    </w:rPr>
                    <w:t>4.639</w:t>
                  </w:r>
                </w:p>
              </w:tc>
              <w:tc>
                <w:tcPr>
                  <w:tcW w:w="2475" w:type="dxa"/>
                  <w:vAlign w:val="center"/>
                </w:tcPr>
                <w:p>
                  <w:pPr>
                    <w:pStyle w:val="19"/>
                    <w:bidi w:val="0"/>
                    <w:rPr>
                      <w:rFonts w:hint="default"/>
                      <w:color w:val="auto"/>
                      <w:lang w:val="en-US" w:eastAsia="zh-CN"/>
                    </w:rPr>
                  </w:pPr>
                  <w:r>
                    <w:rPr>
                      <w:rFonts w:hint="eastAsia"/>
                      <w:color w:val="auto"/>
                      <w:lang w:eastAsia="zh-CN"/>
                    </w:rPr>
                    <w:t>永久占地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7" w:type="dxa"/>
                  <w:vAlign w:val="center"/>
                </w:tcPr>
                <w:p>
                  <w:pPr>
                    <w:pStyle w:val="19"/>
                    <w:bidi w:val="0"/>
                    <w:rPr>
                      <w:rFonts w:hint="default"/>
                      <w:color w:val="auto"/>
                      <w:lang w:val="en-US" w:eastAsia="zh-CN"/>
                    </w:rPr>
                  </w:pPr>
                  <w:r>
                    <w:rPr>
                      <w:color w:val="auto"/>
                    </w:rPr>
                    <w:t>绿化区</w:t>
                  </w:r>
                </w:p>
              </w:tc>
              <w:tc>
                <w:tcPr>
                  <w:tcW w:w="3705" w:type="dxa"/>
                  <w:vAlign w:val="bottom"/>
                </w:tcPr>
                <w:p>
                  <w:pPr>
                    <w:pStyle w:val="19"/>
                    <w:bidi w:val="0"/>
                    <w:rPr>
                      <w:rFonts w:hint="default"/>
                      <w:color w:val="auto"/>
                      <w:lang w:val="en-US" w:eastAsia="zh-CN"/>
                    </w:rPr>
                  </w:pPr>
                  <w:r>
                    <w:rPr>
                      <w:rFonts w:hint="eastAsia"/>
                      <w:color w:val="auto"/>
                      <w:lang w:val="en-US" w:eastAsia="zh-CN"/>
                    </w:rPr>
                    <w:t>4.1976</w:t>
                  </w:r>
                </w:p>
              </w:tc>
              <w:tc>
                <w:tcPr>
                  <w:tcW w:w="2475" w:type="dxa"/>
                  <w:vAlign w:val="center"/>
                </w:tcPr>
                <w:p>
                  <w:pPr>
                    <w:pStyle w:val="19"/>
                    <w:bidi w:val="0"/>
                    <w:rPr>
                      <w:rFonts w:hint="default"/>
                      <w:color w:val="auto"/>
                      <w:lang w:val="en-US" w:eastAsia="zh-CN"/>
                    </w:rPr>
                  </w:pPr>
                  <w:r>
                    <w:rPr>
                      <w:rFonts w:hint="eastAsia"/>
                      <w:color w:val="auto"/>
                      <w:lang w:eastAsia="zh-CN"/>
                    </w:rPr>
                    <w:t>永久占地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7" w:type="dxa"/>
                  <w:vAlign w:val="center"/>
                </w:tcPr>
                <w:p>
                  <w:pPr>
                    <w:pStyle w:val="19"/>
                    <w:bidi w:val="0"/>
                    <w:rPr>
                      <w:rFonts w:hint="default"/>
                      <w:color w:val="auto"/>
                      <w:lang w:val="en-US" w:eastAsia="zh-CN"/>
                    </w:rPr>
                  </w:pPr>
                  <w:r>
                    <w:rPr>
                      <w:rFonts w:hint="eastAsia"/>
                      <w:color w:val="auto"/>
                      <w:lang w:eastAsia="zh-CN"/>
                    </w:rPr>
                    <w:t>水域区</w:t>
                  </w:r>
                </w:p>
              </w:tc>
              <w:tc>
                <w:tcPr>
                  <w:tcW w:w="3705" w:type="dxa"/>
                  <w:vAlign w:val="bottom"/>
                </w:tcPr>
                <w:p>
                  <w:pPr>
                    <w:pStyle w:val="19"/>
                    <w:bidi w:val="0"/>
                    <w:rPr>
                      <w:rFonts w:hint="default"/>
                      <w:color w:val="auto"/>
                      <w:lang w:val="en-US" w:eastAsia="zh-CN"/>
                    </w:rPr>
                  </w:pPr>
                  <w:r>
                    <w:rPr>
                      <w:rFonts w:hint="eastAsia"/>
                      <w:color w:val="auto"/>
                      <w:lang w:val="en-US" w:eastAsia="zh-CN"/>
                    </w:rPr>
                    <w:t>1.3164</w:t>
                  </w:r>
                </w:p>
              </w:tc>
              <w:tc>
                <w:tcPr>
                  <w:tcW w:w="2475" w:type="dxa"/>
                  <w:vAlign w:val="center"/>
                </w:tcPr>
                <w:p>
                  <w:pPr>
                    <w:pStyle w:val="19"/>
                    <w:bidi w:val="0"/>
                    <w:rPr>
                      <w:rFonts w:hint="default"/>
                      <w:color w:val="auto"/>
                      <w:lang w:val="en-US" w:eastAsia="zh-CN"/>
                    </w:rPr>
                  </w:pPr>
                  <w:r>
                    <w:rPr>
                      <w:rFonts w:hint="eastAsia"/>
                      <w:color w:val="auto"/>
                      <w:lang w:eastAsia="zh-CN"/>
                    </w:rPr>
                    <w:t>永久占地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7" w:type="dxa"/>
                  <w:vAlign w:val="center"/>
                </w:tcPr>
                <w:p>
                  <w:pPr>
                    <w:pStyle w:val="19"/>
                    <w:bidi w:val="0"/>
                    <w:rPr>
                      <w:rFonts w:hint="default"/>
                      <w:color w:val="auto"/>
                      <w:lang w:val="en-US" w:eastAsia="zh-CN"/>
                    </w:rPr>
                  </w:pPr>
                  <w:r>
                    <w:rPr>
                      <w:rFonts w:hint="eastAsia"/>
                      <w:color w:val="auto"/>
                      <w:lang w:eastAsia="zh-CN"/>
                    </w:rPr>
                    <w:t>拓展用地区</w:t>
                  </w:r>
                </w:p>
              </w:tc>
              <w:tc>
                <w:tcPr>
                  <w:tcW w:w="3705" w:type="dxa"/>
                  <w:vAlign w:val="bottom"/>
                </w:tcPr>
                <w:p>
                  <w:pPr>
                    <w:pStyle w:val="19"/>
                    <w:bidi w:val="0"/>
                    <w:rPr>
                      <w:rFonts w:hint="default"/>
                      <w:color w:val="auto"/>
                      <w:lang w:val="en-US" w:eastAsia="zh-CN"/>
                    </w:rPr>
                  </w:pPr>
                  <w:r>
                    <w:rPr>
                      <w:rFonts w:hint="eastAsia"/>
                      <w:color w:val="auto"/>
                      <w:lang w:val="en-US" w:eastAsia="zh-CN"/>
                    </w:rPr>
                    <w:t>2.8127</w:t>
                  </w:r>
                </w:p>
              </w:tc>
              <w:tc>
                <w:tcPr>
                  <w:tcW w:w="2475" w:type="dxa"/>
                  <w:vAlign w:val="center"/>
                </w:tcPr>
                <w:p>
                  <w:pPr>
                    <w:pStyle w:val="19"/>
                    <w:bidi w:val="0"/>
                    <w:rPr>
                      <w:rFonts w:hint="default"/>
                      <w:color w:val="auto"/>
                      <w:lang w:val="en-US" w:eastAsia="zh-CN"/>
                    </w:rPr>
                  </w:pPr>
                  <w:r>
                    <w:rPr>
                      <w:rFonts w:hint="eastAsia"/>
                      <w:color w:val="auto"/>
                      <w:lang w:eastAsia="zh-CN"/>
                    </w:rPr>
                    <w:t>永久占地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7" w:type="dxa"/>
                  <w:vAlign w:val="center"/>
                </w:tcPr>
                <w:p>
                  <w:pPr>
                    <w:pStyle w:val="19"/>
                    <w:bidi w:val="0"/>
                    <w:rPr>
                      <w:rFonts w:hint="eastAsia"/>
                      <w:color w:val="auto"/>
                      <w:lang w:eastAsia="zh-CN"/>
                    </w:rPr>
                  </w:pPr>
                  <w:r>
                    <w:rPr>
                      <w:rFonts w:hint="eastAsia"/>
                      <w:color w:val="auto"/>
                      <w:lang w:eastAsia="zh-CN"/>
                    </w:rPr>
                    <w:t>临时停车场区</w:t>
                  </w:r>
                </w:p>
              </w:tc>
              <w:tc>
                <w:tcPr>
                  <w:tcW w:w="3705" w:type="dxa"/>
                  <w:vAlign w:val="bottom"/>
                </w:tcPr>
                <w:p>
                  <w:pPr>
                    <w:pStyle w:val="19"/>
                    <w:bidi w:val="0"/>
                    <w:rPr>
                      <w:rFonts w:hint="eastAsia"/>
                      <w:color w:val="auto"/>
                      <w:lang w:val="en-US" w:eastAsia="zh-CN"/>
                    </w:rPr>
                  </w:pPr>
                  <w:r>
                    <w:rPr>
                      <w:rFonts w:hint="eastAsia"/>
                      <w:color w:val="auto"/>
                      <w:lang w:val="en-US" w:eastAsia="zh-CN"/>
                    </w:rPr>
                    <w:t>3</w:t>
                  </w:r>
                </w:p>
              </w:tc>
              <w:tc>
                <w:tcPr>
                  <w:tcW w:w="2475" w:type="dxa"/>
                  <w:vAlign w:val="center"/>
                </w:tcPr>
                <w:p>
                  <w:pPr>
                    <w:pStyle w:val="19"/>
                    <w:bidi w:val="0"/>
                    <w:rPr>
                      <w:rFonts w:hint="eastAsia"/>
                      <w:color w:val="auto"/>
                      <w:lang w:eastAsia="zh-CN"/>
                    </w:rPr>
                  </w:pPr>
                  <w:r>
                    <w:rPr>
                      <w:rFonts w:hint="eastAsia"/>
                      <w:color w:val="auto"/>
                      <w:lang w:eastAsia="zh-CN"/>
                    </w:rPr>
                    <w:t>临时占地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7" w:type="dxa"/>
                  <w:vAlign w:val="center"/>
                </w:tcPr>
                <w:p>
                  <w:pPr>
                    <w:pStyle w:val="19"/>
                    <w:bidi w:val="0"/>
                    <w:rPr>
                      <w:rFonts w:hint="eastAsia"/>
                      <w:color w:val="auto"/>
                      <w:lang w:eastAsia="zh-CN"/>
                    </w:rPr>
                  </w:pPr>
                  <w:r>
                    <w:rPr>
                      <w:color w:val="auto"/>
                    </w:rPr>
                    <w:t>合计</w:t>
                  </w:r>
                </w:p>
              </w:tc>
              <w:tc>
                <w:tcPr>
                  <w:tcW w:w="3705" w:type="dxa"/>
                  <w:vAlign w:val="bottom"/>
                </w:tcPr>
                <w:p>
                  <w:pPr>
                    <w:pStyle w:val="19"/>
                    <w:bidi w:val="0"/>
                    <w:rPr>
                      <w:rFonts w:hint="eastAsia"/>
                      <w:color w:val="auto"/>
                      <w:lang w:val="en-US" w:eastAsia="zh-CN"/>
                    </w:rPr>
                  </w:pPr>
                  <w:r>
                    <w:rPr>
                      <w:rFonts w:hint="eastAsia"/>
                      <w:color w:val="auto"/>
                      <w:lang w:val="en-US" w:eastAsia="zh-CN"/>
                    </w:rPr>
                    <w:t>17.6795</w:t>
                  </w:r>
                </w:p>
              </w:tc>
              <w:tc>
                <w:tcPr>
                  <w:tcW w:w="2475" w:type="dxa"/>
                  <w:vAlign w:val="center"/>
                </w:tcPr>
                <w:p>
                  <w:pPr>
                    <w:pStyle w:val="19"/>
                    <w:bidi w:val="0"/>
                    <w:rPr>
                      <w:rFonts w:hint="default"/>
                      <w:color w:val="auto"/>
                      <w:lang w:val="en-US" w:eastAsia="zh-CN"/>
                    </w:rPr>
                  </w:pPr>
                  <w:r>
                    <w:rPr>
                      <w:rFonts w:hint="eastAsia"/>
                      <w:color w:val="auto"/>
                      <w:lang w:val="en-US" w:eastAsia="zh-CN"/>
                    </w:rPr>
                    <w:t>/</w:t>
                  </w:r>
                </w:p>
              </w:tc>
            </w:tr>
          </w:tbl>
          <w:p>
            <w:pPr>
              <w:pStyle w:val="8"/>
              <w:bidi w:val="0"/>
              <w:rPr>
                <w:rFonts w:hint="eastAsia"/>
                <w:color w:val="auto"/>
                <w:lang w:val="en-US" w:eastAsia="zh-CN"/>
              </w:rPr>
            </w:pPr>
            <w:r>
              <w:rPr>
                <w:rFonts w:hint="eastAsia"/>
                <w:color w:val="auto"/>
                <w:lang w:val="en-US" w:eastAsia="zh-CN"/>
              </w:rPr>
              <w:t>6、公用工程</w:t>
            </w:r>
          </w:p>
          <w:p>
            <w:pPr>
              <w:bidi w:val="0"/>
              <w:rPr>
                <w:rFonts w:hint="default"/>
                <w:lang w:val="en-US" w:eastAsia="zh-CN"/>
              </w:rPr>
            </w:pPr>
            <w:r>
              <w:rPr>
                <w:rFonts w:hint="eastAsia"/>
                <w:lang w:val="en-US" w:eastAsia="zh-CN"/>
              </w:rPr>
              <w:t>（1）消防系统</w:t>
            </w:r>
          </w:p>
          <w:p>
            <w:pPr>
              <w:bidi w:val="0"/>
              <w:rPr>
                <w:rFonts w:hint="default"/>
              </w:rPr>
            </w:pPr>
            <w:r>
              <w:rPr>
                <w:rFonts w:hint="eastAsia"/>
                <w:lang w:val="en-US" w:eastAsia="zh-CN"/>
              </w:rPr>
              <w:t>①</w:t>
            </w:r>
            <w:r>
              <w:rPr>
                <w:rFonts w:hint="default"/>
              </w:rPr>
              <w:t>本工程项目内设置火灾自动报警及消防联动控制系统，采用控制中心报警系统，设置一间消防安防监控中心，并通过光缆将信号送至乐园总控中心机房。</w:t>
            </w:r>
          </w:p>
          <w:p>
            <w:pPr>
              <w:bidi w:val="0"/>
              <w:rPr>
                <w:rFonts w:hint="default"/>
              </w:rPr>
            </w:pPr>
            <w:r>
              <w:rPr>
                <w:rFonts w:hint="eastAsia"/>
                <w:lang w:val="en-US" w:eastAsia="zh-CN"/>
              </w:rPr>
              <w:t>②</w:t>
            </w:r>
            <w:r>
              <w:rPr>
                <w:rFonts w:hint="default"/>
              </w:rPr>
              <w:t>火灾报警系统由感烟探测器、空气采样探测器（超过12m高大空间）、手动报警按钮、声光报警器、水流指示器和水流闸阀组成。水流指示器及水流闸阀动作信号均送至火灾报警系统。手动报警按钮均带消防电话插孔，主配电间等均设火警专用电话。</w:t>
            </w:r>
          </w:p>
          <w:p>
            <w:pPr>
              <w:bidi w:val="0"/>
              <w:rPr>
                <w:rFonts w:hint="default"/>
              </w:rPr>
            </w:pPr>
            <w:r>
              <w:rPr>
                <w:rFonts w:hint="eastAsia"/>
                <w:lang w:val="en-US" w:eastAsia="zh-CN"/>
              </w:rPr>
              <w:t>③</w:t>
            </w:r>
            <w:r>
              <w:rPr>
                <w:rFonts w:hint="default"/>
              </w:rPr>
              <w:t>建筑内的消防联动控制对象应包括：自动喷水灭火系统；消火栓系统；防烟排烟系统；防火门及防火卷帘系统；电梯；火灾警报和消防应急广播系统；消防应急照明和疏散指示系统；非消防电源强切等。</w:t>
            </w:r>
          </w:p>
          <w:p>
            <w:pPr>
              <w:bidi w:val="0"/>
              <w:rPr>
                <w:rFonts w:hint="default"/>
              </w:rPr>
            </w:pPr>
            <w:r>
              <w:rPr>
                <w:rFonts w:hint="eastAsia"/>
                <w:lang w:val="en-US" w:eastAsia="zh-CN"/>
              </w:rPr>
              <w:t>④</w:t>
            </w:r>
            <w:r>
              <w:rPr>
                <w:rFonts w:hint="default"/>
              </w:rPr>
              <w:t>电气火灾监控系统应由下列设备组成：电气火灾监控器；剩余电流式电气火灾探测器；测温式电气火灾探测器。</w:t>
            </w:r>
          </w:p>
          <w:p>
            <w:pPr>
              <w:bidi w:val="0"/>
              <w:rPr>
                <w:rFonts w:hint="default"/>
                <w:lang w:val="en-US" w:eastAsia="zh-CN"/>
              </w:rPr>
            </w:pPr>
            <w:r>
              <w:rPr>
                <w:rFonts w:hint="eastAsia"/>
                <w:lang w:val="en-US" w:eastAsia="zh-CN"/>
              </w:rPr>
              <w:t>⑤</w:t>
            </w:r>
            <w:r>
              <w:rPr>
                <w:rFonts w:hint="default"/>
                <w:lang w:val="en-US" w:eastAsia="zh-CN"/>
              </w:rPr>
              <w:t>消防设备电源监控系统用于监控消防设备电源工作状态，在电源发生过压、欠压、过流、缺相等故障时能发出报警信号的监控系统，由消防设备电源状态监控器、电压传感器、电流传感器、电压/电流传感器等部分或全部设备组成。</w:t>
            </w:r>
          </w:p>
          <w:p>
            <w:pPr>
              <w:bidi w:val="0"/>
              <w:rPr>
                <w:rFonts w:hint="default"/>
                <w:lang w:val="en-US" w:eastAsia="zh-CN"/>
              </w:rPr>
            </w:pPr>
            <w:r>
              <w:rPr>
                <w:rFonts w:hint="eastAsia"/>
                <w:lang w:val="en-US" w:eastAsia="zh-CN"/>
              </w:rPr>
              <w:t>⑥</w:t>
            </w:r>
            <w:r>
              <w:rPr>
                <w:rFonts w:hint="default"/>
                <w:lang w:val="en-US" w:eastAsia="zh-CN"/>
              </w:rPr>
              <w:t>防火门监控系统主要用于监视疏散通道上的防火门的状态。</w:t>
            </w:r>
          </w:p>
          <w:p>
            <w:pPr>
              <w:bidi w:val="0"/>
              <w:rPr>
                <w:rFonts w:hint="default"/>
                <w:lang w:val="en-US" w:eastAsia="zh-CN"/>
              </w:rPr>
            </w:pPr>
            <w:r>
              <w:rPr>
                <w:rFonts w:hint="eastAsia"/>
                <w:lang w:val="en-US" w:eastAsia="zh-CN"/>
              </w:rPr>
              <w:t>⑦</w:t>
            </w:r>
            <w:r>
              <w:rPr>
                <w:rFonts w:hint="default"/>
                <w:lang w:val="en-US" w:eastAsia="zh-CN"/>
              </w:rPr>
              <w:t>火灾自动报警系统设置交流电源和蓄电池备用电源。交流电源应采用消防电源，备用电源采用消防设备应急电源。火灾报警控制器和消防联动控制器应采用单独的供电回路，并保证在系统处于最大负载状态下不影响火灾报警控制器和消防联动控制器的正常工作。</w:t>
            </w:r>
          </w:p>
          <w:p>
            <w:pPr>
              <w:bidi w:val="0"/>
              <w:rPr>
                <w:rFonts w:hint="default"/>
              </w:rPr>
            </w:pPr>
            <w:r>
              <w:rPr>
                <w:rFonts w:hint="eastAsia"/>
                <w:lang w:eastAsia="zh-CN"/>
              </w:rPr>
              <w:t>（</w:t>
            </w:r>
            <w:r>
              <w:rPr>
                <w:rFonts w:hint="eastAsia"/>
                <w:lang w:val="en-US" w:eastAsia="zh-CN"/>
              </w:rPr>
              <w:t>2</w:t>
            </w:r>
            <w:r>
              <w:rPr>
                <w:rFonts w:hint="eastAsia"/>
                <w:lang w:eastAsia="zh-CN"/>
              </w:rPr>
              <w:t>）</w:t>
            </w:r>
            <w:r>
              <w:rPr>
                <w:rFonts w:hint="default"/>
              </w:rPr>
              <w:t>空调系统</w:t>
            </w:r>
          </w:p>
          <w:p>
            <w:pPr>
              <w:bidi w:val="0"/>
              <w:rPr>
                <w:rFonts w:hint="default"/>
              </w:rPr>
            </w:pPr>
            <w:r>
              <w:rPr>
                <w:rFonts w:hint="default"/>
              </w:rPr>
              <w:t>采用各单体建筑独立的直膨式空调机组或多联机空调系统。</w:t>
            </w:r>
          </w:p>
          <w:p>
            <w:pPr>
              <w:bidi w:val="0"/>
              <w:rPr>
                <w:rFonts w:hint="default"/>
              </w:rPr>
            </w:pPr>
            <w:r>
              <w:rPr>
                <w:rFonts w:hint="eastAsia"/>
                <w:lang w:eastAsia="zh-CN"/>
              </w:rPr>
              <w:t>（</w:t>
            </w:r>
            <w:r>
              <w:rPr>
                <w:rFonts w:hint="eastAsia"/>
                <w:lang w:val="en-US" w:eastAsia="zh-CN"/>
              </w:rPr>
              <w:t>3</w:t>
            </w:r>
            <w:r>
              <w:rPr>
                <w:rFonts w:hint="eastAsia"/>
                <w:lang w:eastAsia="zh-CN"/>
              </w:rPr>
              <w:t>）</w:t>
            </w:r>
            <w:r>
              <w:rPr>
                <w:rFonts w:hint="default"/>
              </w:rPr>
              <w:t>供电系统</w:t>
            </w:r>
          </w:p>
          <w:p>
            <w:pPr>
              <w:bidi w:val="0"/>
              <w:rPr>
                <w:rFonts w:hint="default"/>
              </w:rPr>
            </w:pPr>
            <w:r>
              <w:rPr>
                <w:rFonts w:hint="default"/>
              </w:rPr>
              <w:t>项目用电由市政电网供给，本项目拟设备用发电机等燃油设备。</w:t>
            </w:r>
          </w:p>
          <w:p>
            <w:pPr>
              <w:bidi w:val="0"/>
              <w:rPr>
                <w:lang w:val="en-US" w:eastAsia="zh-CN"/>
              </w:rPr>
            </w:pPr>
            <w:r>
              <w:rPr>
                <w:rFonts w:hint="eastAsia"/>
                <w:lang w:val="en-US" w:eastAsia="zh-CN"/>
              </w:rPr>
              <w:t>（4）</w:t>
            </w:r>
            <w:r>
              <w:rPr>
                <w:lang w:val="en-US" w:eastAsia="zh-CN"/>
              </w:rPr>
              <w:t>供水系统</w:t>
            </w:r>
          </w:p>
          <w:p>
            <w:pPr>
              <w:bidi w:val="0"/>
              <w:rPr>
                <w:rFonts w:hint="default"/>
                <w:lang w:val="en-US" w:eastAsia="zh-CN"/>
              </w:rPr>
            </w:pPr>
            <w:r>
              <w:rPr>
                <w:lang w:val="en-US" w:eastAsia="zh-CN"/>
              </w:rPr>
              <w:t>本</w:t>
            </w:r>
            <w:r>
              <w:rPr>
                <w:rFonts w:hint="eastAsia"/>
                <w:lang w:val="en-US" w:eastAsia="zh-CN"/>
              </w:rPr>
              <w:t>项目用水</w:t>
            </w:r>
            <w:r>
              <w:rPr>
                <w:lang w:val="en-US" w:eastAsia="zh-CN"/>
              </w:rPr>
              <w:t>采用市政直供</w:t>
            </w:r>
            <w:r>
              <w:rPr>
                <w:rFonts w:hint="eastAsia"/>
                <w:lang w:val="en-US" w:eastAsia="zh-CN"/>
              </w:rPr>
              <w:t>。</w:t>
            </w:r>
          </w:p>
          <w:p>
            <w:pPr>
              <w:bidi w:val="0"/>
              <w:rPr>
                <w:rFonts w:hint="default"/>
              </w:rPr>
            </w:pPr>
            <w:r>
              <w:rPr>
                <w:rFonts w:hint="eastAsia"/>
                <w:lang w:eastAsia="zh-CN"/>
              </w:rPr>
              <w:t>（</w:t>
            </w:r>
            <w:r>
              <w:rPr>
                <w:rFonts w:hint="eastAsia"/>
                <w:lang w:val="en-US" w:eastAsia="zh-CN"/>
              </w:rPr>
              <w:t>5</w:t>
            </w:r>
            <w:r>
              <w:rPr>
                <w:rFonts w:hint="eastAsia"/>
                <w:lang w:eastAsia="zh-CN"/>
              </w:rPr>
              <w:t>）</w:t>
            </w:r>
            <w:r>
              <w:rPr>
                <w:rFonts w:hint="default"/>
              </w:rPr>
              <w:t>排水系统</w:t>
            </w:r>
          </w:p>
          <w:p>
            <w:pPr>
              <w:bidi w:val="0"/>
              <w:rPr>
                <w:rFonts w:hint="eastAsia"/>
                <w:color w:val="auto"/>
                <w:lang w:eastAsia="zh-CN"/>
              </w:rPr>
            </w:pPr>
            <w:r>
              <w:rPr>
                <w:rFonts w:hint="eastAsia"/>
                <w:color w:val="auto"/>
                <w:lang w:val="en-US" w:eastAsia="zh-CN"/>
              </w:rPr>
              <w:t>本项目实行雨污分流、污污分流制度。雨水经市政雨水管道进入市政管网。本项目产生的废水主要为员工</w:t>
            </w:r>
            <w:r>
              <w:rPr>
                <w:rFonts w:hint="default"/>
                <w:color w:val="auto"/>
              </w:rPr>
              <w:t>生活</w:t>
            </w:r>
            <w:r>
              <w:rPr>
                <w:rFonts w:hint="eastAsia"/>
                <w:color w:val="auto"/>
                <w:lang w:val="en-US" w:eastAsia="zh-CN"/>
              </w:rPr>
              <w:t>污</w:t>
            </w:r>
            <w:r>
              <w:rPr>
                <w:rFonts w:hint="default"/>
                <w:color w:val="auto"/>
              </w:rPr>
              <w:t>水、游客淋浴废水、公厕废水、</w:t>
            </w:r>
            <w:r>
              <w:rPr>
                <w:rFonts w:hint="eastAsia"/>
                <w:color w:val="auto"/>
                <w:lang w:val="en-US" w:eastAsia="zh-CN"/>
              </w:rPr>
              <w:t>员工食堂废水、主题餐厅废水、水池娱乐废水</w:t>
            </w:r>
            <w:r>
              <w:rPr>
                <w:rFonts w:hint="eastAsia"/>
                <w:color w:val="auto"/>
                <w:lang w:eastAsia="zh-CN"/>
              </w:rPr>
              <w:t>。</w:t>
            </w:r>
            <w:r>
              <w:rPr>
                <w:rFonts w:hint="eastAsia"/>
                <w:color w:val="auto"/>
                <w:lang w:val="en-US" w:eastAsia="zh-CN"/>
              </w:rPr>
              <w:t>本项目产生的综合</w:t>
            </w:r>
            <w:r>
              <w:rPr>
                <w:rFonts w:hint="default"/>
                <w:color w:val="auto"/>
              </w:rPr>
              <w:t>废水量约</w:t>
            </w:r>
            <w:r>
              <w:rPr>
                <w:rFonts w:hint="eastAsia"/>
                <w:color w:val="auto"/>
                <w:lang w:val="en-US" w:eastAsia="zh-CN"/>
              </w:rPr>
              <w:t>为94624.08m</w:t>
            </w:r>
            <w:r>
              <w:rPr>
                <w:rFonts w:hint="eastAsia"/>
                <w:color w:val="auto"/>
                <w:vertAlign w:val="superscript"/>
                <w:lang w:val="en-US" w:eastAsia="zh-CN"/>
              </w:rPr>
              <w:t>3</w:t>
            </w:r>
            <w:r>
              <w:rPr>
                <w:rFonts w:hint="eastAsia"/>
                <w:color w:val="auto"/>
                <w:lang w:val="en-US" w:eastAsia="zh-CN"/>
              </w:rPr>
              <w:t>/a，即1182.801m</w:t>
            </w:r>
            <w:r>
              <w:rPr>
                <w:rFonts w:hint="eastAsia"/>
                <w:color w:val="auto"/>
                <w:vertAlign w:val="superscript"/>
                <w:lang w:val="en-US" w:eastAsia="zh-CN"/>
              </w:rPr>
              <w:t>3</w:t>
            </w:r>
            <w:r>
              <w:rPr>
                <w:rFonts w:hint="eastAsia"/>
                <w:color w:val="auto"/>
                <w:lang w:val="en-US" w:eastAsia="zh-CN"/>
              </w:rPr>
              <w:t>/d</w:t>
            </w:r>
            <w:r>
              <w:rPr>
                <w:rFonts w:hint="default"/>
                <w:color w:val="auto"/>
              </w:rPr>
              <w:t>。</w:t>
            </w:r>
          </w:p>
          <w:p>
            <w:pPr>
              <w:bidi w:val="0"/>
              <w:rPr>
                <w:rFonts w:hint="default"/>
                <w:color w:val="auto"/>
                <w:lang w:val="en-US" w:eastAsia="zh-CN"/>
              </w:rPr>
            </w:pPr>
            <w:r>
              <w:rPr>
                <w:rFonts w:hint="eastAsia"/>
                <w:color w:val="auto"/>
                <w:lang w:val="en-US" w:eastAsia="zh-CN"/>
              </w:rPr>
              <w:t>员工食堂废水、主题餐厅废水经隔油沉淀后，与员工生活污水</w:t>
            </w:r>
            <w:r>
              <w:rPr>
                <w:rFonts w:hint="default"/>
                <w:color w:val="auto"/>
              </w:rPr>
              <w:t>、游客淋浴废水、公厕废水</w:t>
            </w:r>
            <w:r>
              <w:rPr>
                <w:rFonts w:hint="eastAsia"/>
                <w:color w:val="auto"/>
                <w:lang w:val="en-US" w:eastAsia="zh-CN"/>
              </w:rPr>
              <w:t>一起进入化粪池，经</w:t>
            </w:r>
            <w:r>
              <w:rPr>
                <w:rFonts w:hint="default"/>
                <w:color w:val="auto"/>
              </w:rPr>
              <w:t>化粪池处理达标后</w:t>
            </w:r>
            <w:r>
              <w:rPr>
                <w:rFonts w:hint="eastAsia"/>
                <w:color w:val="auto"/>
                <w:lang w:eastAsia="zh-CN"/>
              </w:rPr>
              <w:t>，</w:t>
            </w:r>
            <w:r>
              <w:rPr>
                <w:rFonts w:hint="eastAsia"/>
                <w:color w:val="auto"/>
                <w:lang w:val="en-US" w:eastAsia="zh-CN"/>
              </w:rPr>
              <w:t>通过</w:t>
            </w:r>
            <w:r>
              <w:rPr>
                <w:rFonts w:hint="default"/>
                <w:color w:val="auto"/>
              </w:rPr>
              <w:t>市政污水管网</w:t>
            </w:r>
            <w:r>
              <w:rPr>
                <w:rFonts w:hint="eastAsia"/>
                <w:color w:val="auto"/>
                <w:lang w:val="en-US" w:eastAsia="zh-CN"/>
              </w:rPr>
              <w:t>排入</w:t>
            </w:r>
            <w:r>
              <w:rPr>
                <w:rFonts w:hint="eastAsia"/>
                <w:color w:val="auto"/>
                <w:lang w:eastAsia="zh-CN"/>
              </w:rPr>
              <w:t>松木</w:t>
            </w:r>
            <w:r>
              <w:rPr>
                <w:rFonts w:hint="eastAsia"/>
                <w:color w:val="auto"/>
                <w:lang w:val="en-US" w:eastAsia="zh-CN"/>
              </w:rPr>
              <w:t>生活</w:t>
            </w:r>
            <w:r>
              <w:rPr>
                <w:rFonts w:hint="eastAsia"/>
                <w:color w:val="auto"/>
                <w:lang w:eastAsia="zh-CN"/>
              </w:rPr>
              <w:t>污水处理厂，</w:t>
            </w:r>
            <w:r>
              <w:rPr>
                <w:rFonts w:hint="eastAsia"/>
                <w:color w:val="auto"/>
                <w:lang w:val="en-US" w:eastAsia="zh-CN"/>
              </w:rPr>
              <w:t>最终排入湘江</w:t>
            </w:r>
            <w:r>
              <w:rPr>
                <w:rFonts w:hint="default"/>
                <w:color w:val="auto"/>
              </w:rPr>
              <w:t>。</w:t>
            </w:r>
            <w:r>
              <w:rPr>
                <w:rFonts w:hint="eastAsia"/>
                <w:color w:val="auto"/>
                <w:lang w:val="en-US" w:eastAsia="zh-CN"/>
              </w:rPr>
              <w:t>水池娱乐用水经业内最先进的珍珠岩过滤系统过滤后循环使用，为保障水质稳定，闭园时水池娱乐用水全部排空，水池娱乐排空的废水</w:t>
            </w:r>
            <w:r>
              <w:rPr>
                <w:rFonts w:hint="eastAsia"/>
                <w:color w:val="auto"/>
                <w:u w:val="none"/>
                <w:lang w:val="en-US" w:eastAsia="zh-CN"/>
              </w:rPr>
              <w:t>与其他废水一起进入化粪池处理，</w:t>
            </w:r>
            <w:r>
              <w:rPr>
                <w:rFonts w:hint="eastAsia"/>
                <w:color w:val="auto"/>
                <w:lang w:val="en-US" w:eastAsia="zh-CN"/>
              </w:rPr>
              <w:t>经</w:t>
            </w:r>
            <w:r>
              <w:rPr>
                <w:rFonts w:hint="default"/>
                <w:color w:val="auto"/>
              </w:rPr>
              <w:t>化粪池处理达标后</w:t>
            </w:r>
            <w:r>
              <w:rPr>
                <w:rFonts w:hint="eastAsia"/>
                <w:color w:val="auto"/>
                <w:lang w:eastAsia="zh-CN"/>
              </w:rPr>
              <w:t>，</w:t>
            </w:r>
            <w:r>
              <w:rPr>
                <w:rFonts w:hint="eastAsia"/>
                <w:color w:val="auto"/>
                <w:lang w:val="en-US" w:eastAsia="zh-CN"/>
              </w:rPr>
              <w:t>通过</w:t>
            </w:r>
            <w:r>
              <w:rPr>
                <w:rFonts w:hint="default"/>
                <w:color w:val="auto"/>
              </w:rPr>
              <w:t>市政污水管网</w:t>
            </w:r>
            <w:r>
              <w:rPr>
                <w:rFonts w:hint="eastAsia"/>
                <w:color w:val="auto"/>
                <w:lang w:val="en-US" w:eastAsia="zh-CN"/>
              </w:rPr>
              <w:t>排入</w:t>
            </w:r>
            <w:r>
              <w:rPr>
                <w:rFonts w:hint="eastAsia"/>
                <w:color w:val="auto"/>
                <w:lang w:eastAsia="zh-CN"/>
              </w:rPr>
              <w:t>松木</w:t>
            </w:r>
            <w:r>
              <w:rPr>
                <w:rFonts w:hint="eastAsia"/>
                <w:color w:val="auto"/>
                <w:lang w:val="en-US" w:eastAsia="zh-CN"/>
              </w:rPr>
              <w:t>生活</w:t>
            </w:r>
            <w:r>
              <w:rPr>
                <w:rFonts w:hint="eastAsia"/>
                <w:color w:val="auto"/>
                <w:lang w:eastAsia="zh-CN"/>
              </w:rPr>
              <w:t>污水处理厂，</w:t>
            </w:r>
            <w:r>
              <w:rPr>
                <w:rFonts w:hint="eastAsia"/>
                <w:color w:val="auto"/>
                <w:lang w:val="en-US" w:eastAsia="zh-CN"/>
              </w:rPr>
              <w:t>最终排入湘江</w:t>
            </w:r>
            <w:r>
              <w:rPr>
                <w:rFonts w:hint="default"/>
                <w:color w:val="auto"/>
              </w:rPr>
              <w:t>。</w:t>
            </w:r>
          </w:p>
          <w:p>
            <w:pPr>
              <w:pStyle w:val="8"/>
              <w:numPr>
                <w:ilvl w:val="0"/>
                <w:numId w:val="4"/>
              </w:numPr>
              <w:bidi w:val="0"/>
              <w:rPr>
                <w:rFonts w:hint="default"/>
                <w:color w:val="auto"/>
                <w:lang w:val="en-US" w:eastAsia="zh-CN"/>
              </w:rPr>
            </w:pPr>
            <w:r>
              <w:rPr>
                <w:rFonts w:hint="eastAsia"/>
                <w:color w:val="auto"/>
                <w:lang w:val="en-US" w:eastAsia="zh-CN"/>
              </w:rPr>
              <w:t>水平衡分析</w:t>
            </w:r>
          </w:p>
          <w:p>
            <w:pPr>
              <w:bidi w:val="0"/>
              <w:rPr>
                <w:rFonts w:hint="default"/>
                <w:color w:val="auto"/>
                <w:lang w:val="en-US" w:eastAsia="zh-CN"/>
              </w:rPr>
            </w:pPr>
            <w:r>
              <w:rPr>
                <w:rFonts w:hint="default"/>
                <w:color w:val="auto"/>
                <w:lang w:val="en-US" w:eastAsia="zh-CN"/>
              </w:rPr>
              <w:t>本项目运营期用水主要包括：</w:t>
            </w:r>
            <w:r>
              <w:rPr>
                <w:rFonts w:hint="eastAsia"/>
                <w:color w:val="auto"/>
                <w:lang w:val="en-US" w:eastAsia="zh-CN"/>
              </w:rPr>
              <w:t>员工生活用水、游客淋浴用水、公厕用水、主题餐厅用水、员工食堂用水、水池娱乐用水</w:t>
            </w:r>
            <w:r>
              <w:rPr>
                <w:rFonts w:hint="default"/>
                <w:color w:val="auto"/>
                <w:lang w:val="en-US" w:eastAsia="zh-CN"/>
              </w:rPr>
              <w:t>。经估算新鲜水用量为</w:t>
            </w:r>
            <w:r>
              <w:rPr>
                <w:rFonts w:hint="eastAsia"/>
                <w:color w:val="auto"/>
                <w:lang w:val="en-US" w:eastAsia="zh-CN"/>
              </w:rPr>
              <w:t>253471.2m</w:t>
            </w:r>
            <w:r>
              <w:rPr>
                <w:rFonts w:hint="eastAsia"/>
                <w:color w:val="auto"/>
                <w:vertAlign w:val="superscript"/>
                <w:lang w:val="en-US" w:eastAsia="zh-CN"/>
              </w:rPr>
              <w:t>3</w:t>
            </w:r>
            <w:r>
              <w:rPr>
                <w:rFonts w:hint="default"/>
                <w:color w:val="auto"/>
                <w:lang w:val="en-US" w:eastAsia="zh-CN"/>
              </w:rPr>
              <w:t>/a</w:t>
            </w:r>
            <w:r>
              <w:rPr>
                <w:rFonts w:hint="eastAsia"/>
                <w:color w:val="auto"/>
                <w:lang w:val="en-US" w:eastAsia="zh-CN"/>
              </w:rPr>
              <w:t>，即3168.39m</w:t>
            </w:r>
            <w:r>
              <w:rPr>
                <w:rFonts w:hint="eastAsia"/>
                <w:color w:val="auto"/>
                <w:vertAlign w:val="superscript"/>
                <w:lang w:val="en-US" w:eastAsia="zh-CN"/>
              </w:rPr>
              <w:t>3</w:t>
            </w:r>
            <w:r>
              <w:rPr>
                <w:rFonts w:hint="default"/>
                <w:color w:val="auto"/>
                <w:lang w:val="en-US" w:eastAsia="zh-CN"/>
              </w:rPr>
              <w:t>/d。</w:t>
            </w:r>
          </w:p>
          <w:p>
            <w:pPr>
              <w:bidi w:val="0"/>
              <w:rPr>
                <w:rFonts w:hint="eastAsia"/>
                <w:color w:val="auto"/>
                <w:lang w:val="en-US" w:eastAsia="zh-CN"/>
              </w:rPr>
            </w:pPr>
            <w:r>
              <w:rPr>
                <w:rFonts w:hint="eastAsia"/>
                <w:color w:val="auto"/>
                <w:lang w:val="en-US" w:eastAsia="zh-CN"/>
              </w:rPr>
              <w:t>①员工生活用水</w:t>
            </w:r>
          </w:p>
          <w:p>
            <w:pPr>
              <w:bidi w:val="0"/>
              <w:rPr>
                <w:rFonts w:hint="eastAsia"/>
                <w:color w:val="auto"/>
                <w:lang w:val="en-US" w:eastAsia="zh-CN"/>
              </w:rPr>
            </w:pPr>
            <w:r>
              <w:rPr>
                <w:rFonts w:hint="eastAsia"/>
                <w:color w:val="auto"/>
                <w:lang w:val="en-US" w:eastAsia="zh-CN"/>
              </w:rPr>
              <w:t>本项目员工人数600人，年工作80天，均在项目内住宿。参照《湖南省用水定额》（DB43/T388-2020）调查数据，员工人均生活用水系数取150L/人</w:t>
            </w:r>
            <w:r>
              <w:rPr>
                <w:rFonts w:hint="default"/>
                <w:color w:val="auto"/>
                <w:lang w:val="en-US" w:eastAsia="zh-CN"/>
              </w:rPr>
              <w:t>·</w:t>
            </w:r>
            <w:r>
              <w:rPr>
                <w:rFonts w:hint="eastAsia"/>
                <w:color w:val="auto"/>
                <w:lang w:val="en-US" w:eastAsia="zh-CN"/>
              </w:rPr>
              <w:t>d，则生活用水量为7200m</w:t>
            </w:r>
            <w:r>
              <w:rPr>
                <w:rFonts w:hint="eastAsia"/>
                <w:color w:val="auto"/>
                <w:vertAlign w:val="superscript"/>
                <w:lang w:val="en-US" w:eastAsia="zh-CN"/>
              </w:rPr>
              <w:t>3</w:t>
            </w:r>
            <w:r>
              <w:rPr>
                <w:rFonts w:hint="eastAsia"/>
                <w:color w:val="auto"/>
                <w:lang w:val="en-US" w:eastAsia="zh-CN"/>
              </w:rPr>
              <w:t>/a（90m</w:t>
            </w:r>
            <w:r>
              <w:rPr>
                <w:rFonts w:hint="eastAsia"/>
                <w:color w:val="auto"/>
                <w:vertAlign w:val="superscript"/>
                <w:lang w:val="en-US" w:eastAsia="zh-CN"/>
              </w:rPr>
              <w:t>3</w:t>
            </w:r>
            <w:r>
              <w:rPr>
                <w:rFonts w:hint="eastAsia"/>
                <w:color w:val="auto"/>
                <w:lang w:val="en-US" w:eastAsia="zh-CN"/>
              </w:rPr>
              <w:t>/d）。排污系数以0.9计，即生活污水排放量为6480m</w:t>
            </w:r>
            <w:r>
              <w:rPr>
                <w:rFonts w:hint="eastAsia"/>
                <w:color w:val="auto"/>
                <w:vertAlign w:val="superscript"/>
                <w:lang w:val="en-US" w:eastAsia="zh-CN"/>
              </w:rPr>
              <w:t>3</w:t>
            </w:r>
            <w:r>
              <w:rPr>
                <w:rFonts w:hint="eastAsia"/>
                <w:color w:val="auto"/>
                <w:lang w:val="en-US" w:eastAsia="zh-CN"/>
              </w:rPr>
              <w:t>/a（81m</w:t>
            </w:r>
            <w:r>
              <w:rPr>
                <w:rFonts w:hint="eastAsia"/>
                <w:color w:val="auto"/>
                <w:vertAlign w:val="superscript"/>
                <w:lang w:val="en-US" w:eastAsia="zh-CN"/>
              </w:rPr>
              <w:t>3</w:t>
            </w:r>
            <w:r>
              <w:rPr>
                <w:rFonts w:hint="eastAsia"/>
                <w:color w:val="auto"/>
                <w:lang w:val="en-US" w:eastAsia="zh-CN"/>
              </w:rPr>
              <w:t>/d）。</w:t>
            </w:r>
          </w:p>
          <w:p>
            <w:pPr>
              <w:bidi w:val="0"/>
              <w:rPr>
                <w:rFonts w:hint="default"/>
                <w:color w:val="auto"/>
                <w:lang w:val="en-US" w:eastAsia="zh-CN"/>
              </w:rPr>
            </w:pPr>
            <w:r>
              <w:rPr>
                <w:rFonts w:hint="eastAsia"/>
                <w:color w:val="auto"/>
                <w:lang w:val="en-US" w:eastAsia="zh-CN"/>
              </w:rPr>
              <w:t>②游客淋浴用水</w:t>
            </w:r>
          </w:p>
          <w:p>
            <w:pPr>
              <w:bidi w:val="0"/>
              <w:rPr>
                <w:rFonts w:hint="default"/>
                <w:color w:val="auto"/>
                <w:lang w:val="en-US" w:eastAsia="zh-CN"/>
              </w:rPr>
            </w:pPr>
            <w:r>
              <w:rPr>
                <w:rFonts w:hint="eastAsia"/>
                <w:color w:val="auto"/>
                <w:lang w:val="en-US" w:eastAsia="zh-CN"/>
              </w:rPr>
              <w:t>本项目内设置男女淋浴室，最大接待人数按7214人次/天计，项目年运营80天。参照《湖南省用水定额》（DB43/T388-2020）调查数据，淋浴用水按125L/人次计，则游客淋浴用水量约为72140m</w:t>
            </w:r>
            <w:r>
              <w:rPr>
                <w:rFonts w:hint="eastAsia"/>
                <w:color w:val="auto"/>
                <w:vertAlign w:val="superscript"/>
                <w:lang w:val="en-US" w:eastAsia="zh-CN"/>
              </w:rPr>
              <w:t>3</w:t>
            </w:r>
            <w:r>
              <w:rPr>
                <w:rFonts w:hint="eastAsia"/>
                <w:color w:val="auto"/>
                <w:lang w:val="en-US" w:eastAsia="zh-CN"/>
              </w:rPr>
              <w:t>/a（901.75m</w:t>
            </w:r>
            <w:r>
              <w:rPr>
                <w:rFonts w:hint="eastAsia"/>
                <w:color w:val="auto"/>
                <w:vertAlign w:val="superscript"/>
                <w:lang w:val="en-US" w:eastAsia="zh-CN"/>
              </w:rPr>
              <w:t>3</w:t>
            </w:r>
            <w:r>
              <w:rPr>
                <w:rFonts w:hint="eastAsia"/>
                <w:color w:val="auto"/>
                <w:lang w:val="en-US" w:eastAsia="zh-CN"/>
              </w:rPr>
              <w:t>/d）。排污系数以0.9计，即淋浴废水排放量为64926m</w:t>
            </w:r>
            <w:r>
              <w:rPr>
                <w:rFonts w:hint="eastAsia"/>
                <w:color w:val="auto"/>
                <w:vertAlign w:val="superscript"/>
                <w:lang w:val="en-US" w:eastAsia="zh-CN"/>
              </w:rPr>
              <w:t>3</w:t>
            </w:r>
            <w:r>
              <w:rPr>
                <w:rFonts w:hint="eastAsia"/>
                <w:color w:val="auto"/>
                <w:lang w:val="en-US" w:eastAsia="zh-CN"/>
              </w:rPr>
              <w:t>/a（811.575m</w:t>
            </w:r>
            <w:r>
              <w:rPr>
                <w:rFonts w:hint="eastAsia"/>
                <w:color w:val="auto"/>
                <w:vertAlign w:val="superscript"/>
                <w:lang w:val="en-US" w:eastAsia="zh-CN"/>
              </w:rPr>
              <w:t>3</w:t>
            </w:r>
            <w:r>
              <w:rPr>
                <w:rFonts w:hint="eastAsia"/>
                <w:color w:val="auto"/>
                <w:lang w:val="en-US" w:eastAsia="zh-CN"/>
              </w:rPr>
              <w:t>/d）。游客淋浴废水与其他废水一起进入化粪池处理。</w:t>
            </w:r>
          </w:p>
          <w:p>
            <w:pPr>
              <w:bidi w:val="0"/>
              <w:rPr>
                <w:rFonts w:hint="default"/>
                <w:color w:val="auto"/>
                <w:lang w:val="en-US" w:eastAsia="zh-CN"/>
              </w:rPr>
            </w:pPr>
            <w:r>
              <w:rPr>
                <w:rFonts w:hint="eastAsia"/>
                <w:color w:val="auto"/>
                <w:lang w:val="en-US" w:eastAsia="zh-CN"/>
              </w:rPr>
              <w:t>③公厕用水</w:t>
            </w:r>
          </w:p>
          <w:p>
            <w:pPr>
              <w:bidi w:val="0"/>
              <w:rPr>
                <w:rFonts w:hint="eastAsia"/>
                <w:color w:val="auto"/>
                <w:lang w:val="en-US" w:eastAsia="zh-CN"/>
              </w:rPr>
            </w:pPr>
            <w:r>
              <w:rPr>
                <w:rFonts w:hint="eastAsia"/>
                <w:color w:val="auto"/>
                <w:lang w:val="en-US" w:eastAsia="zh-CN"/>
              </w:rPr>
              <w:t>本项目设有公共卫生间，公厕每天接待人数按7214人次计算，项目年运营80天。参照《湖南省用水定额》（DB43/T388-2020）调查数据，用水系数取10L/人次，即公厕用水约为5771.2m</w:t>
            </w:r>
            <w:r>
              <w:rPr>
                <w:rFonts w:hint="eastAsia"/>
                <w:color w:val="auto"/>
                <w:vertAlign w:val="superscript"/>
                <w:lang w:val="en-US" w:eastAsia="zh-CN"/>
              </w:rPr>
              <w:t>3</w:t>
            </w:r>
            <w:r>
              <w:rPr>
                <w:rFonts w:hint="eastAsia"/>
                <w:color w:val="auto"/>
                <w:lang w:val="en-US" w:eastAsia="zh-CN"/>
              </w:rPr>
              <w:t>/a（72.14m</w:t>
            </w:r>
            <w:r>
              <w:rPr>
                <w:rFonts w:hint="eastAsia"/>
                <w:color w:val="auto"/>
                <w:vertAlign w:val="superscript"/>
                <w:lang w:val="en-US" w:eastAsia="zh-CN"/>
              </w:rPr>
              <w:t>3</w:t>
            </w:r>
            <w:r>
              <w:rPr>
                <w:rFonts w:hint="eastAsia"/>
                <w:color w:val="auto"/>
                <w:vertAlign w:val="baseline"/>
                <w:lang w:val="en-US" w:eastAsia="zh-CN"/>
              </w:rPr>
              <w:t>/</w:t>
            </w:r>
            <w:r>
              <w:rPr>
                <w:rFonts w:hint="eastAsia"/>
                <w:color w:val="auto"/>
                <w:lang w:val="en-US" w:eastAsia="zh-CN"/>
              </w:rPr>
              <w:t>d）。排污系数以0.9计，即公厕废水约为5194.08m</w:t>
            </w:r>
            <w:r>
              <w:rPr>
                <w:rFonts w:hint="eastAsia"/>
                <w:color w:val="auto"/>
                <w:vertAlign w:val="superscript"/>
                <w:lang w:val="en-US" w:eastAsia="zh-CN"/>
              </w:rPr>
              <w:t>3</w:t>
            </w:r>
            <w:r>
              <w:rPr>
                <w:rFonts w:hint="eastAsia"/>
                <w:color w:val="auto"/>
                <w:lang w:val="en-US" w:eastAsia="zh-CN"/>
              </w:rPr>
              <w:t>/a（64.926m</w:t>
            </w:r>
            <w:r>
              <w:rPr>
                <w:rFonts w:hint="eastAsia"/>
                <w:color w:val="auto"/>
                <w:vertAlign w:val="superscript"/>
                <w:lang w:val="en-US" w:eastAsia="zh-CN"/>
              </w:rPr>
              <w:t>3</w:t>
            </w:r>
            <w:r>
              <w:rPr>
                <w:rFonts w:hint="eastAsia"/>
                <w:color w:val="auto"/>
                <w:lang w:val="en-US" w:eastAsia="zh-CN"/>
              </w:rPr>
              <w:t>/d）。公厕废水与其他废水一起进入化粪池处理。</w:t>
            </w:r>
          </w:p>
          <w:p>
            <w:pPr>
              <w:bidi w:val="0"/>
              <w:rPr>
                <w:rFonts w:hint="eastAsia"/>
                <w:color w:val="auto"/>
                <w:lang w:val="en-US" w:eastAsia="zh-CN"/>
              </w:rPr>
            </w:pPr>
            <w:r>
              <w:rPr>
                <w:rFonts w:hint="eastAsia"/>
                <w:color w:val="auto"/>
                <w:lang w:val="en-US" w:eastAsia="zh-CN"/>
              </w:rPr>
              <w:t>④水池娱乐用水</w:t>
            </w:r>
          </w:p>
          <w:p>
            <w:pPr>
              <w:bidi w:val="0"/>
              <w:rPr>
                <w:rFonts w:hint="eastAsia"/>
                <w:color w:val="auto"/>
                <w:u w:val="none"/>
                <w:lang w:val="en-US" w:eastAsia="zh-CN"/>
              </w:rPr>
            </w:pPr>
            <w:r>
              <w:rPr>
                <w:rFonts w:hint="eastAsia"/>
                <w:color w:val="auto"/>
                <w:u w:val="none"/>
                <w:lang w:val="en-US" w:eastAsia="zh-CN"/>
              </w:rPr>
              <w:t>根据设计方案及建设单位提供的信息，本项目水域容积为18750m</w:t>
            </w:r>
            <w:r>
              <w:rPr>
                <w:rFonts w:hint="eastAsia"/>
                <w:color w:val="auto"/>
                <w:u w:val="none"/>
                <w:vertAlign w:val="superscript"/>
                <w:lang w:val="en-US" w:eastAsia="zh-CN"/>
              </w:rPr>
              <w:t>3</w:t>
            </w:r>
            <w:r>
              <w:rPr>
                <w:rFonts w:hint="eastAsia"/>
                <w:color w:val="auto"/>
                <w:u w:val="none"/>
                <w:lang w:val="en-US" w:eastAsia="zh-CN"/>
              </w:rPr>
              <w:t>。参照《游泳池设计规范》，游泳池的补充水量应根据游泳池的水面蒸发、排污、过滤设备反冲洗（如用池水反冲洗时）和游泳者带出等所损失的水量确定，公共游泳池（露天）日需补充水量在泳池容积的10%~15%范围内。本项目损耗按10%计，则补水量为150000m</w:t>
            </w:r>
            <w:r>
              <w:rPr>
                <w:rFonts w:hint="eastAsia"/>
                <w:color w:val="auto"/>
                <w:u w:val="none"/>
                <w:vertAlign w:val="superscript"/>
                <w:lang w:val="en-US" w:eastAsia="zh-CN"/>
              </w:rPr>
              <w:t>3</w:t>
            </w:r>
            <w:r>
              <w:rPr>
                <w:rFonts w:hint="eastAsia"/>
                <w:color w:val="auto"/>
                <w:u w:val="none"/>
                <w:lang w:val="en-US" w:eastAsia="zh-CN"/>
              </w:rPr>
              <w:t>/a（1875m</w:t>
            </w:r>
            <w:r>
              <w:rPr>
                <w:rFonts w:hint="eastAsia"/>
                <w:color w:val="auto"/>
                <w:u w:val="none"/>
                <w:vertAlign w:val="superscript"/>
                <w:lang w:val="en-US" w:eastAsia="zh-CN"/>
              </w:rPr>
              <w:t>3</w:t>
            </w:r>
            <w:r>
              <w:rPr>
                <w:rFonts w:hint="eastAsia"/>
                <w:color w:val="auto"/>
                <w:u w:val="none"/>
                <w:lang w:val="en-US" w:eastAsia="zh-CN"/>
              </w:rPr>
              <w:t>/d），此部分水需每日进行补充。</w:t>
            </w:r>
          </w:p>
          <w:p>
            <w:pPr>
              <w:bidi w:val="0"/>
              <w:rPr>
                <w:rFonts w:hint="default"/>
                <w:color w:val="auto"/>
                <w:u w:val="none"/>
                <w:lang w:val="en-US" w:eastAsia="zh-CN"/>
              </w:rPr>
            </w:pPr>
            <w:r>
              <w:rPr>
                <w:rFonts w:hint="eastAsia"/>
                <w:color w:val="auto"/>
                <w:u w:val="none"/>
                <w:lang w:val="en-US" w:eastAsia="zh-CN"/>
              </w:rPr>
              <w:t>水池初次运行需将池水填满，用水量为池容的80%，约为15000m</w:t>
            </w:r>
            <w:r>
              <w:rPr>
                <w:rFonts w:hint="eastAsia"/>
                <w:color w:val="auto"/>
                <w:u w:val="none"/>
                <w:vertAlign w:val="superscript"/>
                <w:lang w:val="en-US" w:eastAsia="zh-CN"/>
              </w:rPr>
              <w:t>3</w:t>
            </w:r>
            <w:r>
              <w:rPr>
                <w:rFonts w:hint="eastAsia"/>
                <w:color w:val="auto"/>
                <w:u w:val="none"/>
                <w:lang w:val="en-US" w:eastAsia="zh-CN"/>
              </w:rPr>
              <w:t>。水池运行期间，采用业内最先进的Defender珍珠岩过滤系统，可以过滤低至1微米的水中杂质，为泳池池水提供24-68m</w:t>
            </w:r>
            <w:r>
              <w:rPr>
                <w:rFonts w:hint="eastAsia"/>
                <w:color w:val="auto"/>
                <w:u w:val="none"/>
                <w:vertAlign w:val="superscript"/>
                <w:lang w:val="en-US" w:eastAsia="zh-CN"/>
              </w:rPr>
              <w:t>3</w:t>
            </w:r>
            <w:r>
              <w:rPr>
                <w:rFonts w:hint="eastAsia"/>
                <w:color w:val="auto"/>
                <w:u w:val="none"/>
                <w:lang w:val="en-US" w:eastAsia="zh-CN"/>
              </w:rPr>
              <w:t>/h的高效过滤循环流量。同时，为保障水质稳定，闭园时泳池水全部排空，则水池娱乐废水排放量为15000m</w:t>
            </w:r>
            <w:r>
              <w:rPr>
                <w:rFonts w:hint="eastAsia"/>
                <w:color w:val="auto"/>
                <w:u w:val="none"/>
                <w:vertAlign w:val="superscript"/>
                <w:lang w:val="en-US" w:eastAsia="zh-CN"/>
              </w:rPr>
              <w:t>3</w:t>
            </w:r>
            <w:r>
              <w:rPr>
                <w:rFonts w:hint="eastAsia"/>
                <w:color w:val="auto"/>
                <w:u w:val="none"/>
                <w:lang w:val="en-US" w:eastAsia="zh-CN"/>
              </w:rPr>
              <w:t>/a。则本项目水池娱乐用水量为165000m</w:t>
            </w:r>
            <w:r>
              <w:rPr>
                <w:rFonts w:hint="eastAsia"/>
                <w:color w:val="auto"/>
                <w:u w:val="none"/>
                <w:vertAlign w:val="superscript"/>
                <w:lang w:val="en-US" w:eastAsia="zh-CN"/>
              </w:rPr>
              <w:t>3</w:t>
            </w:r>
            <w:r>
              <w:rPr>
                <w:rFonts w:hint="eastAsia"/>
                <w:color w:val="auto"/>
                <w:u w:val="none"/>
                <w:lang w:val="en-US" w:eastAsia="zh-CN"/>
              </w:rPr>
              <w:t>/a（2062.5m</w:t>
            </w:r>
            <w:r>
              <w:rPr>
                <w:rFonts w:hint="eastAsia"/>
                <w:color w:val="auto"/>
                <w:u w:val="none"/>
                <w:vertAlign w:val="superscript"/>
                <w:lang w:val="en-US" w:eastAsia="zh-CN"/>
              </w:rPr>
              <w:t>3</w:t>
            </w:r>
            <w:r>
              <w:rPr>
                <w:rFonts w:hint="eastAsia"/>
                <w:color w:val="auto"/>
                <w:u w:val="none"/>
                <w:lang w:val="en-US" w:eastAsia="zh-CN"/>
              </w:rPr>
              <w:t>/d），排水15000m</w:t>
            </w:r>
            <w:r>
              <w:rPr>
                <w:rFonts w:hint="eastAsia"/>
                <w:color w:val="auto"/>
                <w:u w:val="none"/>
                <w:vertAlign w:val="superscript"/>
                <w:lang w:val="en-US" w:eastAsia="zh-CN"/>
              </w:rPr>
              <w:t>3</w:t>
            </w:r>
            <w:r>
              <w:rPr>
                <w:rFonts w:hint="eastAsia"/>
                <w:color w:val="auto"/>
                <w:u w:val="none"/>
                <w:lang w:val="en-US" w:eastAsia="zh-CN"/>
              </w:rPr>
              <w:t>/a（187.5m</w:t>
            </w:r>
            <w:r>
              <w:rPr>
                <w:rFonts w:hint="eastAsia"/>
                <w:color w:val="auto"/>
                <w:u w:val="none"/>
                <w:vertAlign w:val="superscript"/>
                <w:lang w:val="en-US" w:eastAsia="zh-CN"/>
              </w:rPr>
              <w:t>3</w:t>
            </w:r>
            <w:r>
              <w:rPr>
                <w:rFonts w:hint="eastAsia"/>
                <w:color w:val="auto"/>
                <w:u w:val="none"/>
                <w:lang w:val="en-US" w:eastAsia="zh-CN"/>
              </w:rPr>
              <w:t>/d）。水池娱乐排空的废水与其他废水一起进入化粪池处理。</w:t>
            </w:r>
          </w:p>
          <w:p>
            <w:pPr>
              <w:bidi w:val="0"/>
              <w:rPr>
                <w:rFonts w:hint="eastAsia"/>
                <w:color w:val="auto"/>
                <w:lang w:val="en-US" w:eastAsia="zh-CN"/>
              </w:rPr>
            </w:pPr>
            <w:r>
              <w:rPr>
                <w:rFonts w:hint="eastAsia"/>
                <w:color w:val="auto"/>
                <w:lang w:val="en-US" w:eastAsia="zh-CN"/>
              </w:rPr>
              <w:t>⑤主题餐厅用水</w:t>
            </w:r>
          </w:p>
          <w:p>
            <w:pPr>
              <w:bidi w:val="0"/>
              <w:rPr>
                <w:rFonts w:hint="default"/>
                <w:color w:val="auto"/>
                <w:lang w:val="en-US" w:eastAsia="zh-CN"/>
              </w:rPr>
            </w:pPr>
            <w:r>
              <w:rPr>
                <w:rFonts w:hint="eastAsia"/>
                <w:color w:val="auto"/>
                <w:lang w:val="en-US" w:eastAsia="zh-CN"/>
              </w:rPr>
              <w:t>本项目设有主题餐厅，最大接待人数按1500人次/天计，项目年运营80天。参照《建筑给水排水设计标准》（GB50015-2019），主题餐厅用水量按20L/（人·d）计算，本项目主题餐厅用水量为2400m</w:t>
            </w:r>
            <w:r>
              <w:rPr>
                <w:rFonts w:hint="eastAsia"/>
                <w:color w:val="auto"/>
                <w:vertAlign w:val="superscript"/>
                <w:lang w:val="en-US" w:eastAsia="zh-CN"/>
              </w:rPr>
              <w:t>3</w:t>
            </w:r>
            <w:r>
              <w:rPr>
                <w:rFonts w:hint="eastAsia"/>
                <w:color w:val="auto"/>
                <w:lang w:val="en-US" w:eastAsia="zh-CN"/>
              </w:rPr>
              <w:t>/a（30m</w:t>
            </w:r>
            <w:r>
              <w:rPr>
                <w:rFonts w:hint="eastAsia"/>
                <w:color w:val="auto"/>
                <w:vertAlign w:val="superscript"/>
                <w:lang w:val="en-US" w:eastAsia="zh-CN"/>
              </w:rPr>
              <w:t>3</w:t>
            </w:r>
            <w:r>
              <w:rPr>
                <w:rFonts w:hint="eastAsia"/>
                <w:color w:val="auto"/>
                <w:lang w:val="en-US" w:eastAsia="zh-CN"/>
              </w:rPr>
              <w:t>/d）。排污系数以0.9计，即餐饮废水约为2160m</w:t>
            </w:r>
            <w:r>
              <w:rPr>
                <w:rFonts w:hint="eastAsia"/>
                <w:color w:val="auto"/>
                <w:vertAlign w:val="superscript"/>
                <w:lang w:val="en-US" w:eastAsia="zh-CN"/>
              </w:rPr>
              <w:t>3</w:t>
            </w:r>
            <w:r>
              <w:rPr>
                <w:rFonts w:hint="eastAsia"/>
                <w:color w:val="auto"/>
                <w:lang w:val="en-US" w:eastAsia="zh-CN"/>
              </w:rPr>
              <w:t>/a（27m</w:t>
            </w:r>
            <w:r>
              <w:rPr>
                <w:rFonts w:hint="eastAsia"/>
                <w:color w:val="auto"/>
                <w:vertAlign w:val="superscript"/>
                <w:lang w:val="en-US" w:eastAsia="zh-CN"/>
              </w:rPr>
              <w:t>3</w:t>
            </w:r>
            <w:r>
              <w:rPr>
                <w:rFonts w:hint="eastAsia"/>
                <w:color w:val="auto"/>
                <w:lang w:val="en-US" w:eastAsia="zh-CN"/>
              </w:rPr>
              <w:t>/d）。餐饮废水经隔油沉淀后，与其他废水一起进入化粪池处理。</w:t>
            </w:r>
          </w:p>
          <w:p>
            <w:pPr>
              <w:bidi w:val="0"/>
              <w:rPr>
                <w:rFonts w:hint="eastAsia"/>
                <w:color w:val="auto"/>
                <w:lang w:val="en-US" w:eastAsia="zh-CN"/>
              </w:rPr>
            </w:pPr>
            <w:r>
              <w:rPr>
                <w:rFonts w:hint="eastAsia"/>
                <w:color w:val="auto"/>
                <w:lang w:val="en-US" w:eastAsia="zh-CN"/>
              </w:rPr>
              <w:t>⑥员工食堂用水</w:t>
            </w:r>
          </w:p>
          <w:p>
            <w:pPr>
              <w:bidi w:val="0"/>
              <w:rPr>
                <w:rFonts w:hint="default"/>
                <w:color w:val="auto"/>
                <w:lang w:val="en-US" w:eastAsia="zh-CN"/>
              </w:rPr>
            </w:pPr>
            <w:r>
              <w:rPr>
                <w:rFonts w:hint="eastAsia"/>
                <w:color w:val="auto"/>
                <w:lang w:val="en-US" w:eastAsia="zh-CN"/>
              </w:rPr>
              <w:t>本项目内设置员工食堂，员工均在项目内就餐，平均就餐人数600人，年工作80天。参照《建筑给水排水设计标准》（GB50015-2019），食堂用水量按20L/（人·d）计，本项目食堂用水量为960m</w:t>
            </w:r>
            <w:r>
              <w:rPr>
                <w:rFonts w:hint="eastAsia"/>
                <w:color w:val="auto"/>
                <w:vertAlign w:val="superscript"/>
                <w:lang w:val="en-US" w:eastAsia="zh-CN"/>
              </w:rPr>
              <w:t>3</w:t>
            </w:r>
            <w:r>
              <w:rPr>
                <w:rFonts w:hint="eastAsia"/>
                <w:color w:val="auto"/>
                <w:lang w:val="en-US" w:eastAsia="zh-CN"/>
              </w:rPr>
              <w:t>/a（12m</w:t>
            </w:r>
            <w:r>
              <w:rPr>
                <w:rFonts w:hint="eastAsia"/>
                <w:color w:val="auto"/>
                <w:vertAlign w:val="superscript"/>
                <w:lang w:val="en-US" w:eastAsia="zh-CN"/>
              </w:rPr>
              <w:t>3</w:t>
            </w:r>
            <w:r>
              <w:rPr>
                <w:rFonts w:hint="eastAsia"/>
                <w:color w:val="auto"/>
                <w:lang w:val="en-US" w:eastAsia="zh-CN"/>
              </w:rPr>
              <w:t>/d）。排污系数以0.9计，即食堂废水约为864m</w:t>
            </w:r>
            <w:r>
              <w:rPr>
                <w:rFonts w:hint="eastAsia"/>
                <w:color w:val="auto"/>
                <w:vertAlign w:val="superscript"/>
                <w:lang w:val="en-US" w:eastAsia="zh-CN"/>
              </w:rPr>
              <w:t>3</w:t>
            </w:r>
            <w:r>
              <w:rPr>
                <w:rFonts w:hint="eastAsia"/>
                <w:color w:val="auto"/>
                <w:lang w:val="en-US" w:eastAsia="zh-CN"/>
              </w:rPr>
              <w:t>/a（10.8m</w:t>
            </w:r>
            <w:r>
              <w:rPr>
                <w:rFonts w:hint="eastAsia"/>
                <w:color w:val="auto"/>
                <w:vertAlign w:val="superscript"/>
                <w:lang w:val="en-US" w:eastAsia="zh-CN"/>
              </w:rPr>
              <w:t>3</w:t>
            </w:r>
            <w:r>
              <w:rPr>
                <w:rFonts w:hint="eastAsia"/>
                <w:color w:val="auto"/>
                <w:lang w:val="en-US" w:eastAsia="zh-CN"/>
              </w:rPr>
              <w:t>/d）。食堂废水经隔油沉淀后，与其他废水一起进入化粪池处理。</w:t>
            </w:r>
          </w:p>
          <w:p>
            <w:pPr>
              <w:bidi w:val="0"/>
              <w:rPr>
                <w:rFonts w:hint="default"/>
                <w:color w:val="auto"/>
                <w:lang w:val="en-US" w:eastAsia="zh-CN"/>
              </w:rPr>
            </w:pPr>
            <w:r>
              <w:rPr>
                <w:rFonts w:hint="default"/>
                <w:color w:val="auto"/>
                <w:lang w:val="en-US" w:eastAsia="zh-CN"/>
              </w:rPr>
              <w:t>项目具体用排水核算</w:t>
            </w:r>
            <w:r>
              <w:rPr>
                <w:rFonts w:hint="eastAsia"/>
                <w:color w:val="auto"/>
                <w:lang w:val="en-US" w:eastAsia="zh-CN"/>
              </w:rPr>
              <w:t>和水平衡图</w:t>
            </w:r>
            <w:r>
              <w:rPr>
                <w:rFonts w:hint="default"/>
                <w:color w:val="auto"/>
                <w:lang w:val="en-US" w:eastAsia="zh-CN"/>
              </w:rPr>
              <w:t>如下：</w:t>
            </w:r>
          </w:p>
          <w:p>
            <w:pPr>
              <w:pStyle w:val="18"/>
              <w:bidi w:val="0"/>
              <w:rPr>
                <w:rFonts w:hint="default"/>
                <w:color w:val="auto"/>
                <w:lang w:val="en-US" w:eastAsia="zh-CN"/>
              </w:rPr>
            </w:pPr>
            <w:r>
              <w:rPr>
                <w:rFonts w:hint="eastAsia"/>
                <w:color w:val="auto"/>
                <w:lang w:val="en-US" w:eastAsia="zh-CN"/>
              </w:rPr>
              <w:t>表8 本项目用、排水情况统计一览表   单位：m</w:t>
            </w:r>
            <w:r>
              <w:rPr>
                <w:rFonts w:hint="eastAsia" w:ascii="Times New Roman" w:hAnsi="Times New Roman" w:eastAsia="宋体" w:cs="Times New Roman"/>
                <w:b w:val="0"/>
                <w:color w:val="auto"/>
                <w:kern w:val="2"/>
                <w:sz w:val="24"/>
                <w:szCs w:val="24"/>
                <w:vertAlign w:val="superscript"/>
                <w:lang w:val="en-US" w:eastAsia="zh-CN" w:bidi="ar-SA"/>
              </w:rPr>
              <w:t>3</w:t>
            </w:r>
            <w:r>
              <w:rPr>
                <w:rFonts w:hint="eastAsia"/>
                <w:color w:val="auto"/>
                <w:lang w:val="en-US" w:eastAsia="zh-CN"/>
              </w:rPr>
              <w:t>/a</w:t>
            </w:r>
          </w:p>
          <w:tbl>
            <w:tblPr>
              <w:tblStyle w:val="16"/>
              <w:tblW w:w="86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8"/>
              <w:gridCol w:w="1728"/>
              <w:gridCol w:w="1729"/>
              <w:gridCol w:w="1902"/>
              <w:gridCol w:w="15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8" w:type="dxa"/>
                </w:tcPr>
                <w:p>
                  <w:pPr>
                    <w:pStyle w:val="19"/>
                    <w:bidi w:val="0"/>
                    <w:rPr>
                      <w:rFonts w:hint="default"/>
                      <w:color w:val="auto"/>
                      <w:lang w:val="en-US" w:eastAsia="zh-CN"/>
                    </w:rPr>
                  </w:pPr>
                  <w:r>
                    <w:rPr>
                      <w:rFonts w:hint="eastAsia"/>
                      <w:color w:val="auto"/>
                      <w:lang w:val="en-US" w:eastAsia="zh-CN"/>
                    </w:rPr>
                    <w:t>用水单元</w:t>
                  </w:r>
                </w:p>
              </w:tc>
              <w:tc>
                <w:tcPr>
                  <w:tcW w:w="1728" w:type="dxa"/>
                </w:tcPr>
                <w:p>
                  <w:pPr>
                    <w:pStyle w:val="19"/>
                    <w:bidi w:val="0"/>
                    <w:rPr>
                      <w:rFonts w:hint="default"/>
                      <w:color w:val="auto"/>
                      <w:lang w:val="en-US" w:eastAsia="zh-CN"/>
                    </w:rPr>
                  </w:pPr>
                  <w:r>
                    <w:rPr>
                      <w:rFonts w:hint="eastAsia"/>
                      <w:color w:val="auto"/>
                      <w:lang w:val="en-US" w:eastAsia="zh-CN"/>
                    </w:rPr>
                    <w:t>用水量</w:t>
                  </w:r>
                </w:p>
              </w:tc>
              <w:tc>
                <w:tcPr>
                  <w:tcW w:w="1729" w:type="dxa"/>
                </w:tcPr>
                <w:p>
                  <w:pPr>
                    <w:pStyle w:val="19"/>
                    <w:bidi w:val="0"/>
                    <w:rPr>
                      <w:rFonts w:hint="default"/>
                      <w:color w:val="auto"/>
                      <w:lang w:val="en-US" w:eastAsia="zh-CN"/>
                    </w:rPr>
                  </w:pPr>
                  <w:r>
                    <w:rPr>
                      <w:rFonts w:hint="eastAsia"/>
                      <w:color w:val="auto"/>
                      <w:lang w:val="en-US" w:eastAsia="zh-CN"/>
                    </w:rPr>
                    <w:t>损耗量</w:t>
                  </w:r>
                </w:p>
              </w:tc>
              <w:tc>
                <w:tcPr>
                  <w:tcW w:w="1902" w:type="dxa"/>
                </w:tcPr>
                <w:p>
                  <w:pPr>
                    <w:pStyle w:val="19"/>
                    <w:bidi w:val="0"/>
                    <w:rPr>
                      <w:rFonts w:hint="default"/>
                      <w:color w:val="auto"/>
                      <w:lang w:val="en-US" w:eastAsia="zh-CN"/>
                    </w:rPr>
                  </w:pPr>
                  <w:r>
                    <w:rPr>
                      <w:rFonts w:hint="eastAsia"/>
                      <w:color w:val="auto"/>
                      <w:lang w:val="en-US" w:eastAsia="zh-CN"/>
                    </w:rPr>
                    <w:t>废水处置措施</w:t>
                  </w:r>
                </w:p>
              </w:tc>
              <w:tc>
                <w:tcPr>
                  <w:tcW w:w="1556" w:type="dxa"/>
                </w:tcPr>
                <w:p>
                  <w:pPr>
                    <w:pStyle w:val="19"/>
                    <w:bidi w:val="0"/>
                    <w:rPr>
                      <w:rFonts w:hint="default"/>
                      <w:color w:val="auto"/>
                      <w:lang w:val="en-US" w:eastAsia="zh-CN"/>
                    </w:rPr>
                  </w:pPr>
                  <w:r>
                    <w:rPr>
                      <w:rFonts w:hint="eastAsia"/>
                      <w:color w:val="auto"/>
                      <w:lang w:val="en-US" w:eastAsia="zh-CN"/>
                    </w:rPr>
                    <w:t>排水量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8" w:type="dxa"/>
                </w:tcPr>
                <w:p>
                  <w:pPr>
                    <w:pStyle w:val="19"/>
                    <w:bidi w:val="0"/>
                    <w:rPr>
                      <w:rFonts w:hint="default"/>
                      <w:color w:val="auto"/>
                      <w:lang w:val="en-US" w:eastAsia="zh-CN"/>
                    </w:rPr>
                  </w:pPr>
                  <w:r>
                    <w:rPr>
                      <w:rFonts w:hint="eastAsia"/>
                      <w:color w:val="auto"/>
                      <w:lang w:val="en-US" w:eastAsia="zh-CN"/>
                    </w:rPr>
                    <w:t>员工生活用水</w:t>
                  </w:r>
                </w:p>
              </w:tc>
              <w:tc>
                <w:tcPr>
                  <w:tcW w:w="1728" w:type="dxa"/>
                </w:tcPr>
                <w:p>
                  <w:pPr>
                    <w:pStyle w:val="19"/>
                    <w:bidi w:val="0"/>
                    <w:rPr>
                      <w:rFonts w:hint="default"/>
                      <w:color w:val="auto"/>
                      <w:lang w:val="en-US" w:eastAsia="zh-CN"/>
                    </w:rPr>
                  </w:pPr>
                  <w:r>
                    <w:rPr>
                      <w:rFonts w:hint="eastAsia"/>
                      <w:color w:val="auto"/>
                      <w:lang w:val="en-US" w:eastAsia="zh-CN"/>
                    </w:rPr>
                    <w:t>7200</w:t>
                  </w:r>
                </w:p>
              </w:tc>
              <w:tc>
                <w:tcPr>
                  <w:tcW w:w="1729" w:type="dxa"/>
                </w:tcPr>
                <w:p>
                  <w:pPr>
                    <w:pStyle w:val="19"/>
                    <w:bidi w:val="0"/>
                    <w:rPr>
                      <w:rFonts w:hint="default"/>
                      <w:color w:val="auto"/>
                      <w:lang w:val="en-US" w:eastAsia="zh-CN"/>
                    </w:rPr>
                  </w:pPr>
                  <w:r>
                    <w:rPr>
                      <w:rFonts w:hint="eastAsia"/>
                      <w:color w:val="auto"/>
                      <w:lang w:val="en-US" w:eastAsia="zh-CN"/>
                    </w:rPr>
                    <w:t>720</w:t>
                  </w:r>
                </w:p>
              </w:tc>
              <w:tc>
                <w:tcPr>
                  <w:tcW w:w="1902" w:type="dxa"/>
                </w:tcPr>
                <w:p>
                  <w:pPr>
                    <w:pStyle w:val="19"/>
                    <w:bidi w:val="0"/>
                    <w:rPr>
                      <w:rFonts w:hint="default"/>
                      <w:color w:val="auto"/>
                      <w:lang w:val="en-US" w:eastAsia="zh-CN"/>
                    </w:rPr>
                  </w:pPr>
                  <w:r>
                    <w:rPr>
                      <w:rFonts w:hint="eastAsia"/>
                      <w:color w:val="auto"/>
                      <w:lang w:val="en-US" w:eastAsia="zh-CN"/>
                    </w:rPr>
                    <w:t>化粪池</w:t>
                  </w:r>
                </w:p>
              </w:tc>
              <w:tc>
                <w:tcPr>
                  <w:tcW w:w="1556" w:type="dxa"/>
                </w:tcPr>
                <w:p>
                  <w:pPr>
                    <w:pStyle w:val="19"/>
                    <w:bidi w:val="0"/>
                    <w:rPr>
                      <w:rFonts w:hint="default"/>
                      <w:color w:val="auto"/>
                      <w:lang w:val="en-US" w:eastAsia="zh-CN"/>
                    </w:rPr>
                  </w:pPr>
                  <w:r>
                    <w:rPr>
                      <w:rFonts w:hint="eastAsia"/>
                      <w:color w:val="auto"/>
                      <w:lang w:val="en-US" w:eastAsia="zh-CN"/>
                    </w:rPr>
                    <w:t>6480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8" w:type="dxa"/>
                </w:tcPr>
                <w:p>
                  <w:pPr>
                    <w:pStyle w:val="19"/>
                    <w:bidi w:val="0"/>
                    <w:rPr>
                      <w:rFonts w:hint="default"/>
                      <w:color w:val="auto"/>
                      <w:lang w:val="en-US" w:eastAsia="zh-CN"/>
                    </w:rPr>
                  </w:pPr>
                  <w:r>
                    <w:rPr>
                      <w:rFonts w:hint="eastAsia"/>
                      <w:color w:val="auto"/>
                      <w:lang w:val="en-US" w:eastAsia="zh-CN"/>
                    </w:rPr>
                    <w:t>游客淋浴用水</w:t>
                  </w:r>
                </w:p>
              </w:tc>
              <w:tc>
                <w:tcPr>
                  <w:tcW w:w="1728" w:type="dxa"/>
                </w:tcPr>
                <w:p>
                  <w:pPr>
                    <w:pStyle w:val="19"/>
                    <w:bidi w:val="0"/>
                    <w:rPr>
                      <w:rFonts w:hint="default"/>
                      <w:color w:val="auto"/>
                      <w:lang w:val="en-US" w:eastAsia="zh-CN"/>
                    </w:rPr>
                  </w:pPr>
                  <w:r>
                    <w:rPr>
                      <w:rFonts w:hint="eastAsia"/>
                      <w:color w:val="auto"/>
                      <w:lang w:val="en-US" w:eastAsia="zh-CN"/>
                    </w:rPr>
                    <w:t>72140</w:t>
                  </w:r>
                </w:p>
              </w:tc>
              <w:tc>
                <w:tcPr>
                  <w:tcW w:w="1729" w:type="dxa"/>
                </w:tcPr>
                <w:p>
                  <w:pPr>
                    <w:pStyle w:val="19"/>
                    <w:bidi w:val="0"/>
                    <w:rPr>
                      <w:rFonts w:hint="default"/>
                      <w:color w:val="auto"/>
                      <w:lang w:val="en-US" w:eastAsia="zh-CN"/>
                    </w:rPr>
                  </w:pPr>
                  <w:r>
                    <w:rPr>
                      <w:rFonts w:hint="eastAsia"/>
                      <w:color w:val="auto"/>
                      <w:lang w:val="en-US" w:eastAsia="zh-CN"/>
                    </w:rPr>
                    <w:t>7214</w:t>
                  </w:r>
                </w:p>
              </w:tc>
              <w:tc>
                <w:tcPr>
                  <w:tcW w:w="1902" w:type="dxa"/>
                </w:tcPr>
                <w:p>
                  <w:pPr>
                    <w:pStyle w:val="19"/>
                    <w:bidi w:val="0"/>
                    <w:rPr>
                      <w:rFonts w:hint="default"/>
                      <w:color w:val="auto"/>
                      <w:lang w:val="en-US" w:eastAsia="zh-CN"/>
                    </w:rPr>
                  </w:pPr>
                  <w:r>
                    <w:rPr>
                      <w:rFonts w:hint="eastAsia"/>
                      <w:color w:val="auto"/>
                      <w:lang w:val="en-US" w:eastAsia="zh-CN"/>
                    </w:rPr>
                    <w:t>化粪池</w:t>
                  </w:r>
                </w:p>
              </w:tc>
              <w:tc>
                <w:tcPr>
                  <w:tcW w:w="1556" w:type="dxa"/>
                </w:tcPr>
                <w:p>
                  <w:pPr>
                    <w:pStyle w:val="19"/>
                    <w:bidi w:val="0"/>
                    <w:rPr>
                      <w:rFonts w:hint="default"/>
                      <w:color w:val="auto"/>
                      <w:lang w:val="en-US" w:eastAsia="zh-CN"/>
                    </w:rPr>
                  </w:pPr>
                  <w:r>
                    <w:rPr>
                      <w:rFonts w:hint="eastAsia"/>
                      <w:color w:val="auto"/>
                      <w:lang w:val="en-US" w:eastAsia="zh-CN"/>
                    </w:rPr>
                    <w:t>64926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8" w:type="dxa"/>
                </w:tcPr>
                <w:p>
                  <w:pPr>
                    <w:pStyle w:val="19"/>
                    <w:bidi w:val="0"/>
                    <w:rPr>
                      <w:rFonts w:hint="default"/>
                      <w:color w:val="auto"/>
                      <w:lang w:val="en-US" w:eastAsia="zh-CN"/>
                    </w:rPr>
                  </w:pPr>
                  <w:r>
                    <w:rPr>
                      <w:rFonts w:hint="eastAsia"/>
                      <w:color w:val="auto"/>
                      <w:lang w:val="en-US" w:eastAsia="zh-CN"/>
                    </w:rPr>
                    <w:t>公厕用水</w:t>
                  </w:r>
                </w:p>
              </w:tc>
              <w:tc>
                <w:tcPr>
                  <w:tcW w:w="1728" w:type="dxa"/>
                </w:tcPr>
                <w:p>
                  <w:pPr>
                    <w:pStyle w:val="19"/>
                    <w:bidi w:val="0"/>
                    <w:rPr>
                      <w:rFonts w:hint="default"/>
                      <w:color w:val="auto"/>
                      <w:lang w:val="en-US" w:eastAsia="zh-CN"/>
                    </w:rPr>
                  </w:pPr>
                  <w:r>
                    <w:rPr>
                      <w:rFonts w:hint="eastAsia"/>
                      <w:color w:val="auto"/>
                      <w:lang w:val="en-US" w:eastAsia="zh-CN"/>
                    </w:rPr>
                    <w:t>5771.2</w:t>
                  </w:r>
                </w:p>
              </w:tc>
              <w:tc>
                <w:tcPr>
                  <w:tcW w:w="1729" w:type="dxa"/>
                </w:tcPr>
                <w:p>
                  <w:pPr>
                    <w:pStyle w:val="19"/>
                    <w:bidi w:val="0"/>
                    <w:rPr>
                      <w:rFonts w:hint="default"/>
                      <w:color w:val="auto"/>
                      <w:lang w:val="en-US" w:eastAsia="zh-CN"/>
                    </w:rPr>
                  </w:pPr>
                  <w:r>
                    <w:rPr>
                      <w:rFonts w:hint="eastAsia"/>
                      <w:color w:val="auto"/>
                      <w:lang w:val="en-US" w:eastAsia="zh-CN"/>
                    </w:rPr>
                    <w:t>577.12</w:t>
                  </w:r>
                </w:p>
              </w:tc>
              <w:tc>
                <w:tcPr>
                  <w:tcW w:w="1902" w:type="dxa"/>
                </w:tcPr>
                <w:p>
                  <w:pPr>
                    <w:pStyle w:val="19"/>
                    <w:bidi w:val="0"/>
                    <w:rPr>
                      <w:rFonts w:hint="default"/>
                      <w:color w:val="auto"/>
                      <w:lang w:val="en-US" w:eastAsia="zh-CN"/>
                    </w:rPr>
                  </w:pPr>
                  <w:r>
                    <w:rPr>
                      <w:rFonts w:hint="eastAsia"/>
                      <w:color w:val="auto"/>
                      <w:lang w:val="en-US" w:eastAsia="zh-CN"/>
                    </w:rPr>
                    <w:t>化粪池</w:t>
                  </w:r>
                </w:p>
              </w:tc>
              <w:tc>
                <w:tcPr>
                  <w:tcW w:w="1556" w:type="dxa"/>
                </w:tcPr>
                <w:p>
                  <w:pPr>
                    <w:pStyle w:val="19"/>
                    <w:bidi w:val="0"/>
                    <w:rPr>
                      <w:rFonts w:hint="default"/>
                      <w:color w:val="auto"/>
                      <w:lang w:val="en-US" w:eastAsia="zh-CN"/>
                    </w:rPr>
                  </w:pPr>
                  <w:r>
                    <w:rPr>
                      <w:rFonts w:hint="eastAsia"/>
                      <w:color w:val="auto"/>
                      <w:lang w:val="en-US" w:eastAsia="zh-CN"/>
                    </w:rPr>
                    <w:t>5194.08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8" w:type="dxa"/>
                </w:tcPr>
                <w:p>
                  <w:pPr>
                    <w:pStyle w:val="19"/>
                    <w:bidi w:val="0"/>
                    <w:rPr>
                      <w:rFonts w:hint="default"/>
                      <w:color w:val="auto"/>
                      <w:lang w:val="en-US" w:eastAsia="zh-CN"/>
                    </w:rPr>
                  </w:pPr>
                  <w:r>
                    <w:rPr>
                      <w:rFonts w:hint="eastAsia"/>
                      <w:color w:val="auto"/>
                      <w:lang w:val="en-US" w:eastAsia="zh-CN"/>
                    </w:rPr>
                    <w:t>水池娱乐用水</w:t>
                  </w:r>
                </w:p>
              </w:tc>
              <w:tc>
                <w:tcPr>
                  <w:tcW w:w="1728" w:type="dxa"/>
                </w:tcPr>
                <w:p>
                  <w:pPr>
                    <w:pStyle w:val="19"/>
                    <w:bidi w:val="0"/>
                    <w:rPr>
                      <w:rFonts w:hint="default"/>
                      <w:color w:val="auto"/>
                      <w:lang w:val="en-US" w:eastAsia="zh-CN"/>
                    </w:rPr>
                  </w:pPr>
                  <w:r>
                    <w:rPr>
                      <w:rFonts w:hint="eastAsia"/>
                      <w:color w:val="auto"/>
                      <w:lang w:val="en-US" w:eastAsia="zh-CN"/>
                    </w:rPr>
                    <w:t>165000</w:t>
                  </w:r>
                </w:p>
              </w:tc>
              <w:tc>
                <w:tcPr>
                  <w:tcW w:w="1729" w:type="dxa"/>
                </w:tcPr>
                <w:p>
                  <w:pPr>
                    <w:pStyle w:val="19"/>
                    <w:bidi w:val="0"/>
                    <w:rPr>
                      <w:rFonts w:hint="default"/>
                      <w:color w:val="auto"/>
                      <w:lang w:val="en-US" w:eastAsia="zh-CN"/>
                    </w:rPr>
                  </w:pPr>
                  <w:r>
                    <w:rPr>
                      <w:rFonts w:hint="eastAsia"/>
                      <w:color w:val="auto"/>
                      <w:lang w:val="en-US" w:eastAsia="zh-CN"/>
                    </w:rPr>
                    <w:t>150000</w:t>
                  </w:r>
                </w:p>
              </w:tc>
              <w:tc>
                <w:tcPr>
                  <w:tcW w:w="1902" w:type="dxa"/>
                </w:tcPr>
                <w:p>
                  <w:pPr>
                    <w:pStyle w:val="19"/>
                    <w:bidi w:val="0"/>
                    <w:rPr>
                      <w:rFonts w:hint="default"/>
                      <w:color w:val="auto"/>
                      <w:lang w:val="en-US" w:eastAsia="zh-CN"/>
                    </w:rPr>
                  </w:pPr>
                  <w:r>
                    <w:rPr>
                      <w:rFonts w:hint="eastAsia"/>
                      <w:color w:val="auto"/>
                      <w:lang w:val="en-US" w:eastAsia="zh-CN"/>
                    </w:rPr>
                    <w:t>化粪池</w:t>
                  </w:r>
                </w:p>
              </w:tc>
              <w:tc>
                <w:tcPr>
                  <w:tcW w:w="1556" w:type="dxa"/>
                </w:tcPr>
                <w:p>
                  <w:pPr>
                    <w:pStyle w:val="19"/>
                    <w:bidi w:val="0"/>
                    <w:rPr>
                      <w:rFonts w:hint="default"/>
                      <w:color w:val="auto"/>
                      <w:lang w:val="en-US" w:eastAsia="zh-CN"/>
                    </w:rPr>
                  </w:pPr>
                  <w:r>
                    <w:rPr>
                      <w:rFonts w:hint="eastAsia"/>
                      <w:color w:val="auto"/>
                      <w:lang w:val="en-US" w:eastAsia="zh-CN"/>
                    </w:rPr>
                    <w:t>15000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8" w:type="dxa"/>
                </w:tcPr>
                <w:p>
                  <w:pPr>
                    <w:pStyle w:val="19"/>
                    <w:bidi w:val="0"/>
                    <w:rPr>
                      <w:rFonts w:hint="default"/>
                      <w:color w:val="auto"/>
                      <w:lang w:val="en-US" w:eastAsia="zh-CN"/>
                    </w:rPr>
                  </w:pPr>
                  <w:r>
                    <w:rPr>
                      <w:rFonts w:hint="eastAsia"/>
                      <w:color w:val="auto"/>
                      <w:lang w:val="en-US" w:eastAsia="zh-CN"/>
                    </w:rPr>
                    <w:t>主题餐厅用水</w:t>
                  </w:r>
                </w:p>
              </w:tc>
              <w:tc>
                <w:tcPr>
                  <w:tcW w:w="1728" w:type="dxa"/>
                </w:tcPr>
                <w:p>
                  <w:pPr>
                    <w:pStyle w:val="19"/>
                    <w:bidi w:val="0"/>
                    <w:rPr>
                      <w:rFonts w:hint="default"/>
                      <w:color w:val="auto"/>
                      <w:lang w:val="en-US" w:eastAsia="zh-CN"/>
                    </w:rPr>
                  </w:pPr>
                  <w:r>
                    <w:rPr>
                      <w:rFonts w:hint="eastAsia"/>
                      <w:color w:val="auto"/>
                      <w:lang w:val="en-US" w:eastAsia="zh-CN"/>
                    </w:rPr>
                    <w:t>2400</w:t>
                  </w:r>
                </w:p>
              </w:tc>
              <w:tc>
                <w:tcPr>
                  <w:tcW w:w="1729" w:type="dxa"/>
                </w:tcPr>
                <w:p>
                  <w:pPr>
                    <w:pStyle w:val="19"/>
                    <w:bidi w:val="0"/>
                    <w:rPr>
                      <w:rFonts w:hint="default"/>
                      <w:color w:val="auto"/>
                      <w:lang w:val="en-US" w:eastAsia="zh-CN"/>
                    </w:rPr>
                  </w:pPr>
                  <w:r>
                    <w:rPr>
                      <w:rFonts w:hint="eastAsia"/>
                      <w:color w:val="auto"/>
                      <w:lang w:val="en-US" w:eastAsia="zh-CN"/>
                    </w:rPr>
                    <w:t>240</w:t>
                  </w:r>
                </w:p>
              </w:tc>
              <w:tc>
                <w:tcPr>
                  <w:tcW w:w="1902" w:type="dxa"/>
                </w:tcPr>
                <w:p>
                  <w:pPr>
                    <w:pStyle w:val="19"/>
                    <w:bidi w:val="0"/>
                    <w:rPr>
                      <w:rFonts w:hint="default"/>
                      <w:color w:val="auto"/>
                      <w:lang w:val="en-US" w:eastAsia="zh-CN"/>
                    </w:rPr>
                  </w:pPr>
                  <w:r>
                    <w:rPr>
                      <w:rFonts w:hint="eastAsia"/>
                      <w:color w:val="auto"/>
                      <w:lang w:val="en-US" w:eastAsia="zh-CN"/>
                    </w:rPr>
                    <w:t>隔油沉淀、化粪池</w:t>
                  </w:r>
                </w:p>
              </w:tc>
              <w:tc>
                <w:tcPr>
                  <w:tcW w:w="1556" w:type="dxa"/>
                </w:tcPr>
                <w:p>
                  <w:pPr>
                    <w:pStyle w:val="19"/>
                    <w:bidi w:val="0"/>
                    <w:rPr>
                      <w:rFonts w:hint="default"/>
                      <w:color w:val="auto"/>
                      <w:lang w:val="en-US" w:eastAsia="zh-CN"/>
                    </w:rPr>
                  </w:pPr>
                  <w:r>
                    <w:rPr>
                      <w:rFonts w:hint="eastAsia"/>
                      <w:color w:val="auto"/>
                      <w:lang w:val="en-US" w:eastAsia="zh-CN"/>
                    </w:rPr>
                    <w:t>2160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8" w:type="dxa"/>
                </w:tcPr>
                <w:p>
                  <w:pPr>
                    <w:pStyle w:val="19"/>
                    <w:bidi w:val="0"/>
                    <w:rPr>
                      <w:rFonts w:hint="default"/>
                      <w:color w:val="auto"/>
                      <w:lang w:val="en-US" w:eastAsia="zh-CN"/>
                    </w:rPr>
                  </w:pPr>
                  <w:r>
                    <w:rPr>
                      <w:rFonts w:hint="eastAsia"/>
                      <w:color w:val="auto"/>
                      <w:lang w:val="en-US" w:eastAsia="zh-CN"/>
                    </w:rPr>
                    <w:t>员工食堂用水</w:t>
                  </w:r>
                </w:p>
              </w:tc>
              <w:tc>
                <w:tcPr>
                  <w:tcW w:w="1728" w:type="dxa"/>
                </w:tcPr>
                <w:p>
                  <w:pPr>
                    <w:pStyle w:val="19"/>
                    <w:bidi w:val="0"/>
                    <w:rPr>
                      <w:rFonts w:hint="default"/>
                      <w:color w:val="auto"/>
                      <w:lang w:val="en-US" w:eastAsia="zh-CN"/>
                    </w:rPr>
                  </w:pPr>
                  <w:r>
                    <w:rPr>
                      <w:rFonts w:hint="eastAsia"/>
                      <w:color w:val="auto"/>
                      <w:lang w:val="en-US" w:eastAsia="zh-CN"/>
                    </w:rPr>
                    <w:t>960</w:t>
                  </w:r>
                </w:p>
              </w:tc>
              <w:tc>
                <w:tcPr>
                  <w:tcW w:w="1729" w:type="dxa"/>
                </w:tcPr>
                <w:p>
                  <w:pPr>
                    <w:pStyle w:val="19"/>
                    <w:bidi w:val="0"/>
                    <w:rPr>
                      <w:rFonts w:hint="default"/>
                      <w:color w:val="auto"/>
                      <w:lang w:val="en-US" w:eastAsia="zh-CN"/>
                    </w:rPr>
                  </w:pPr>
                  <w:r>
                    <w:rPr>
                      <w:rFonts w:hint="eastAsia"/>
                      <w:color w:val="auto"/>
                      <w:lang w:val="en-US" w:eastAsia="zh-CN"/>
                    </w:rPr>
                    <w:t>96</w:t>
                  </w:r>
                </w:p>
              </w:tc>
              <w:tc>
                <w:tcPr>
                  <w:tcW w:w="1902" w:type="dxa"/>
                </w:tcPr>
                <w:p>
                  <w:pPr>
                    <w:pStyle w:val="19"/>
                    <w:bidi w:val="0"/>
                    <w:rPr>
                      <w:rFonts w:hint="default"/>
                      <w:color w:val="auto"/>
                      <w:lang w:val="en-US" w:eastAsia="zh-CN"/>
                    </w:rPr>
                  </w:pPr>
                  <w:r>
                    <w:rPr>
                      <w:rFonts w:hint="eastAsia"/>
                      <w:color w:val="auto"/>
                      <w:lang w:val="en-US" w:eastAsia="zh-CN"/>
                    </w:rPr>
                    <w:t>隔油沉淀、化粪池</w:t>
                  </w:r>
                </w:p>
              </w:tc>
              <w:tc>
                <w:tcPr>
                  <w:tcW w:w="1556" w:type="dxa"/>
                </w:tcPr>
                <w:p>
                  <w:pPr>
                    <w:pStyle w:val="19"/>
                    <w:bidi w:val="0"/>
                    <w:rPr>
                      <w:rFonts w:hint="default"/>
                      <w:color w:val="auto"/>
                      <w:lang w:val="en-US" w:eastAsia="zh-CN"/>
                    </w:rPr>
                  </w:pPr>
                  <w:r>
                    <w:rPr>
                      <w:rFonts w:hint="eastAsia"/>
                      <w:color w:val="auto"/>
                      <w:lang w:val="en-US" w:eastAsia="zh-CN"/>
                    </w:rPr>
                    <w:t>864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8" w:type="dxa"/>
                </w:tcPr>
                <w:p>
                  <w:pPr>
                    <w:pStyle w:val="19"/>
                    <w:bidi w:val="0"/>
                    <w:rPr>
                      <w:rFonts w:hint="default"/>
                      <w:color w:val="auto"/>
                      <w:lang w:val="en-US" w:eastAsia="zh-CN"/>
                    </w:rPr>
                  </w:pPr>
                  <w:r>
                    <w:rPr>
                      <w:rFonts w:hint="eastAsia"/>
                      <w:color w:val="auto"/>
                      <w:lang w:val="en-US" w:eastAsia="zh-CN"/>
                    </w:rPr>
                    <w:t>总计</w:t>
                  </w:r>
                </w:p>
              </w:tc>
              <w:tc>
                <w:tcPr>
                  <w:tcW w:w="1728" w:type="dxa"/>
                </w:tcPr>
                <w:p>
                  <w:pPr>
                    <w:pStyle w:val="19"/>
                    <w:bidi w:val="0"/>
                    <w:rPr>
                      <w:rFonts w:hint="default"/>
                      <w:color w:val="auto"/>
                      <w:lang w:val="en-US" w:eastAsia="zh-CN"/>
                    </w:rPr>
                  </w:pPr>
                  <w:r>
                    <w:rPr>
                      <w:rFonts w:hint="eastAsia"/>
                      <w:color w:val="auto"/>
                      <w:lang w:val="en-US" w:eastAsia="zh-CN"/>
                    </w:rPr>
                    <w:t>253471.2</w:t>
                  </w:r>
                </w:p>
              </w:tc>
              <w:tc>
                <w:tcPr>
                  <w:tcW w:w="1729" w:type="dxa"/>
                </w:tcPr>
                <w:p>
                  <w:pPr>
                    <w:pStyle w:val="19"/>
                    <w:bidi w:val="0"/>
                    <w:rPr>
                      <w:rFonts w:hint="default"/>
                      <w:color w:val="auto"/>
                      <w:lang w:val="en-US" w:eastAsia="zh-CN"/>
                    </w:rPr>
                  </w:pPr>
                  <w:r>
                    <w:rPr>
                      <w:rFonts w:hint="eastAsia"/>
                      <w:color w:val="auto"/>
                      <w:lang w:val="en-US" w:eastAsia="zh-CN"/>
                    </w:rPr>
                    <w:t>158847.12</w:t>
                  </w:r>
                </w:p>
              </w:tc>
              <w:tc>
                <w:tcPr>
                  <w:tcW w:w="1902" w:type="dxa"/>
                </w:tcPr>
                <w:p>
                  <w:pPr>
                    <w:pStyle w:val="19"/>
                    <w:bidi w:val="0"/>
                    <w:rPr>
                      <w:rFonts w:hint="default"/>
                      <w:color w:val="auto"/>
                      <w:lang w:val="en-US" w:eastAsia="zh-CN"/>
                    </w:rPr>
                  </w:pPr>
                  <w:r>
                    <w:rPr>
                      <w:rFonts w:hint="eastAsia"/>
                      <w:color w:val="auto"/>
                      <w:lang w:val="en-US" w:eastAsia="zh-CN"/>
                    </w:rPr>
                    <w:t>/</w:t>
                  </w:r>
                </w:p>
              </w:tc>
              <w:tc>
                <w:tcPr>
                  <w:tcW w:w="1556" w:type="dxa"/>
                </w:tcPr>
                <w:p>
                  <w:pPr>
                    <w:pStyle w:val="19"/>
                    <w:bidi w:val="0"/>
                    <w:rPr>
                      <w:rFonts w:hint="default"/>
                      <w:color w:val="auto"/>
                      <w:lang w:val="en-US" w:eastAsia="zh-CN"/>
                    </w:rPr>
                  </w:pPr>
                  <w:r>
                    <w:rPr>
                      <w:rFonts w:hint="eastAsia"/>
                      <w:color w:val="auto"/>
                      <w:lang w:val="en-US" w:eastAsia="zh-CN"/>
                    </w:rPr>
                    <w:t>94624.08</w:t>
                  </w:r>
                </w:p>
              </w:tc>
            </w:tr>
          </w:tbl>
          <w:p>
            <w:pPr>
              <w:bidi w:val="0"/>
              <w:ind w:left="0" w:leftChars="0" w:firstLine="0" w:firstLineChars="0"/>
              <w:jc w:val="center"/>
              <w:rPr>
                <w:rFonts w:hint="default"/>
                <w:color w:val="auto"/>
                <w:lang w:val="en-US" w:eastAsia="zh-CN"/>
              </w:rPr>
            </w:pPr>
            <w:r>
              <w:rPr>
                <w:rFonts w:hint="default"/>
                <w:color w:val="auto"/>
                <w:lang w:val="en-US" w:eastAsia="zh-CN"/>
              </w:rPr>
              <w:drawing>
                <wp:inline distT="0" distB="0" distL="114300" distR="114300">
                  <wp:extent cx="5495290" cy="2790825"/>
                  <wp:effectExtent l="0" t="0" r="0" b="0"/>
                  <wp:docPr id="4" name="ECB019B1-382A-4266-B25C-5B523AA43C14-1" descr="C:/Users/Administrator/AppData/Local/Temp/wps.aqVlOc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CB019B1-382A-4266-B25C-5B523AA43C14-1" descr="C:/Users/Administrator/AppData/Local/Temp/wps.aqVlOcwps"/>
                          <pic:cNvPicPr>
                            <a:picLocks noChangeAspect="1"/>
                          </pic:cNvPicPr>
                        </pic:nvPicPr>
                        <pic:blipFill>
                          <a:blip r:embed="rId23"/>
                          <a:stretch>
                            <a:fillRect/>
                          </a:stretch>
                        </pic:blipFill>
                        <pic:spPr>
                          <a:xfrm>
                            <a:off x="0" y="0"/>
                            <a:ext cx="5495290" cy="2790825"/>
                          </a:xfrm>
                          <a:prstGeom prst="rect">
                            <a:avLst/>
                          </a:prstGeom>
                        </pic:spPr>
                      </pic:pic>
                    </a:graphicData>
                  </a:graphic>
                </wp:inline>
              </w:drawing>
            </w:r>
          </w:p>
          <w:p>
            <w:pPr>
              <w:pStyle w:val="18"/>
              <w:bidi w:val="0"/>
              <w:rPr>
                <w:rFonts w:hint="default"/>
                <w:lang w:val="en-US" w:eastAsia="zh-CN"/>
              </w:rPr>
            </w:pPr>
            <w:r>
              <w:rPr>
                <w:rFonts w:hint="eastAsia"/>
                <w:color w:val="auto"/>
                <w:lang w:val="en-US" w:eastAsia="zh-CN"/>
              </w:rPr>
              <w:t>图1  水平衡图   单位：m</w:t>
            </w:r>
            <w:r>
              <w:rPr>
                <w:rFonts w:hint="eastAsia"/>
                <w:color w:val="auto"/>
                <w:vertAlign w:val="superscript"/>
                <w:lang w:val="en-US" w:eastAsia="zh-CN"/>
              </w:rPr>
              <w:t>3</w:t>
            </w:r>
            <w:r>
              <w:rPr>
                <w:rFonts w:hint="eastAsia"/>
                <w:color w:val="auto"/>
                <w:lang w:val="en-US" w:eastAsia="zh-CN"/>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lang w:val="en-US" w:eastAsia="zh-CN"/>
              </w:rPr>
            </w:pPr>
            <w:r>
              <w:rPr>
                <w:rFonts w:hint="eastAsia"/>
                <w:lang w:val="en-US" w:eastAsia="zh-CN"/>
              </w:rPr>
              <w:t>总平面及现场布置</w:t>
            </w:r>
          </w:p>
        </w:tc>
        <w:tc>
          <w:tcPr>
            <w:tcW w:w="8859" w:type="dxa"/>
          </w:tcPr>
          <w:p>
            <w:pPr>
              <w:pStyle w:val="22"/>
              <w:bidi w:val="0"/>
              <w:rPr>
                <w:rFonts w:hint="eastAsia"/>
              </w:rPr>
            </w:pPr>
            <w:r>
              <w:rPr>
                <w:rFonts w:hint="eastAsia"/>
              </w:rPr>
              <w:t>项目地块整体地势</w:t>
            </w:r>
            <w:r>
              <w:rPr>
                <w:rFonts w:hint="eastAsia"/>
                <w:lang w:val="zh-TW" w:eastAsia="zh-CN"/>
              </w:rPr>
              <w:t>东</w:t>
            </w:r>
            <w:r>
              <w:rPr>
                <w:rFonts w:hint="eastAsia"/>
                <w:lang w:val="zh-TW" w:eastAsia="zh-TW"/>
              </w:rPr>
              <w:t>高</w:t>
            </w:r>
            <w:r>
              <w:rPr>
                <w:rFonts w:hint="eastAsia"/>
                <w:lang w:val="zh-TW" w:eastAsia="zh-CN"/>
              </w:rPr>
              <w:t>西</w:t>
            </w:r>
            <w:r>
              <w:rPr>
                <w:rFonts w:hint="eastAsia"/>
                <w:lang w:val="zh-TW" w:eastAsia="zh-TW"/>
              </w:rPr>
              <w:t>低，地块呈</w:t>
            </w:r>
            <w:r>
              <w:rPr>
                <w:rFonts w:hint="eastAsia"/>
                <w:lang w:val="zh-TW" w:eastAsia="zh-CN"/>
              </w:rPr>
              <w:t>块</w:t>
            </w:r>
            <w:r>
              <w:rPr>
                <w:rFonts w:hint="eastAsia"/>
                <w:lang w:val="zh-TW" w:eastAsia="zh-TW"/>
              </w:rPr>
              <w:t>状</w:t>
            </w:r>
            <w:r>
              <w:rPr>
                <w:rFonts w:hint="eastAsia"/>
              </w:rPr>
              <w:t>，</w:t>
            </w:r>
            <w:r>
              <w:rPr>
                <w:rFonts w:hint="eastAsia"/>
                <w:lang w:eastAsia="zh-CN"/>
              </w:rPr>
              <w:t>项目区现状</w:t>
            </w:r>
            <w:r>
              <w:rPr>
                <w:rFonts w:hint="eastAsia"/>
              </w:rPr>
              <w:t>南西</w:t>
            </w:r>
            <w:r>
              <w:rPr>
                <w:rFonts w:hint="eastAsia"/>
                <w:lang w:eastAsia="zh-CN"/>
              </w:rPr>
              <w:t>东三</w:t>
            </w:r>
            <w:r>
              <w:rPr>
                <w:rFonts w:hint="eastAsia"/>
              </w:rPr>
              <w:t>面临城市道路，</w:t>
            </w:r>
            <w:r>
              <w:t>项目地块</w:t>
            </w:r>
            <w:r>
              <w:rPr>
                <w:rFonts w:hint="eastAsia"/>
                <w:lang w:eastAsia="zh-CN"/>
              </w:rPr>
              <w:t>南至</w:t>
            </w:r>
            <w:r>
              <w:t>北三环、</w:t>
            </w:r>
            <w:r>
              <w:rPr>
                <w:rFonts w:hint="eastAsia"/>
                <w:lang w:eastAsia="zh-CN"/>
              </w:rPr>
              <w:t>西至</w:t>
            </w:r>
            <w:r>
              <w:t>草桥路、</w:t>
            </w:r>
            <w:r>
              <w:rPr>
                <w:rFonts w:hint="eastAsia"/>
                <w:lang w:eastAsia="zh-CN"/>
              </w:rPr>
              <w:t>东至</w:t>
            </w:r>
            <w:r>
              <w:t>湘江北路。</w:t>
            </w:r>
            <w:r>
              <w:rPr>
                <w:rFonts w:hint="eastAsia"/>
                <w:lang w:eastAsia="zh-CN"/>
              </w:rPr>
              <w:t>项目区主入口为西面</w:t>
            </w:r>
            <w:r>
              <w:rPr>
                <w:rFonts w:hint="eastAsia"/>
              </w:rPr>
              <w:t>临</w:t>
            </w:r>
            <w:r>
              <w:rPr>
                <w:rFonts w:hint="eastAsia"/>
                <w:lang w:eastAsia="zh-CN"/>
              </w:rPr>
              <w:t>草桥路</w:t>
            </w:r>
            <w:r>
              <w:rPr>
                <w:rFonts w:hint="eastAsia"/>
              </w:rPr>
              <w:t>,</w:t>
            </w:r>
            <w:r>
              <w:rPr>
                <w:rFonts w:hint="eastAsia"/>
                <w:lang w:eastAsia="zh-CN"/>
              </w:rPr>
              <w:t>临时停车场位于西面临草桥路</w:t>
            </w:r>
            <w:r>
              <w:rPr>
                <w:rFonts w:hint="eastAsia"/>
              </w:rPr>
              <w:t>。</w:t>
            </w:r>
          </w:p>
          <w:p>
            <w:pPr>
              <w:pStyle w:val="22"/>
              <w:bidi w:val="0"/>
              <w:rPr>
                <w:rFonts w:hint="default"/>
                <w:szCs w:val="28"/>
                <w:lang w:val="en-US" w:eastAsia="zh-CN"/>
              </w:rPr>
            </w:pPr>
            <w:r>
              <w:t>主要游园流线从基地西北角的入口建筑进入，后勤流线从基地西北角的入口建筑两侧及基地东侧接入，园区内共设计了两道主环道，平时用于后勤环道和游客环路，可作为火灾时的消防通道使用。园区内每个分区的边界，均设计有联通两个环道的支路，也能够满足消防通道的要求。主要出入口距城市交叉路口大于</w:t>
            </w:r>
            <w:r>
              <w:rPr>
                <w:rFonts w:hint="eastAsia"/>
                <w:lang w:val="en-US" w:eastAsia="zh-CN"/>
              </w:rPr>
              <w:t>70</w:t>
            </w:r>
            <w:r>
              <w:t>米，满足规范要求。项目用地形状规整，用地西南角设计为停车场，东侧为综合配套用房及宿舍建筑，其余用地为乐园区。入口建筑布置在园区内西北角，造浪池布置在园区东南角，其它建筑均匀布置在园区内。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lang w:val="en-US" w:eastAsia="zh-CN"/>
              </w:rPr>
            </w:pPr>
            <w:r>
              <w:rPr>
                <w:rFonts w:hint="eastAsia"/>
                <w:lang w:val="en-US" w:eastAsia="zh-CN"/>
              </w:rPr>
              <w:t>施工方案</w:t>
            </w:r>
          </w:p>
        </w:tc>
        <w:tc>
          <w:tcPr>
            <w:tcW w:w="8859" w:type="dxa"/>
          </w:tcPr>
          <w:p>
            <w:pPr>
              <w:numPr>
                <w:ilvl w:val="0"/>
                <w:numId w:val="5"/>
              </w:numPr>
              <w:bidi w:val="0"/>
              <w:ind w:left="0" w:leftChars="0" w:firstLine="0" w:firstLineChars="0"/>
              <w:jc w:val="both"/>
              <w:rPr>
                <w:rFonts w:hint="eastAsia"/>
                <w:b/>
                <w:bCs/>
                <w:color w:val="auto"/>
                <w:lang w:val="en-US" w:eastAsia="zh-CN"/>
              </w:rPr>
            </w:pPr>
            <w:r>
              <w:rPr>
                <w:rFonts w:hint="eastAsia"/>
                <w:b/>
                <w:bCs/>
                <w:color w:val="auto"/>
                <w:lang w:val="en-US" w:eastAsia="zh-CN"/>
              </w:rPr>
              <w:t>施工方案</w:t>
            </w:r>
          </w:p>
          <w:p>
            <w:pPr>
              <w:pStyle w:val="8"/>
              <w:numPr>
                <w:ilvl w:val="1"/>
                <w:numId w:val="6"/>
              </w:numPr>
              <w:bidi w:val="0"/>
              <w:rPr>
                <w:rFonts w:hint="eastAsia"/>
                <w:color w:val="auto"/>
                <w:lang w:val="en-US" w:eastAsia="zh-CN"/>
              </w:rPr>
            </w:pPr>
            <w:r>
              <w:rPr>
                <w:rFonts w:hint="eastAsia"/>
                <w:color w:val="auto"/>
                <w:lang w:val="en-US" w:eastAsia="zh-CN"/>
              </w:rPr>
              <w:t>施工布置</w:t>
            </w:r>
          </w:p>
          <w:p>
            <w:pPr>
              <w:numPr>
                <w:ilvl w:val="0"/>
                <w:numId w:val="7"/>
              </w:numPr>
              <w:bidi w:val="0"/>
              <w:rPr>
                <w:rFonts w:hint="eastAsia"/>
                <w:color w:val="auto"/>
                <w:lang w:val="en-US" w:eastAsia="zh-CN"/>
              </w:rPr>
            </w:pPr>
            <w:r>
              <w:rPr>
                <w:rFonts w:hint="eastAsia"/>
                <w:color w:val="auto"/>
                <w:lang w:val="en-US" w:eastAsia="zh-CN"/>
              </w:rPr>
              <w:t>施工生产生活区</w:t>
            </w:r>
          </w:p>
          <w:p>
            <w:pPr>
              <w:bidi w:val="0"/>
              <w:rPr>
                <w:rFonts w:hint="eastAsia" w:eastAsia="宋体"/>
                <w:color w:val="auto"/>
                <w:lang w:eastAsia="zh-CN"/>
              </w:rPr>
            </w:pPr>
            <w:r>
              <w:rPr>
                <w:rFonts w:hint="eastAsia"/>
                <w:color w:val="auto"/>
                <w:highlight w:val="none"/>
                <w:lang w:eastAsia="zh-CN"/>
              </w:rPr>
              <w:t>本项目</w:t>
            </w:r>
            <w:r>
              <w:rPr>
                <w:color w:val="auto"/>
                <w:highlight w:val="none"/>
              </w:rPr>
              <w:t>所用砼均由商砼供应；占用场地较大的砼加工可不必设置</w:t>
            </w:r>
            <w:r>
              <w:rPr>
                <w:rFonts w:hint="eastAsia"/>
                <w:color w:val="auto"/>
                <w:highlight w:val="none"/>
                <w:lang w:eastAsia="zh-CN"/>
              </w:rPr>
              <w:t>。</w:t>
            </w:r>
            <w:r>
              <w:rPr>
                <w:rFonts w:hint="eastAsia"/>
                <w:color w:val="auto"/>
                <w:lang w:val="zh-TW" w:eastAsia="zh-TW"/>
              </w:rPr>
              <w:t>根据业主提供资料，建设单位</w:t>
            </w:r>
            <w:r>
              <w:rPr>
                <w:rFonts w:hint="eastAsia"/>
                <w:color w:val="auto"/>
                <w:lang w:val="zh-TW" w:eastAsia="zh-CN"/>
              </w:rPr>
              <w:t>施工期</w:t>
            </w:r>
            <w:r>
              <w:rPr>
                <w:rFonts w:hint="eastAsia"/>
                <w:color w:val="auto"/>
                <w:lang w:val="en-US" w:eastAsia="zh-CN"/>
              </w:rPr>
              <w:t>拟</w:t>
            </w:r>
            <w:r>
              <w:rPr>
                <w:rFonts w:hint="eastAsia"/>
                <w:color w:val="auto"/>
                <w:lang w:val="zh-TW" w:eastAsia="zh-TW"/>
              </w:rPr>
              <w:t>在场内</w:t>
            </w:r>
            <w:r>
              <w:rPr>
                <w:rFonts w:hint="eastAsia"/>
                <w:color w:val="auto"/>
                <w:lang w:val="zh-TW" w:eastAsia="zh-CN"/>
              </w:rPr>
              <w:t>西</w:t>
            </w:r>
            <w:r>
              <w:rPr>
                <w:rFonts w:hint="eastAsia"/>
                <w:color w:val="auto"/>
                <w:lang w:val="zh-TW" w:eastAsia="zh-TW"/>
              </w:rPr>
              <w:t>侧</w:t>
            </w:r>
            <w:r>
              <w:rPr>
                <w:rFonts w:hint="eastAsia"/>
                <w:color w:val="auto"/>
                <w:lang w:val="zh-TW" w:eastAsia="zh-CN"/>
              </w:rPr>
              <w:t>临时停车场内</w:t>
            </w:r>
            <w:r>
              <w:rPr>
                <w:rFonts w:hint="eastAsia"/>
                <w:color w:val="auto"/>
                <w:lang w:val="zh-TW" w:eastAsia="zh-TW"/>
              </w:rPr>
              <w:t>布设一处施工临建区，占地面积</w:t>
            </w:r>
            <w:r>
              <w:rPr>
                <w:rFonts w:hint="eastAsia"/>
                <w:color w:val="auto"/>
                <w:lang w:val="en-US" w:eastAsia="zh-CN"/>
              </w:rPr>
              <w:t>10</w:t>
            </w:r>
            <w:r>
              <w:rPr>
                <w:rFonts w:hint="default"/>
                <w:color w:val="auto"/>
                <w:lang w:val="en-US" w:eastAsia="en-US"/>
              </w:rPr>
              <w:t>00m</w:t>
            </w:r>
            <w:r>
              <w:rPr>
                <w:rFonts w:hint="default"/>
                <w:color w:val="auto"/>
                <w:vertAlign w:val="superscript"/>
                <w:lang w:val="en-US" w:eastAsia="en-US"/>
              </w:rPr>
              <w:t>2</w:t>
            </w:r>
            <w:r>
              <w:rPr>
                <w:rFonts w:hint="default"/>
                <w:color w:val="auto"/>
                <w:lang w:val="en-US" w:eastAsia="en-US"/>
              </w:rPr>
              <w:t>，</w:t>
            </w:r>
            <w:r>
              <w:rPr>
                <w:rFonts w:hint="eastAsia"/>
                <w:color w:val="auto"/>
                <w:lang w:val="zh-TW" w:eastAsia="zh-TW"/>
              </w:rPr>
              <w:t>主要用于机械材料堆放及现场办公，生活住宿租借周边民房。</w:t>
            </w:r>
            <w:r>
              <w:rPr>
                <w:rFonts w:hint="eastAsia"/>
                <w:color w:val="auto"/>
                <w:lang w:val="zh-TW" w:eastAsia="zh-CN"/>
              </w:rPr>
              <w:t>根据对施工日志的调查，施工临建区四周</w:t>
            </w:r>
            <w:r>
              <w:rPr>
                <w:rFonts w:hint="eastAsia"/>
                <w:color w:val="auto"/>
                <w:lang w:val="en-US" w:eastAsia="zh-CN"/>
              </w:rPr>
              <w:t>拟</w:t>
            </w:r>
            <w:r>
              <w:rPr>
                <w:rFonts w:hint="eastAsia"/>
                <w:color w:val="auto"/>
                <w:lang w:val="zh-TW" w:eastAsia="zh-CN"/>
              </w:rPr>
              <w:t>布设排水沟，排水沟末端</w:t>
            </w:r>
            <w:r>
              <w:rPr>
                <w:rFonts w:hint="eastAsia"/>
                <w:color w:val="auto"/>
                <w:lang w:val="en-US" w:eastAsia="zh-CN"/>
              </w:rPr>
              <w:t>拟</w:t>
            </w:r>
            <w:r>
              <w:rPr>
                <w:rFonts w:hint="eastAsia"/>
                <w:color w:val="auto"/>
                <w:lang w:val="zh-TW" w:eastAsia="zh-CN"/>
              </w:rPr>
              <w:t>设置沉沙池。</w:t>
            </w:r>
          </w:p>
          <w:p>
            <w:pPr>
              <w:bidi w:val="0"/>
              <w:rPr>
                <w:rFonts w:hint="eastAsia"/>
                <w:color w:val="auto"/>
                <w:lang w:val="zh-TW" w:eastAsia="zh-CN"/>
              </w:rPr>
            </w:pPr>
            <w:r>
              <w:rPr>
                <w:rFonts w:hint="eastAsia"/>
                <w:color w:val="auto"/>
                <w:lang w:val="zh-TW" w:eastAsia="zh-TW"/>
              </w:rPr>
              <w:t>施工单位</w:t>
            </w:r>
            <w:r>
              <w:rPr>
                <w:rFonts w:hint="eastAsia"/>
                <w:color w:val="auto"/>
                <w:lang w:val="en-US" w:eastAsia="zh-CN"/>
              </w:rPr>
              <w:t>拟</w:t>
            </w:r>
            <w:r>
              <w:rPr>
                <w:rFonts w:hint="eastAsia"/>
                <w:color w:val="auto"/>
                <w:lang w:val="zh-TW" w:eastAsia="zh-TW"/>
              </w:rPr>
              <w:t>在红线内布设</w:t>
            </w:r>
            <w:r>
              <w:rPr>
                <w:rFonts w:hint="eastAsia"/>
                <w:color w:val="auto"/>
                <w:lang w:val="en-US" w:eastAsia="zh-CN"/>
              </w:rPr>
              <w:t>3</w:t>
            </w:r>
            <w:r>
              <w:rPr>
                <w:rFonts w:hint="eastAsia"/>
                <w:color w:val="auto"/>
                <w:lang w:val="zh-TW" w:eastAsia="zh-TW"/>
              </w:rPr>
              <w:t>处临时堆土场，占地面积</w:t>
            </w:r>
            <w:r>
              <w:rPr>
                <w:rFonts w:hint="eastAsia"/>
                <w:color w:val="auto"/>
                <w:lang w:val="en-US" w:eastAsia="zh-CN"/>
              </w:rPr>
              <w:t>1.333h</w:t>
            </w:r>
            <w:r>
              <w:rPr>
                <w:rFonts w:hint="default"/>
                <w:color w:val="auto"/>
                <w:lang w:val="en-US" w:eastAsia="en-US"/>
              </w:rPr>
              <w:t>m</w:t>
            </w:r>
            <w:r>
              <w:rPr>
                <w:rFonts w:hint="default"/>
                <w:color w:val="auto"/>
                <w:vertAlign w:val="superscript"/>
                <w:lang w:val="en-US" w:eastAsia="en-US"/>
              </w:rPr>
              <w:t>2</w:t>
            </w:r>
            <w:r>
              <w:rPr>
                <w:rFonts w:hint="default"/>
                <w:color w:val="auto"/>
                <w:lang w:val="en-US" w:eastAsia="en-US"/>
              </w:rPr>
              <w:t>，</w:t>
            </w:r>
            <w:r>
              <w:rPr>
                <w:rFonts w:hint="eastAsia"/>
                <w:color w:val="auto"/>
                <w:lang w:val="zh-TW" w:eastAsia="zh-TW"/>
              </w:rPr>
              <w:t>相对地坪堆高</w:t>
            </w:r>
            <w:r>
              <w:rPr>
                <w:rFonts w:hint="default"/>
                <w:color w:val="auto"/>
                <w:lang w:val="en-US" w:eastAsia="en-US"/>
              </w:rPr>
              <w:t>2.5m，</w:t>
            </w:r>
            <w:r>
              <w:rPr>
                <w:rFonts w:hint="eastAsia"/>
                <w:color w:val="auto"/>
                <w:lang w:val="zh-TW" w:eastAsia="zh-TW"/>
              </w:rPr>
              <w:t>可容纳土方</w:t>
            </w:r>
            <w:r>
              <w:rPr>
                <w:rFonts w:hint="eastAsia"/>
                <w:color w:val="auto"/>
                <w:lang w:val="en-US" w:eastAsia="zh-CN"/>
              </w:rPr>
              <w:t>3.33</w:t>
            </w:r>
            <w:r>
              <w:rPr>
                <w:rFonts w:hint="eastAsia"/>
                <w:color w:val="auto"/>
                <w:lang w:val="zh-TW" w:eastAsia="zh-TW"/>
              </w:rPr>
              <w:t>万</w:t>
            </w:r>
            <w:r>
              <w:rPr>
                <w:rFonts w:hint="default"/>
                <w:color w:val="auto"/>
                <w:lang w:val="en-US" w:eastAsia="en-US"/>
              </w:rPr>
              <w:t>m</w:t>
            </w:r>
            <w:r>
              <w:rPr>
                <w:rFonts w:hint="default"/>
                <w:color w:val="auto"/>
                <w:vertAlign w:val="superscript"/>
                <w:lang w:val="en-US" w:eastAsia="en-US"/>
              </w:rPr>
              <w:t>3</w:t>
            </w:r>
            <w:r>
              <w:rPr>
                <w:rFonts w:hint="default"/>
                <w:color w:val="auto"/>
                <w:lang w:val="en-US" w:eastAsia="en-US"/>
              </w:rPr>
              <w:t>，</w:t>
            </w:r>
            <w:r>
              <w:rPr>
                <w:rFonts w:hint="eastAsia"/>
                <w:color w:val="auto"/>
                <w:lang w:val="zh-TW" w:eastAsia="zh-TW"/>
              </w:rPr>
              <w:t>用作场内剥离表土</w:t>
            </w:r>
            <w:r>
              <w:rPr>
                <w:rFonts w:hint="eastAsia"/>
                <w:color w:val="auto"/>
                <w:lang w:val="zh-TW" w:eastAsia="zh-CN"/>
              </w:rPr>
              <w:t>及软土</w:t>
            </w:r>
            <w:r>
              <w:rPr>
                <w:rFonts w:hint="eastAsia"/>
                <w:color w:val="auto"/>
                <w:lang w:val="zh-TW" w:eastAsia="zh-TW"/>
              </w:rPr>
              <w:t>临时堆放</w:t>
            </w:r>
            <w:r>
              <w:rPr>
                <w:rFonts w:hint="eastAsia"/>
                <w:color w:val="auto"/>
                <w:lang w:val="zh-TW" w:eastAsia="zh-CN"/>
              </w:rPr>
              <w:t>，临时堆土区采用了覆盖、拦挡、排水等措施，临时堆土区表土及软土</w:t>
            </w:r>
            <w:r>
              <w:rPr>
                <w:rFonts w:hint="eastAsia"/>
                <w:color w:val="auto"/>
                <w:lang w:val="en-US" w:eastAsia="zh-CN"/>
              </w:rPr>
              <w:t>拟</w:t>
            </w:r>
            <w:r>
              <w:rPr>
                <w:rFonts w:hint="eastAsia"/>
                <w:color w:val="auto"/>
                <w:lang w:val="zh-TW" w:eastAsia="zh-CN"/>
              </w:rPr>
              <w:t>用于绿化敷土。</w:t>
            </w:r>
          </w:p>
          <w:p>
            <w:pPr>
              <w:numPr>
                <w:ilvl w:val="0"/>
                <w:numId w:val="7"/>
              </w:numPr>
              <w:bidi w:val="0"/>
              <w:ind w:left="0" w:leftChars="0" w:firstLine="480" w:firstLineChars="200"/>
              <w:rPr>
                <w:rFonts w:hint="eastAsia"/>
                <w:color w:val="auto"/>
                <w:lang w:val="en-US" w:eastAsia="zh-CN"/>
              </w:rPr>
            </w:pPr>
            <w:r>
              <w:rPr>
                <w:rFonts w:hint="eastAsia"/>
                <w:color w:val="auto"/>
                <w:lang w:val="en-US" w:eastAsia="zh-CN"/>
              </w:rPr>
              <w:t>临时堆土区</w:t>
            </w:r>
          </w:p>
          <w:p>
            <w:pPr>
              <w:bidi w:val="0"/>
              <w:rPr>
                <w:rFonts w:hint="eastAsia"/>
                <w:color w:val="auto"/>
              </w:rPr>
            </w:pPr>
            <w:r>
              <w:rPr>
                <w:rFonts w:hint="eastAsia"/>
                <w:color w:val="auto"/>
                <w:lang w:val="en-US" w:eastAsia="zh-CN"/>
              </w:rPr>
              <w:t>①</w:t>
            </w:r>
            <w:r>
              <w:rPr>
                <w:color w:val="auto"/>
              </w:rPr>
              <w:t>表土堆放区</w:t>
            </w:r>
            <w:r>
              <w:rPr>
                <w:rFonts w:hint="eastAsia"/>
                <w:color w:val="auto"/>
                <w:lang w:eastAsia="zh-CN"/>
              </w:rPr>
              <w:t>：</w:t>
            </w:r>
            <w:r>
              <w:rPr>
                <w:color w:val="auto"/>
              </w:rPr>
              <w:t>为保护表土资源，在</w:t>
            </w:r>
            <w:r>
              <w:rPr>
                <w:rFonts w:hint="eastAsia"/>
                <w:color w:val="auto"/>
                <w:lang w:eastAsia="zh-CN"/>
              </w:rPr>
              <w:t>场地平整</w:t>
            </w:r>
            <w:r>
              <w:rPr>
                <w:color w:val="auto"/>
              </w:rPr>
              <w:t>前对</w:t>
            </w:r>
            <w:r>
              <w:rPr>
                <w:rFonts w:hint="eastAsia"/>
                <w:color w:val="auto"/>
                <w:lang w:eastAsia="zh-CN"/>
              </w:rPr>
              <w:t>园地</w:t>
            </w:r>
            <w:r>
              <w:rPr>
                <w:color w:val="auto"/>
              </w:rPr>
              <w:t>表土进行剥离</w:t>
            </w:r>
            <w:r>
              <w:rPr>
                <w:rFonts w:hint="eastAsia"/>
                <w:color w:val="auto"/>
              </w:rPr>
              <w:t>，</w:t>
            </w:r>
            <w:r>
              <w:rPr>
                <w:color w:val="auto"/>
              </w:rPr>
              <w:t>并在</w:t>
            </w:r>
            <w:r>
              <w:rPr>
                <w:rFonts w:hint="eastAsia"/>
                <w:color w:val="auto"/>
                <w:lang w:eastAsia="zh-CN"/>
              </w:rPr>
              <w:t>本项目</w:t>
            </w:r>
            <w:r>
              <w:rPr>
                <w:color w:val="auto"/>
              </w:rPr>
              <w:t>区</w:t>
            </w:r>
            <w:r>
              <w:rPr>
                <w:rFonts w:hint="eastAsia"/>
                <w:color w:val="auto"/>
                <w:lang w:eastAsia="zh-CN"/>
              </w:rPr>
              <w:t>南</w:t>
            </w:r>
            <w:r>
              <w:rPr>
                <w:rFonts w:hint="eastAsia"/>
                <w:color w:val="auto"/>
              </w:rPr>
              <w:t>面</w:t>
            </w:r>
            <w:r>
              <w:rPr>
                <w:rFonts w:hint="eastAsia"/>
                <w:color w:val="auto"/>
                <w:lang w:eastAsia="zh-CN"/>
              </w:rPr>
              <w:t>停车场用地及绿化用地</w:t>
            </w:r>
            <w:r>
              <w:rPr>
                <w:rFonts w:hint="eastAsia"/>
                <w:color w:val="auto"/>
                <w:lang w:val="en-US" w:eastAsia="zh-CN"/>
              </w:rPr>
              <w:t>拟</w:t>
            </w:r>
            <w:r>
              <w:rPr>
                <w:color w:val="auto"/>
              </w:rPr>
              <w:t>设置一处用于表土临时堆放，用于表土临时堆土区面积为0.</w:t>
            </w:r>
            <w:r>
              <w:rPr>
                <w:rFonts w:hint="eastAsia"/>
                <w:color w:val="auto"/>
                <w:lang w:val="en-US" w:eastAsia="zh-CN"/>
              </w:rPr>
              <w:t>794</w:t>
            </w:r>
            <w:r>
              <w:rPr>
                <w:color w:val="auto"/>
              </w:rPr>
              <w:t>hm</w:t>
            </w:r>
            <w:r>
              <w:rPr>
                <w:color w:val="auto"/>
                <w:vertAlign w:val="superscript"/>
              </w:rPr>
              <w:t>2</w:t>
            </w:r>
            <w:r>
              <w:rPr>
                <w:rFonts w:hint="eastAsia"/>
                <w:color w:val="auto"/>
              </w:rPr>
              <w:t>。</w:t>
            </w:r>
          </w:p>
          <w:p>
            <w:pPr>
              <w:bidi w:val="0"/>
              <w:rPr>
                <w:rFonts w:hint="eastAsia"/>
                <w:color w:val="auto"/>
              </w:rPr>
            </w:pPr>
            <w:r>
              <w:rPr>
                <w:rFonts w:hint="eastAsia"/>
                <w:color w:val="auto"/>
                <w:lang w:val="en-US" w:eastAsia="zh-CN"/>
              </w:rPr>
              <w:t>②</w:t>
            </w:r>
            <w:r>
              <w:rPr>
                <w:rFonts w:hint="eastAsia"/>
                <w:color w:val="auto"/>
                <w:lang w:eastAsia="zh-CN"/>
              </w:rPr>
              <w:t>软土堆置区：项目区内有水塘</w:t>
            </w:r>
            <w:r>
              <w:rPr>
                <w:rFonts w:hint="eastAsia"/>
                <w:color w:val="auto"/>
                <w:lang w:val="en-US" w:eastAsia="zh-CN"/>
              </w:rPr>
              <w:t>16</w:t>
            </w:r>
            <w:r>
              <w:rPr>
                <w:rFonts w:hint="eastAsia"/>
                <w:color w:val="auto"/>
                <w:lang w:eastAsia="zh-CN"/>
              </w:rPr>
              <w:t>处</w:t>
            </w:r>
            <w:r>
              <w:rPr>
                <w:color w:val="auto"/>
              </w:rPr>
              <w:t>在</w:t>
            </w:r>
            <w:r>
              <w:rPr>
                <w:rFonts w:hint="eastAsia"/>
                <w:color w:val="auto"/>
                <w:lang w:eastAsia="zh-CN"/>
              </w:rPr>
              <w:t>场地平整</w:t>
            </w:r>
            <w:r>
              <w:rPr>
                <w:color w:val="auto"/>
              </w:rPr>
              <w:t>前对</w:t>
            </w:r>
            <w:r>
              <w:rPr>
                <w:rFonts w:hint="eastAsia"/>
                <w:color w:val="auto"/>
                <w:lang w:eastAsia="zh-CN"/>
              </w:rPr>
              <w:t>水塘</w:t>
            </w:r>
            <w:r>
              <w:rPr>
                <w:color w:val="auto"/>
              </w:rPr>
              <w:t>进行</w:t>
            </w:r>
            <w:r>
              <w:rPr>
                <w:rFonts w:hint="eastAsia"/>
                <w:color w:val="auto"/>
                <w:lang w:eastAsia="zh-CN"/>
              </w:rPr>
              <w:t>清基</w:t>
            </w:r>
            <w:r>
              <w:rPr>
                <w:rFonts w:hint="eastAsia"/>
                <w:color w:val="auto"/>
              </w:rPr>
              <w:t>，</w:t>
            </w:r>
            <w:r>
              <w:rPr>
                <w:rFonts w:hint="eastAsia"/>
                <w:color w:val="auto"/>
                <w:lang w:eastAsia="zh-CN"/>
              </w:rPr>
              <w:t>清除的软土经晒干后堆置</w:t>
            </w:r>
            <w:r>
              <w:rPr>
                <w:color w:val="auto"/>
              </w:rPr>
              <w:t>在</w:t>
            </w:r>
            <w:r>
              <w:rPr>
                <w:rFonts w:hint="eastAsia"/>
                <w:color w:val="auto"/>
                <w:lang w:eastAsia="zh-CN"/>
              </w:rPr>
              <w:t>本项目</w:t>
            </w:r>
            <w:r>
              <w:rPr>
                <w:color w:val="auto"/>
              </w:rPr>
              <w:t>区</w:t>
            </w:r>
            <w:r>
              <w:rPr>
                <w:rFonts w:hint="eastAsia"/>
                <w:color w:val="auto"/>
                <w:lang w:eastAsia="zh-CN"/>
              </w:rPr>
              <w:t>西南</w:t>
            </w:r>
            <w:r>
              <w:rPr>
                <w:rFonts w:hint="eastAsia"/>
                <w:color w:val="auto"/>
              </w:rPr>
              <w:t>面</w:t>
            </w:r>
            <w:r>
              <w:rPr>
                <w:rFonts w:hint="eastAsia"/>
                <w:color w:val="auto"/>
                <w:lang w:eastAsia="zh-CN"/>
              </w:rPr>
              <w:t>停车场用地，后期用于绿化敷土。</w:t>
            </w:r>
            <w:r>
              <w:rPr>
                <w:color w:val="auto"/>
              </w:rPr>
              <w:t>用于</w:t>
            </w:r>
            <w:r>
              <w:rPr>
                <w:rFonts w:hint="eastAsia"/>
                <w:color w:val="auto"/>
                <w:lang w:eastAsia="zh-CN"/>
              </w:rPr>
              <w:t>软土</w:t>
            </w:r>
            <w:r>
              <w:rPr>
                <w:color w:val="auto"/>
              </w:rPr>
              <w:t>临时堆土区面积为0.</w:t>
            </w:r>
            <w:r>
              <w:rPr>
                <w:rFonts w:hint="eastAsia"/>
                <w:color w:val="auto"/>
                <w:lang w:val="en-US" w:eastAsia="zh-CN"/>
              </w:rPr>
              <w:t>54</w:t>
            </w:r>
            <w:r>
              <w:rPr>
                <w:color w:val="auto"/>
              </w:rPr>
              <w:t>hm</w:t>
            </w:r>
            <w:r>
              <w:rPr>
                <w:color w:val="auto"/>
                <w:vertAlign w:val="superscript"/>
              </w:rPr>
              <w:t>2</w:t>
            </w:r>
            <w:r>
              <w:rPr>
                <w:rFonts w:hint="eastAsia"/>
                <w:color w:val="auto"/>
              </w:rPr>
              <w:t>。</w:t>
            </w:r>
          </w:p>
          <w:p>
            <w:pPr>
              <w:bidi w:val="0"/>
              <w:rPr>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color w:val="auto"/>
              </w:rPr>
              <w:t>洗车系统</w:t>
            </w:r>
          </w:p>
          <w:p>
            <w:pPr>
              <w:bidi w:val="0"/>
              <w:rPr>
                <w:rFonts w:hint="default"/>
                <w:color w:val="auto"/>
                <w:lang w:val="en-US" w:eastAsia="zh-CN"/>
              </w:rPr>
            </w:pPr>
            <w:r>
              <w:rPr>
                <w:color w:val="auto"/>
              </w:rPr>
              <w:t>主体工程沿项目区红线</w:t>
            </w:r>
            <w:r>
              <w:rPr>
                <w:rFonts w:hint="eastAsia"/>
                <w:color w:val="auto"/>
                <w:lang w:val="en-US" w:eastAsia="zh-CN"/>
              </w:rPr>
              <w:t>拟</w:t>
            </w:r>
            <w:r>
              <w:rPr>
                <w:color w:val="auto"/>
              </w:rPr>
              <w:t>设计施工围栏，实行封闭式施工。为了最大限度减少水土流失、降低对周边城市环境造成的影响，在工程</w:t>
            </w:r>
            <w:r>
              <w:rPr>
                <w:rFonts w:hint="eastAsia"/>
                <w:color w:val="auto"/>
              </w:rPr>
              <w:t>西</w:t>
            </w:r>
            <w:r>
              <w:rPr>
                <w:color w:val="auto"/>
              </w:rPr>
              <w:t>面施工车辆出入口</w:t>
            </w:r>
            <w:r>
              <w:rPr>
                <w:rFonts w:hint="eastAsia"/>
                <w:color w:val="auto"/>
                <w:lang w:val="en-US" w:eastAsia="zh-CN"/>
              </w:rPr>
              <w:t>拟</w:t>
            </w:r>
            <w:r>
              <w:rPr>
                <w:color w:val="auto"/>
              </w:rPr>
              <w:t>设置洗车系统，设计</w:t>
            </w:r>
            <w:r>
              <w:rPr>
                <w:rFonts w:hint="eastAsia"/>
                <w:color w:val="auto"/>
              </w:rPr>
              <w:t>洗车池</w:t>
            </w:r>
            <w:r>
              <w:rPr>
                <w:color w:val="auto"/>
              </w:rPr>
              <w:t>及配1套沉淀池，用以洗净轮胎上的泥土。</w:t>
            </w:r>
          </w:p>
          <w:p>
            <w:pPr>
              <w:pStyle w:val="8"/>
              <w:bidi w:val="0"/>
              <w:rPr>
                <w:rFonts w:hint="eastAsia"/>
                <w:color w:val="auto"/>
                <w:lang w:val="en-US" w:eastAsia="zh-CN"/>
              </w:rPr>
            </w:pPr>
            <w:r>
              <w:rPr>
                <w:rFonts w:hint="eastAsia"/>
                <w:color w:val="auto"/>
                <w:lang w:val="en-US" w:eastAsia="zh-CN"/>
              </w:rPr>
              <w:t>1.2、施工方法与工艺</w:t>
            </w:r>
          </w:p>
          <w:p>
            <w:pPr>
              <w:bidi w:val="0"/>
              <w:rPr>
                <w:rFonts w:hint="eastAsia"/>
                <w:color w:val="auto"/>
                <w:lang w:val="en-US" w:eastAsia="zh-CN"/>
              </w:rPr>
            </w:pPr>
            <w:r>
              <w:rPr>
                <w:rFonts w:hint="eastAsia"/>
                <w:color w:val="auto"/>
                <w:lang w:val="en-US" w:eastAsia="zh-CN"/>
              </w:rPr>
              <w:t>（1）场地平整与基础开挖</w:t>
            </w:r>
          </w:p>
          <w:p>
            <w:pPr>
              <w:ind w:firstLine="480"/>
              <w:rPr>
                <w:color w:val="auto"/>
                <w:highlight w:val="none"/>
              </w:rPr>
            </w:pPr>
            <w:r>
              <w:rPr>
                <w:color w:val="auto"/>
                <w:highlight w:val="none"/>
              </w:rPr>
              <w:t>本项目施工期工艺流程基本可分为：基础工程施工、布置管线、结构主体工程施工、配套设施施工、装饰工程施工、绿化工程、竣工验收等，详见图2。</w:t>
            </w:r>
          </w:p>
          <w:p>
            <w:pPr>
              <w:bidi w:val="0"/>
              <w:ind w:left="0" w:leftChars="0" w:firstLine="0" w:firstLineChars="0"/>
              <w:rPr>
                <w:rFonts w:eastAsia="仿宋"/>
                <w:color w:val="auto"/>
                <w:position w:val="2"/>
                <w:highlight w:val="none"/>
              </w:rPr>
            </w:pPr>
            <w:r>
              <w:rPr>
                <w:rFonts w:eastAsia="仿宋"/>
                <w:color w:val="auto"/>
                <w:position w:val="2"/>
                <w:highlight w:val="none"/>
              </w:rPr>
              <w:drawing>
                <wp:inline distT="0" distB="0" distL="114300" distR="114300">
                  <wp:extent cx="5495925" cy="1125220"/>
                  <wp:effectExtent l="0" t="0" r="9525" b="1778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24"/>
                          <a:stretch>
                            <a:fillRect/>
                          </a:stretch>
                        </pic:blipFill>
                        <pic:spPr>
                          <a:xfrm>
                            <a:off x="0" y="0"/>
                            <a:ext cx="5495925" cy="1125220"/>
                          </a:xfrm>
                          <a:prstGeom prst="rect">
                            <a:avLst/>
                          </a:prstGeom>
                          <a:solidFill>
                            <a:srgbClr val="D8D8D8"/>
                          </a:solidFill>
                          <a:ln>
                            <a:noFill/>
                          </a:ln>
                        </pic:spPr>
                      </pic:pic>
                    </a:graphicData>
                  </a:graphic>
                </wp:inline>
              </w:drawing>
            </w:r>
          </w:p>
          <w:p>
            <w:pPr>
              <w:pStyle w:val="18"/>
              <w:bidi w:val="0"/>
              <w:rPr>
                <w:rFonts w:hint="eastAsia"/>
                <w:color w:val="auto"/>
                <w:lang w:val="en-US" w:eastAsia="zh-CN"/>
              </w:rPr>
            </w:pPr>
            <w:r>
              <w:rPr>
                <w:rFonts w:hint="eastAsia"/>
                <w:color w:val="auto"/>
                <w:lang w:val="en-US" w:eastAsia="zh-CN"/>
              </w:rPr>
              <w:t>图2 项目施工工艺流程图</w:t>
            </w:r>
          </w:p>
          <w:p>
            <w:pPr>
              <w:bidi w:val="0"/>
              <w:rPr>
                <w:color w:val="auto"/>
              </w:rPr>
            </w:pPr>
            <w:r>
              <w:rPr>
                <w:rFonts w:hint="eastAsia"/>
                <w:color w:val="auto"/>
                <w:lang w:val="en-US" w:eastAsia="zh-CN"/>
              </w:rPr>
              <w:t>①</w:t>
            </w:r>
            <w:r>
              <w:rPr>
                <w:color w:val="auto"/>
              </w:rPr>
              <w:t>开挖施工</w:t>
            </w:r>
          </w:p>
          <w:p>
            <w:pPr>
              <w:ind w:firstLine="480"/>
              <w:rPr>
                <w:color w:val="auto"/>
                <w:highlight w:val="none"/>
              </w:rPr>
            </w:pPr>
            <w:r>
              <w:rPr>
                <w:color w:val="auto"/>
                <w:highlight w:val="none"/>
              </w:rPr>
              <w:t>本项目土石方施工以机械化施工为主，辅以人工。采用挖掘机或装载机开挖，配合自卸汽车运输，开挖自上而下。一般土石方开挖前，在已硬化区域需新建建筑位置处，先用破碎机对硬化地面进行破碎，由挖掘机开挖进行外运。一般土石方采用1m</w:t>
            </w:r>
            <w:r>
              <w:rPr>
                <w:color w:val="auto"/>
                <w:highlight w:val="none"/>
                <w:vertAlign w:val="superscript"/>
              </w:rPr>
              <w:t>3</w:t>
            </w:r>
            <w:r>
              <w:rPr>
                <w:color w:val="auto"/>
                <w:highlight w:val="none"/>
              </w:rPr>
              <w:t>反铲挖掘机开挖，挖方和填方同步进行，尽量做到随挖、随运、随填。</w:t>
            </w:r>
          </w:p>
          <w:p>
            <w:pPr>
              <w:ind w:firstLine="480"/>
              <w:rPr>
                <w:color w:val="auto"/>
                <w:highlight w:val="none"/>
              </w:rPr>
            </w:pPr>
            <w:r>
              <w:rPr>
                <w:color w:val="auto"/>
                <w:highlight w:val="none"/>
              </w:rPr>
              <w:t>基坑和沟槽采用1m</w:t>
            </w:r>
            <w:r>
              <w:rPr>
                <w:color w:val="auto"/>
                <w:highlight w:val="none"/>
                <w:vertAlign w:val="superscript"/>
              </w:rPr>
              <w:t>3</w:t>
            </w:r>
            <w:r>
              <w:rPr>
                <w:color w:val="auto"/>
                <w:highlight w:val="none"/>
              </w:rPr>
              <w:t>反铲挖掘机开挖并辅以人工挖掘，基坑和沟槽周围地面距开挖边线2m左右，结合主体工程设计时的永久排水沟和沉砂池，增设一定数量的临时排水沟和沉砂池，防止雨水渗入，以保证边坡稳定范围内无积水。在基坑和沟槽边缘临时堆土及移动机械时应与基坑或沟槽边缘保持1m以上的距离，基坑边应施工成反坡，保证地面雨水不进入到基坑中。</w:t>
            </w:r>
          </w:p>
          <w:p>
            <w:pPr>
              <w:ind w:firstLine="480"/>
              <w:rPr>
                <w:color w:val="auto"/>
                <w:highlight w:val="none"/>
              </w:rPr>
            </w:pPr>
            <w:r>
              <w:rPr>
                <w:rFonts w:hint="eastAsia"/>
                <w:color w:val="auto"/>
                <w:highlight w:val="none"/>
                <w:lang w:val="en-US" w:eastAsia="zh-CN"/>
              </w:rPr>
              <w:t>②</w:t>
            </w:r>
            <w:r>
              <w:rPr>
                <w:color w:val="auto"/>
                <w:highlight w:val="none"/>
              </w:rPr>
              <w:t>填筑施工</w:t>
            </w:r>
          </w:p>
          <w:p>
            <w:pPr>
              <w:ind w:firstLine="480"/>
              <w:rPr>
                <w:color w:val="auto"/>
                <w:highlight w:val="none"/>
              </w:rPr>
            </w:pPr>
            <w:r>
              <w:rPr>
                <w:color w:val="auto"/>
                <w:highlight w:val="none"/>
              </w:rPr>
              <w:t>填筑施工的工艺流程为：施工准备→基底处理→分层填筑摊铺整平→洒水或翻晒→机械碾压→面层修整。土方填筑前，先对填筑场地进行测量放样，清除不适宜材料。分层填筑每层压实前松铺厚度不大于30cm，且不小于10cm。自卸汽车从挖方区将土方运至填方区，由推土机把卸下的土推平。根据现场监测的含水量，与最佳含水量对比，需对填料进行翻松晾晒或洒水，待达到合格含水量后，进行整平碾压。填料含水量控制在最佳含水量±2%之内。采用振动压路机进行碾压施工，碾压时，振动压路机从低到高，从边到中，适当重叠碾压。先预压一遍，以提高压实层上部的压实度，然后用推土机修平后再碾压，以防止高低不平影响碾压效果，一般碾压6</w:t>
            </w:r>
            <w:r>
              <w:rPr>
                <w:rFonts w:hint="eastAsia"/>
                <w:color w:val="auto"/>
                <w:highlight w:val="none"/>
                <w:lang w:val="en-US" w:eastAsia="zh-CN"/>
              </w:rPr>
              <w:t>~</w:t>
            </w:r>
            <w:r>
              <w:rPr>
                <w:color w:val="auto"/>
                <w:highlight w:val="none"/>
              </w:rPr>
              <w:t>8遍。经检测合格后，方能进行上一层的填筑。</w:t>
            </w:r>
          </w:p>
          <w:p>
            <w:pPr>
              <w:ind w:firstLine="480"/>
              <w:rPr>
                <w:color w:val="auto"/>
                <w:highlight w:val="none"/>
              </w:rPr>
            </w:pPr>
            <w:r>
              <w:rPr>
                <w:color w:val="auto"/>
                <w:highlight w:val="none"/>
              </w:rPr>
              <w:t>绿化区部分的土方可一次性回填至设计高度，可不采取分层碾压，需要对表面土进行翻松破碎，同时洒水，以利于植物的栽种。</w:t>
            </w:r>
          </w:p>
          <w:p>
            <w:pPr>
              <w:bidi w:val="0"/>
              <w:rPr>
                <w:color w:val="auto"/>
              </w:rPr>
            </w:pPr>
            <w:r>
              <w:rPr>
                <w:rFonts w:hint="eastAsia"/>
                <w:color w:val="auto"/>
                <w:lang w:val="en-US" w:eastAsia="zh-CN"/>
              </w:rPr>
              <w:t>（2）</w:t>
            </w:r>
            <w:r>
              <w:rPr>
                <w:color w:val="auto"/>
              </w:rPr>
              <w:t>管线施工</w:t>
            </w:r>
          </w:p>
          <w:p>
            <w:pPr>
              <w:bidi w:val="0"/>
              <w:rPr>
                <w:color w:val="auto"/>
              </w:rPr>
            </w:pPr>
            <w:r>
              <w:rPr>
                <w:color w:val="auto"/>
              </w:rPr>
              <w:t>本项目管线包括给水、雨水排水和污水排水管线，电力、电信管沟等。管线工程施工堆土采取边挖边装边运，机械开挖，地下铺设，人工回填。</w:t>
            </w:r>
          </w:p>
          <w:p>
            <w:pPr>
              <w:bidi w:val="0"/>
              <w:rPr>
                <w:color w:val="auto"/>
              </w:rPr>
            </w:pPr>
            <w:r>
              <w:rPr>
                <w:rFonts w:hint="eastAsia"/>
                <w:color w:val="auto"/>
                <w:lang w:val="en-US" w:eastAsia="zh-CN"/>
              </w:rPr>
              <w:t>（3）</w:t>
            </w:r>
            <w:r>
              <w:rPr>
                <w:rFonts w:hint="eastAsia"/>
                <w:color w:val="auto"/>
              </w:rPr>
              <w:t>施工围蔽及施工期排水</w:t>
            </w:r>
          </w:p>
          <w:p>
            <w:pPr>
              <w:bidi w:val="0"/>
              <w:rPr>
                <w:color w:val="auto"/>
              </w:rPr>
            </w:pPr>
            <w:r>
              <w:rPr>
                <w:color w:val="auto"/>
              </w:rPr>
              <w:t>根据城市管理的有关要求，对施工现场四周设置连续、封闭的围挡。围蔽四周设置排水沟，保证畅通排水。</w:t>
            </w:r>
          </w:p>
          <w:p>
            <w:pPr>
              <w:bidi w:val="0"/>
              <w:rPr>
                <w:color w:val="auto"/>
              </w:rPr>
            </w:pPr>
            <w:r>
              <w:rPr>
                <w:rFonts w:hint="eastAsia"/>
                <w:color w:val="auto"/>
                <w:lang w:val="en-US" w:eastAsia="zh-CN"/>
              </w:rPr>
              <w:t>（4）</w:t>
            </w:r>
            <w:r>
              <w:rPr>
                <w:color w:val="auto"/>
              </w:rPr>
              <w:t>表土剥离</w:t>
            </w:r>
          </w:p>
          <w:p>
            <w:pPr>
              <w:bidi w:val="0"/>
              <w:rPr>
                <w:color w:val="auto"/>
              </w:rPr>
            </w:pPr>
            <w:r>
              <w:rPr>
                <w:color w:val="auto"/>
              </w:rPr>
              <w:t>为达到工程施工要求，同时为更合理地利用表土资源，在施工前，</w:t>
            </w:r>
            <w:r>
              <w:rPr>
                <w:rFonts w:hint="eastAsia"/>
                <w:color w:val="auto"/>
                <w:lang w:val="en-US" w:eastAsia="zh-CN"/>
              </w:rPr>
              <w:t>需</w:t>
            </w:r>
            <w:r>
              <w:rPr>
                <w:color w:val="auto"/>
              </w:rPr>
              <w:t>对主体工程占地范围内表进行表层腐殖土的剥离。即在人工清理完地面草木及石砾等杂物后，采用以装载机为主、人工为辅的施工形式，对地表以下10</w:t>
            </w:r>
            <w:r>
              <w:rPr>
                <w:rFonts w:hint="eastAsia"/>
                <w:color w:val="auto"/>
                <w:lang w:val="en-US" w:eastAsia="zh-CN"/>
              </w:rPr>
              <w:t>~</w:t>
            </w:r>
            <w:r>
              <w:rPr>
                <w:color w:val="auto"/>
              </w:rPr>
              <w:t>50cm深度范围内腐殖土进行挖除，并去除较大的残根、石块，表土剥离后堆置于临时堆土区，临时堆土完成后，周围采取临时排水、沉砂措施，必要时土体表面采用盖土网临时铺盖和播撒草籽。</w:t>
            </w:r>
          </w:p>
          <w:p>
            <w:pPr>
              <w:bidi w:val="0"/>
              <w:rPr>
                <w:color w:val="auto"/>
              </w:rPr>
            </w:pPr>
            <w:r>
              <w:rPr>
                <w:rFonts w:hint="eastAsia"/>
                <w:color w:val="auto"/>
                <w:lang w:val="en-US" w:eastAsia="zh-CN"/>
              </w:rPr>
              <w:t>（5）</w:t>
            </w:r>
            <w:r>
              <w:rPr>
                <w:color w:val="auto"/>
              </w:rPr>
              <w:t>绿化施工</w:t>
            </w:r>
          </w:p>
          <w:p>
            <w:pPr>
              <w:ind w:firstLine="480"/>
              <w:rPr>
                <w:color w:val="auto"/>
                <w:highlight w:val="none"/>
              </w:rPr>
            </w:pPr>
            <w:r>
              <w:rPr>
                <w:color w:val="auto"/>
                <w:highlight w:val="none"/>
              </w:rPr>
              <w:t>总体工艺原则：种植土应耙细整平，排水良好；并应进行土壤消毒，杀灭病菌和害虫后，施适量的基肥。严格按照设计图规定的规格选购苗木，并对选购的苗木，在起掘前作现场调查，认真核实所采购苗木的品种、规格及生长情况；根据所选苗木的规格、品种确定苗木的土球大小、起掘时间和包扎、运输方法，苗木的栽植应做到随挖、随运、随种、随养护，苗木起掘后不得暴晒或失水，若不能及时种植应采取保护措施，如覆盖、假植。种植前按设计要求放细样，定好株行距；树木栽植槽穴规格的大小、深浅，按植株的土球直径适当放大；对地被小苗的种植，在种植前土壤耙细整平，排水良好，根据树种和气候等具体情况进行适当修剪。种植后适时进行浇水养护。</w:t>
            </w:r>
          </w:p>
          <w:p>
            <w:pPr>
              <w:bidi w:val="0"/>
              <w:ind w:left="0" w:leftChars="0" w:firstLine="0" w:firstLineChars="0"/>
              <w:jc w:val="both"/>
              <w:rPr>
                <w:rFonts w:hint="eastAsia"/>
                <w:b/>
                <w:bCs/>
                <w:color w:val="auto"/>
                <w:lang w:val="en-US" w:eastAsia="zh-CN"/>
              </w:rPr>
            </w:pPr>
            <w:r>
              <w:rPr>
                <w:rFonts w:hint="eastAsia"/>
                <w:b/>
                <w:bCs/>
                <w:color w:val="auto"/>
                <w:lang w:val="en-US" w:eastAsia="zh-CN"/>
              </w:rPr>
              <w:t>1.3、土石方与土石方平衡</w:t>
            </w:r>
          </w:p>
          <w:p>
            <w:pPr>
              <w:ind w:firstLine="480"/>
              <w:rPr>
                <w:color w:val="auto"/>
                <w:highlight w:val="none"/>
              </w:rPr>
            </w:pPr>
            <w:r>
              <w:rPr>
                <w:color w:val="auto"/>
                <w:highlight w:val="none"/>
              </w:rPr>
              <w:t>本项目主体工程防治范围面积为</w:t>
            </w:r>
            <w:r>
              <w:rPr>
                <w:rFonts w:hint="eastAsia"/>
                <w:color w:val="auto"/>
                <w:highlight w:val="none"/>
                <w:lang w:val="en-US" w:eastAsia="zh-CN"/>
              </w:rPr>
              <w:t>17.6795</w:t>
            </w:r>
            <w:r>
              <w:rPr>
                <w:rFonts w:hint="eastAsia"/>
                <w:color w:val="auto"/>
                <w:highlight w:val="none"/>
              </w:rPr>
              <w:t>h</w:t>
            </w:r>
            <w:r>
              <w:rPr>
                <w:color w:val="auto"/>
                <w:highlight w:val="none"/>
              </w:rPr>
              <w:t>m</w:t>
            </w:r>
            <w:r>
              <w:rPr>
                <w:color w:val="auto"/>
                <w:highlight w:val="none"/>
                <w:vertAlign w:val="superscript"/>
              </w:rPr>
              <w:t>2</w:t>
            </w:r>
            <w:r>
              <w:rPr>
                <w:color w:val="auto"/>
                <w:highlight w:val="none"/>
              </w:rPr>
              <w:t>，现状地貌较简单，主要为</w:t>
            </w:r>
            <w:r>
              <w:rPr>
                <w:rFonts w:hint="eastAsia"/>
                <w:color w:val="auto"/>
                <w:highlight w:val="none"/>
                <w:lang w:eastAsia="zh-CN"/>
              </w:rPr>
              <w:t>园地</w:t>
            </w:r>
            <w:r>
              <w:rPr>
                <w:rFonts w:hint="eastAsia"/>
                <w:color w:val="auto"/>
                <w:highlight w:val="none"/>
              </w:rPr>
              <w:t>、水塘</w:t>
            </w:r>
            <w:r>
              <w:rPr>
                <w:rFonts w:hint="eastAsia"/>
                <w:color w:val="auto"/>
                <w:highlight w:val="none"/>
                <w:lang w:eastAsia="zh-CN"/>
              </w:rPr>
              <w:t>及建筑用地</w:t>
            </w:r>
            <w:r>
              <w:rPr>
                <w:color w:val="auto"/>
                <w:highlight w:val="none"/>
              </w:rPr>
              <w:t>。</w:t>
            </w:r>
          </w:p>
          <w:p>
            <w:pPr>
              <w:bidi w:val="0"/>
              <w:rPr>
                <w:rFonts w:hint="eastAsia"/>
                <w:color w:val="auto"/>
              </w:rPr>
            </w:pPr>
            <w:r>
              <w:rPr>
                <w:rFonts w:hint="eastAsia"/>
                <w:color w:val="auto"/>
                <w:lang w:val="zh-TW" w:eastAsia="zh-TW"/>
              </w:rPr>
              <w:t>本项目地形</w:t>
            </w:r>
            <w:r>
              <w:rPr>
                <w:rFonts w:hint="eastAsia"/>
                <w:color w:val="auto"/>
                <w:lang w:val="zh-TW" w:eastAsia="zh-CN"/>
              </w:rPr>
              <w:t>东</w:t>
            </w:r>
            <w:r>
              <w:rPr>
                <w:rFonts w:hint="eastAsia"/>
                <w:color w:val="auto"/>
                <w:lang w:val="zh-TW" w:eastAsia="zh-TW"/>
              </w:rPr>
              <w:t>高</w:t>
            </w:r>
            <w:r>
              <w:rPr>
                <w:rFonts w:hint="eastAsia"/>
                <w:color w:val="auto"/>
                <w:lang w:val="zh-TW" w:eastAsia="zh-CN"/>
              </w:rPr>
              <w:t>西</w:t>
            </w:r>
            <w:r>
              <w:rPr>
                <w:rFonts w:hint="eastAsia"/>
                <w:color w:val="auto"/>
                <w:lang w:val="zh-TW" w:eastAsia="zh-TW"/>
              </w:rPr>
              <w:t>低，地块呈</w:t>
            </w:r>
            <w:r>
              <w:rPr>
                <w:rFonts w:hint="eastAsia"/>
                <w:color w:val="auto"/>
                <w:lang w:val="zh-TW" w:eastAsia="zh-CN"/>
              </w:rPr>
              <w:t>块</w:t>
            </w:r>
            <w:r>
              <w:rPr>
                <w:rFonts w:hint="eastAsia"/>
                <w:color w:val="auto"/>
                <w:lang w:val="zh-TW" w:eastAsia="zh-TW"/>
              </w:rPr>
              <w:t>状，</w:t>
            </w:r>
            <w:r>
              <w:rPr>
                <w:rFonts w:hint="eastAsia"/>
                <w:color w:val="auto"/>
                <w:lang w:val="zh-TW" w:eastAsia="zh-CN"/>
              </w:rPr>
              <w:t>东</w:t>
            </w:r>
            <w:r>
              <w:rPr>
                <w:rFonts w:hint="eastAsia"/>
                <w:color w:val="auto"/>
                <w:lang w:val="zh-TW" w:eastAsia="zh-TW"/>
              </w:rPr>
              <w:t>侧原地标高为</w:t>
            </w:r>
            <w:r>
              <w:rPr>
                <w:rFonts w:hint="eastAsia"/>
                <w:color w:val="auto"/>
                <w:lang w:val="en-US" w:eastAsia="zh-CN"/>
              </w:rPr>
              <w:t>54.0~56</w:t>
            </w:r>
            <w:r>
              <w:rPr>
                <w:rFonts w:hint="default"/>
                <w:color w:val="auto"/>
                <w:lang w:val="en-US" w:eastAsia="en-US"/>
              </w:rPr>
              <w:t>.6m，</w:t>
            </w:r>
            <w:r>
              <w:rPr>
                <w:rFonts w:hint="eastAsia"/>
                <w:color w:val="auto"/>
                <w:lang w:val="zh-TW" w:eastAsia="zh-CN"/>
              </w:rPr>
              <w:t>西</w:t>
            </w:r>
            <w:r>
              <w:rPr>
                <w:rFonts w:hint="eastAsia"/>
                <w:color w:val="auto"/>
                <w:lang w:val="zh-TW" w:eastAsia="zh-TW"/>
              </w:rPr>
              <w:t>侧原地标高为</w:t>
            </w:r>
            <w:r>
              <w:rPr>
                <w:rFonts w:hint="eastAsia"/>
                <w:color w:val="auto"/>
                <w:lang w:val="en-US" w:eastAsia="zh-CN"/>
              </w:rPr>
              <w:t>50.2</w:t>
            </w:r>
            <w:r>
              <w:rPr>
                <w:rFonts w:hint="default"/>
                <w:color w:val="auto"/>
                <w:lang w:val="en-US" w:eastAsia="en-US"/>
              </w:rPr>
              <w:t>0</w:t>
            </w:r>
            <w:r>
              <w:rPr>
                <w:rFonts w:hint="eastAsia"/>
                <w:color w:val="auto"/>
                <w:lang w:val="en-US" w:eastAsia="zh-CN"/>
              </w:rPr>
              <w:t>~</w:t>
            </w:r>
            <w:r>
              <w:rPr>
                <w:rFonts w:hint="default"/>
                <w:color w:val="auto"/>
                <w:lang w:val="en-US" w:eastAsia="en-US"/>
              </w:rPr>
              <w:t>5</w:t>
            </w:r>
            <w:r>
              <w:rPr>
                <w:rFonts w:hint="eastAsia"/>
                <w:color w:val="auto"/>
                <w:lang w:val="en-US" w:eastAsia="zh-CN"/>
              </w:rPr>
              <w:t>5.5</w:t>
            </w:r>
            <w:r>
              <w:rPr>
                <w:rFonts w:hint="default"/>
                <w:color w:val="auto"/>
                <w:lang w:val="en-US" w:eastAsia="en-US"/>
              </w:rPr>
              <w:t>m，</w:t>
            </w:r>
            <w:r>
              <w:rPr>
                <w:rFonts w:hint="eastAsia"/>
                <w:color w:val="auto"/>
                <w:lang w:val="zh-TW" w:eastAsia="zh-TW"/>
              </w:rPr>
              <w:t>场地整体设计标高为</w:t>
            </w:r>
            <w:r>
              <w:rPr>
                <w:rFonts w:hint="default"/>
                <w:color w:val="auto"/>
                <w:lang w:val="en-US" w:eastAsia="en-US"/>
              </w:rPr>
              <w:t>5</w:t>
            </w:r>
            <w:r>
              <w:rPr>
                <w:rFonts w:hint="eastAsia"/>
                <w:color w:val="auto"/>
                <w:lang w:val="en-US" w:eastAsia="zh-CN"/>
              </w:rPr>
              <w:t>5.2~</w:t>
            </w:r>
            <w:r>
              <w:rPr>
                <w:rFonts w:hint="default"/>
                <w:color w:val="auto"/>
                <w:lang w:val="en-US" w:eastAsia="en-US"/>
              </w:rPr>
              <w:t>58.</w:t>
            </w:r>
            <w:r>
              <w:rPr>
                <w:rFonts w:hint="eastAsia"/>
                <w:color w:val="auto"/>
                <w:lang w:val="en-US" w:eastAsia="zh-CN"/>
              </w:rPr>
              <w:t>7</w:t>
            </w:r>
            <w:r>
              <w:rPr>
                <w:rFonts w:hint="default"/>
                <w:color w:val="auto"/>
                <w:lang w:val="en-US" w:eastAsia="en-US"/>
              </w:rPr>
              <w:t>5m，</w:t>
            </w:r>
            <w:r>
              <w:rPr>
                <w:rFonts w:hint="eastAsia"/>
                <w:color w:val="auto"/>
                <w:lang w:val="en-US" w:eastAsia="zh-CN"/>
              </w:rPr>
              <w:t>场内原始主要用地为：水域、园地及建设用地，场内有大小水塘16处，</w:t>
            </w:r>
            <w:r>
              <w:rPr>
                <w:rFonts w:hint="eastAsia"/>
                <w:color w:val="auto"/>
                <w:lang w:val="zh-TW" w:eastAsia="zh-TW"/>
              </w:rPr>
              <w:t>场内用地转换为建设用地，施工期间对场地内种植土较好的部分进行了剥离保存。</w:t>
            </w:r>
          </w:p>
          <w:p>
            <w:pPr>
              <w:ind w:firstLine="480"/>
              <w:rPr>
                <w:color w:val="auto"/>
                <w:highlight w:val="none"/>
              </w:rPr>
            </w:pPr>
            <w:r>
              <w:rPr>
                <w:color w:val="auto"/>
                <w:highlight w:val="none"/>
              </w:rPr>
              <w:t>本项目土石方开挖主要基础开挖、管沟开挖及表土剥离，工程区内</w:t>
            </w:r>
            <w:r>
              <w:rPr>
                <w:rFonts w:hint="eastAsia"/>
                <w:color w:val="auto"/>
                <w:highlight w:val="none"/>
              </w:rPr>
              <w:t>现状</w:t>
            </w:r>
            <w:r>
              <w:rPr>
                <w:color w:val="auto"/>
                <w:highlight w:val="none"/>
              </w:rPr>
              <w:t>地面</w:t>
            </w:r>
            <w:r>
              <w:rPr>
                <w:rFonts w:hint="eastAsia"/>
                <w:color w:val="auto"/>
                <w:highlight w:val="none"/>
              </w:rPr>
              <w:t>高程</w:t>
            </w:r>
            <w:r>
              <w:rPr>
                <w:color w:val="auto"/>
                <w:highlight w:val="none"/>
              </w:rPr>
              <w:t>均</w:t>
            </w:r>
            <w:r>
              <w:rPr>
                <w:rFonts w:hint="eastAsia"/>
                <w:color w:val="auto"/>
                <w:highlight w:val="none"/>
                <w:lang w:eastAsia="zh-CN"/>
              </w:rPr>
              <w:t>低</w:t>
            </w:r>
            <w:r>
              <w:rPr>
                <w:color w:val="auto"/>
                <w:highlight w:val="none"/>
              </w:rPr>
              <w:t>于</w:t>
            </w:r>
            <w:r>
              <w:rPr>
                <w:rFonts w:hint="eastAsia"/>
                <w:color w:val="auto"/>
                <w:highlight w:val="none"/>
              </w:rPr>
              <w:t>设计</w:t>
            </w:r>
            <w:r>
              <w:rPr>
                <w:color w:val="auto"/>
                <w:highlight w:val="none"/>
              </w:rPr>
              <w:t>地面</w:t>
            </w:r>
            <w:r>
              <w:rPr>
                <w:rFonts w:hint="eastAsia"/>
                <w:color w:val="auto"/>
                <w:highlight w:val="none"/>
              </w:rPr>
              <w:t>标高</w:t>
            </w:r>
            <w:r>
              <w:rPr>
                <w:color w:val="auto"/>
                <w:highlight w:val="none"/>
              </w:rPr>
              <w:t>。土方回填量主要用于</w:t>
            </w:r>
            <w:r>
              <w:rPr>
                <w:rFonts w:hint="eastAsia"/>
                <w:color w:val="auto"/>
                <w:highlight w:val="none"/>
                <w:lang w:eastAsia="zh-CN"/>
              </w:rPr>
              <w:t>水塘</w:t>
            </w:r>
            <w:r>
              <w:rPr>
                <w:color w:val="auto"/>
                <w:highlight w:val="none"/>
              </w:rPr>
              <w:t>填筑、</w:t>
            </w:r>
            <w:r>
              <w:rPr>
                <w:rFonts w:hint="eastAsia"/>
                <w:color w:val="auto"/>
                <w:highlight w:val="none"/>
                <w:lang w:eastAsia="zh-CN"/>
              </w:rPr>
              <w:t>场内平整、</w:t>
            </w:r>
            <w:r>
              <w:rPr>
                <w:color w:val="auto"/>
                <w:highlight w:val="none"/>
              </w:rPr>
              <w:t>管沟回填</w:t>
            </w:r>
            <w:r>
              <w:rPr>
                <w:rFonts w:hint="eastAsia"/>
                <w:color w:val="auto"/>
                <w:highlight w:val="none"/>
              </w:rPr>
              <w:t>及</w:t>
            </w:r>
            <w:r>
              <w:rPr>
                <w:color w:val="auto"/>
                <w:highlight w:val="none"/>
              </w:rPr>
              <w:t>绿化区域的覆土。</w:t>
            </w:r>
          </w:p>
          <w:p>
            <w:pP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i w:val="0"/>
                <w:iCs w:val="0"/>
                <w:caps w:val="0"/>
                <w:color w:val="auto"/>
                <w:spacing w:val="8"/>
                <w:sz w:val="24"/>
                <w:szCs w:val="24"/>
                <w:shd w:val="clear" w:color="auto" w:fill="FFFFFF"/>
              </w:rPr>
              <w:t>根据项目场平、施工日志、监理记录、主体工程设计阶段的资料、工程竣工结算资料进行实地踏勘</w:t>
            </w:r>
            <w:r>
              <w:rPr>
                <w:rFonts w:hint="default" w:ascii="Times New Roman" w:hAnsi="Times New Roman" w:eastAsia="宋体" w:cs="Times New Roman"/>
                <w:i w:val="0"/>
                <w:iCs w:val="0"/>
                <w:caps w:val="0"/>
                <w:color w:val="auto"/>
                <w:spacing w:val="8"/>
                <w:sz w:val="24"/>
                <w:szCs w:val="24"/>
                <w:shd w:val="clear" w:color="auto" w:fill="FFFFFF"/>
                <w:lang w:eastAsia="zh-CN"/>
              </w:rPr>
              <w:t>，</w:t>
            </w:r>
            <w:r>
              <w:rPr>
                <w:rFonts w:hint="default" w:ascii="Times New Roman" w:hAnsi="Times New Roman" w:eastAsia="宋体" w:cs="Times New Roman"/>
                <w:color w:val="auto"/>
                <w:highlight w:val="none"/>
                <w:lang w:eastAsia="zh-CN"/>
              </w:rPr>
              <w:t>本项目</w:t>
            </w:r>
            <w:r>
              <w:rPr>
                <w:rFonts w:hint="default" w:ascii="Times New Roman" w:hAnsi="Times New Roman" w:eastAsia="宋体" w:cs="Times New Roman"/>
                <w:color w:val="auto"/>
                <w:highlight w:val="none"/>
              </w:rPr>
              <w:t>总开挖量为</w:t>
            </w:r>
            <w:r>
              <w:rPr>
                <w:rFonts w:hint="default" w:ascii="Times New Roman" w:hAnsi="Times New Roman" w:eastAsia="宋体" w:cs="Times New Roman"/>
                <w:color w:val="auto"/>
                <w:highlight w:val="none"/>
                <w:lang w:val="en-US" w:eastAsia="zh-CN"/>
              </w:rPr>
              <w:t>9.2</w:t>
            </w:r>
            <w:r>
              <w:rPr>
                <w:rFonts w:hint="default" w:ascii="Times New Roman" w:hAnsi="Times New Roman" w:eastAsia="宋体" w:cs="Times New Roman"/>
                <w:color w:val="auto"/>
                <w:highlight w:val="none"/>
              </w:rPr>
              <w:t>万m</w:t>
            </w:r>
            <w:r>
              <w:rPr>
                <w:rFonts w:hint="default" w:ascii="Times New Roman" w:hAnsi="Times New Roman" w:eastAsia="宋体" w:cs="Times New Roman"/>
                <w:color w:val="auto"/>
                <w:highlight w:val="none"/>
                <w:vertAlign w:val="superscript"/>
              </w:rPr>
              <w:t>3</w:t>
            </w:r>
            <w:r>
              <w:rPr>
                <w:rFonts w:hint="eastAsia" w:cs="Times New Roman"/>
                <w:color w:val="auto"/>
                <w:highlight w:val="none"/>
                <w:vertAlign w:val="baseline"/>
                <w:lang w:eastAsia="zh-CN"/>
              </w:rPr>
              <w:t>（</w:t>
            </w:r>
            <w:r>
              <w:rPr>
                <w:rFonts w:hint="default" w:ascii="Times New Roman" w:hAnsi="Times New Roman" w:eastAsia="宋体" w:cs="Times New Roman"/>
                <w:color w:val="auto"/>
                <w:highlight w:val="none"/>
                <w:lang w:eastAsia="zh-CN"/>
              </w:rPr>
              <w:t>基础及管沟</w:t>
            </w:r>
            <w:r>
              <w:rPr>
                <w:rFonts w:hint="default" w:ascii="Times New Roman" w:hAnsi="Times New Roman" w:eastAsia="宋体" w:cs="Times New Roman"/>
                <w:color w:val="auto"/>
                <w:highlight w:val="none"/>
              </w:rPr>
              <w:t>开挖量为</w:t>
            </w:r>
            <w:r>
              <w:rPr>
                <w:rFonts w:hint="default" w:ascii="Times New Roman" w:hAnsi="Times New Roman" w:eastAsia="宋体" w:cs="Times New Roman"/>
                <w:color w:val="auto"/>
                <w:highlight w:val="none"/>
                <w:lang w:val="en-US" w:eastAsia="zh-CN"/>
              </w:rPr>
              <w:t>4.51</w:t>
            </w:r>
            <w:r>
              <w:rPr>
                <w:rFonts w:hint="default" w:ascii="Times New Roman" w:hAnsi="Times New Roman" w:eastAsia="宋体" w:cs="Times New Roman"/>
                <w:color w:val="auto"/>
                <w:highlight w:val="none"/>
              </w:rPr>
              <w:t>万m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清基软土量</w:t>
            </w:r>
            <w:r>
              <w:rPr>
                <w:rFonts w:hint="default" w:ascii="Times New Roman" w:hAnsi="Times New Roman" w:eastAsia="宋体" w:cs="Times New Roman"/>
                <w:color w:val="auto"/>
                <w:highlight w:val="none"/>
                <w:lang w:val="en-US" w:eastAsia="zh-CN"/>
              </w:rPr>
              <w:t>2.7</w:t>
            </w:r>
            <w:r>
              <w:rPr>
                <w:rFonts w:hint="default" w:ascii="Times New Roman" w:hAnsi="Times New Roman" w:eastAsia="宋体" w:cs="Times New Roman"/>
                <w:color w:val="auto"/>
                <w:highlight w:val="none"/>
              </w:rPr>
              <w:t>万m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vertAlign w:val="baseline"/>
                <w:lang w:eastAsia="zh-CN"/>
              </w:rPr>
              <w:t>，</w:t>
            </w:r>
            <w:r>
              <w:rPr>
                <w:rFonts w:hint="default" w:ascii="Times New Roman" w:hAnsi="Times New Roman" w:eastAsia="宋体" w:cs="Times New Roman"/>
                <w:color w:val="auto"/>
                <w:highlight w:val="none"/>
              </w:rPr>
              <w:t>表土剥离量</w:t>
            </w:r>
            <w:r>
              <w:rPr>
                <w:rFonts w:hint="default" w:ascii="Times New Roman" w:hAnsi="Times New Roman" w:eastAsia="宋体" w:cs="Times New Roman"/>
                <w:color w:val="auto"/>
                <w:highlight w:val="none"/>
                <w:lang w:val="en-US" w:eastAsia="zh-CN"/>
              </w:rPr>
              <w:t>1.98</w:t>
            </w:r>
            <w:r>
              <w:rPr>
                <w:rFonts w:hint="default" w:ascii="Times New Roman" w:hAnsi="Times New Roman" w:eastAsia="宋体" w:cs="Times New Roman"/>
                <w:color w:val="auto"/>
                <w:highlight w:val="none"/>
              </w:rPr>
              <w:t>万m</w:t>
            </w:r>
            <w:r>
              <w:rPr>
                <w:rFonts w:hint="default" w:ascii="Times New Roman" w:hAnsi="Times New Roman" w:eastAsia="宋体" w:cs="Times New Roman"/>
                <w:color w:val="auto"/>
                <w:highlight w:val="none"/>
                <w:vertAlign w:val="superscript"/>
              </w:rPr>
              <w:t>3</w:t>
            </w:r>
            <w:r>
              <w:rPr>
                <w:rFonts w:hint="eastAsia" w:cs="Times New Roman"/>
                <w:color w:val="auto"/>
                <w:highlight w:val="none"/>
                <w:lang w:eastAsia="zh-CN"/>
              </w:rPr>
              <w:t>）</w:t>
            </w:r>
            <w:r>
              <w:rPr>
                <w:rFonts w:hint="default" w:ascii="Times New Roman" w:hAnsi="Times New Roman" w:eastAsia="宋体" w:cs="Times New Roman"/>
                <w:color w:val="auto"/>
                <w:highlight w:val="none"/>
              </w:rPr>
              <w:t>，总回填量为</w:t>
            </w:r>
            <w:r>
              <w:rPr>
                <w:rFonts w:hint="default" w:ascii="Times New Roman" w:hAnsi="Times New Roman" w:eastAsia="宋体" w:cs="Times New Roman"/>
                <w:color w:val="auto"/>
                <w:highlight w:val="none"/>
                <w:lang w:val="en-US" w:eastAsia="zh-CN"/>
              </w:rPr>
              <w:t>43.23</w:t>
            </w:r>
            <w:r>
              <w:rPr>
                <w:rFonts w:hint="default" w:ascii="Times New Roman" w:hAnsi="Times New Roman" w:eastAsia="宋体" w:cs="Times New Roman"/>
                <w:color w:val="auto"/>
                <w:highlight w:val="none"/>
              </w:rPr>
              <w:t>万m</w:t>
            </w:r>
            <w:r>
              <w:rPr>
                <w:rFonts w:hint="default" w:ascii="Times New Roman" w:hAnsi="Times New Roman" w:eastAsia="宋体" w:cs="Times New Roman"/>
                <w:color w:val="auto"/>
                <w:highlight w:val="none"/>
                <w:vertAlign w:val="superscript"/>
              </w:rPr>
              <w:t>3</w:t>
            </w:r>
            <w:r>
              <w:rPr>
                <w:rFonts w:hint="eastAsia" w:cs="Times New Roman"/>
                <w:color w:val="auto"/>
                <w:highlight w:val="none"/>
                <w:lang w:eastAsia="zh-CN"/>
              </w:rPr>
              <w:t>（</w:t>
            </w:r>
            <w:r>
              <w:rPr>
                <w:rFonts w:hint="default" w:ascii="Times New Roman" w:hAnsi="Times New Roman" w:eastAsia="宋体" w:cs="Times New Roman"/>
                <w:color w:val="auto"/>
                <w:highlight w:val="none"/>
                <w:lang w:eastAsia="zh-CN"/>
              </w:rPr>
              <w:t>场平、</w:t>
            </w:r>
            <w:r>
              <w:rPr>
                <w:rFonts w:hint="default" w:ascii="Times New Roman" w:hAnsi="Times New Roman" w:eastAsia="宋体" w:cs="Times New Roman"/>
                <w:color w:val="auto"/>
                <w:highlight w:val="none"/>
              </w:rPr>
              <w:t>基础及管沟基础回填</w:t>
            </w:r>
            <w:r>
              <w:rPr>
                <w:rFonts w:hint="default" w:ascii="Times New Roman" w:hAnsi="Times New Roman" w:eastAsia="宋体" w:cs="Times New Roman"/>
                <w:color w:val="auto"/>
                <w:highlight w:val="none"/>
                <w:lang w:val="en-US" w:eastAsia="zh-CN"/>
              </w:rPr>
              <w:t>39.</w:t>
            </w:r>
            <w:r>
              <w:rPr>
                <w:rFonts w:hint="eastAsia" w:cs="Times New Roman"/>
                <w:color w:val="auto"/>
                <w:highlight w:val="none"/>
                <w:lang w:val="en-US" w:eastAsia="zh-CN"/>
              </w:rPr>
              <w:t>9</w:t>
            </w:r>
            <w:r>
              <w:rPr>
                <w:rFonts w:hint="default" w:ascii="Times New Roman" w:hAnsi="Times New Roman" w:eastAsia="宋体" w:cs="Times New Roman"/>
                <w:color w:val="auto"/>
                <w:highlight w:val="none"/>
              </w:rPr>
              <w:t>万m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，绿化覆土量</w:t>
            </w:r>
            <w:r>
              <w:rPr>
                <w:rFonts w:hint="default" w:ascii="Times New Roman" w:hAnsi="Times New Roman" w:eastAsia="宋体" w:cs="Times New Roman"/>
                <w:color w:val="auto"/>
                <w:highlight w:val="none"/>
                <w:lang w:val="en-US" w:eastAsia="zh-CN"/>
              </w:rPr>
              <w:t>3.33</w:t>
            </w:r>
            <w:r>
              <w:rPr>
                <w:rFonts w:hint="default" w:ascii="Times New Roman" w:hAnsi="Times New Roman" w:eastAsia="宋体" w:cs="Times New Roman"/>
                <w:color w:val="auto"/>
                <w:highlight w:val="none"/>
              </w:rPr>
              <w:t>万m</w:t>
            </w:r>
            <w:r>
              <w:rPr>
                <w:rFonts w:hint="default" w:ascii="Times New Roman" w:hAnsi="Times New Roman" w:eastAsia="宋体" w:cs="Times New Roman"/>
                <w:color w:val="auto"/>
                <w:highlight w:val="none"/>
                <w:vertAlign w:val="superscript"/>
              </w:rPr>
              <w:t>3</w:t>
            </w:r>
            <w:r>
              <w:rPr>
                <w:rFonts w:hint="eastAsia" w:cs="Times New Roman"/>
                <w:color w:val="auto"/>
                <w:highlight w:val="none"/>
                <w:lang w:eastAsia="zh-CN"/>
              </w:rPr>
              <w:t>）</w:t>
            </w:r>
            <w:r>
              <w:rPr>
                <w:rFonts w:hint="default" w:ascii="Times New Roman" w:hAnsi="Times New Roman" w:eastAsia="宋体" w:cs="Times New Roman"/>
                <w:color w:val="auto"/>
                <w:highlight w:val="none"/>
              </w:rPr>
              <w:t>，需</w:t>
            </w:r>
            <w:r>
              <w:rPr>
                <w:rFonts w:hint="default" w:ascii="Times New Roman" w:hAnsi="Times New Roman" w:eastAsia="宋体" w:cs="Times New Roman"/>
                <w:color w:val="auto"/>
                <w:highlight w:val="none"/>
                <w:lang w:eastAsia="zh-CN"/>
              </w:rPr>
              <w:t>借</w:t>
            </w:r>
            <w:r>
              <w:rPr>
                <w:rFonts w:hint="default" w:ascii="Times New Roman" w:hAnsi="Times New Roman" w:eastAsia="宋体" w:cs="Times New Roman"/>
                <w:color w:val="auto"/>
                <w:highlight w:val="none"/>
              </w:rPr>
              <w:t>土量为</w:t>
            </w:r>
            <w:r>
              <w:rPr>
                <w:rFonts w:hint="default" w:ascii="Times New Roman" w:hAnsi="Times New Roman" w:eastAsia="宋体" w:cs="Times New Roman"/>
                <w:color w:val="auto"/>
                <w:highlight w:val="none"/>
                <w:lang w:val="en-US" w:eastAsia="zh-CN"/>
              </w:rPr>
              <w:t>35.38</w:t>
            </w:r>
            <w:r>
              <w:rPr>
                <w:rFonts w:hint="default" w:ascii="Times New Roman" w:hAnsi="Times New Roman" w:eastAsia="宋体" w:cs="Times New Roman"/>
                <w:color w:val="auto"/>
                <w:highlight w:val="none"/>
              </w:rPr>
              <w:t>万m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借土来源于湖南华侨城公司建设项目华侨城衡阳市八中地块弃土，华侨城衡阳市八中项目距离本项目</w:t>
            </w:r>
            <w:r>
              <w:rPr>
                <w:rFonts w:hint="default" w:ascii="Times New Roman" w:hAnsi="Times New Roman" w:eastAsia="宋体" w:cs="Times New Roman"/>
                <w:color w:val="auto"/>
                <w:highlight w:val="none"/>
                <w:lang w:val="en-US" w:eastAsia="zh-CN"/>
              </w:rPr>
              <w:t>6.5km，位于衡阳市石鼓区合江街道五里牌（北二环南侧），该项目土石方开挖总量约42.5万</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，总回填量</w:t>
            </w:r>
            <w:r>
              <w:rPr>
                <w:rFonts w:hint="default" w:ascii="Times New Roman" w:hAnsi="Times New Roman" w:eastAsia="宋体" w:cs="Times New Roman"/>
                <w:color w:val="auto"/>
                <w:highlight w:val="none"/>
                <w:lang w:eastAsia="zh-CN"/>
              </w:rPr>
              <w:t>约</w:t>
            </w:r>
            <w:r>
              <w:rPr>
                <w:rFonts w:hint="default" w:ascii="Times New Roman" w:hAnsi="Times New Roman" w:eastAsia="宋体" w:cs="Times New Roman"/>
                <w:color w:val="auto"/>
                <w:highlight w:val="none"/>
                <w:lang w:val="en-US" w:eastAsia="zh-CN"/>
              </w:rPr>
              <w:t>7.1</w:t>
            </w:r>
            <w:r>
              <w:rPr>
                <w:rFonts w:hint="default" w:ascii="Times New Roman" w:hAnsi="Times New Roman" w:eastAsia="宋体" w:cs="Times New Roman"/>
                <w:color w:val="auto"/>
                <w:highlight w:val="none"/>
              </w:rPr>
              <w:t>万m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弃方</w:t>
            </w:r>
            <w:r>
              <w:rPr>
                <w:rFonts w:hint="default" w:ascii="Times New Roman" w:hAnsi="Times New Roman" w:eastAsia="宋体" w:cs="Times New Roman"/>
                <w:color w:val="auto"/>
                <w:highlight w:val="none"/>
                <w:lang w:val="en-US" w:eastAsia="zh-CN"/>
              </w:rPr>
              <w:t>35.4万</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目前该项目处于前期设计阶段，已完成场内平整，本项目负责对弃土回填产生的水土防治承担责任。</w:t>
            </w:r>
          </w:p>
          <w:p>
            <w:pPr>
              <w:ind w:firstLine="480"/>
              <w:rPr>
                <w:color w:val="auto"/>
                <w:highlight w:val="none"/>
              </w:rPr>
            </w:pPr>
            <w:r>
              <w:rPr>
                <w:rFonts w:hint="eastAsia"/>
                <w:color w:val="auto"/>
                <w:highlight w:val="none"/>
                <w:lang w:eastAsia="zh-CN"/>
              </w:rPr>
              <w:t>本项目</w:t>
            </w:r>
            <w:r>
              <w:rPr>
                <w:color w:val="auto"/>
                <w:highlight w:val="none"/>
              </w:rPr>
              <w:t>一般土石方挖填情况如下：</w:t>
            </w:r>
          </w:p>
          <w:p>
            <w:pPr>
              <w:numPr>
                <w:ilvl w:val="0"/>
                <w:numId w:val="0"/>
              </w:numPr>
              <w:ind w:left="420" w:leftChars="0"/>
              <w:rPr>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color w:val="auto"/>
                <w:highlight w:val="none"/>
              </w:rPr>
              <w:t>挖方</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根据主体工程设计，</w:t>
            </w:r>
            <w:r>
              <w:rPr>
                <w:rFonts w:hint="default" w:ascii="Times New Roman" w:hAnsi="Times New Roman" w:cs="Times New Roman"/>
                <w:color w:val="auto"/>
                <w:highlight w:val="none"/>
                <w:lang w:eastAsia="zh-CN"/>
              </w:rPr>
              <w:t>本项目</w:t>
            </w:r>
            <w:r>
              <w:rPr>
                <w:rFonts w:hint="default" w:ascii="Times New Roman" w:hAnsi="Times New Roman" w:cs="Times New Roman"/>
                <w:color w:val="auto"/>
                <w:highlight w:val="none"/>
              </w:rPr>
              <w:t>总开挖量为</w:t>
            </w:r>
            <w:r>
              <w:rPr>
                <w:rFonts w:hint="default" w:ascii="Times New Roman" w:hAnsi="Times New Roman" w:cs="Times New Roman"/>
                <w:color w:val="auto"/>
                <w:highlight w:val="none"/>
                <w:lang w:val="en-US" w:eastAsia="zh-CN"/>
              </w:rPr>
              <w:t>9.2</w:t>
            </w:r>
            <w:r>
              <w:rPr>
                <w:rFonts w:hint="default" w:ascii="Times New Roman" w:hAnsi="Times New Roman" w:cs="Times New Roman"/>
                <w:color w:val="auto"/>
                <w:highlight w:val="none"/>
              </w:rPr>
              <w:t>万m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vertAlign w:val="baseline"/>
                <w:lang w:eastAsia="zh-CN"/>
              </w:rPr>
              <w:t>（</w:t>
            </w:r>
            <w:r>
              <w:rPr>
                <w:rFonts w:hint="default" w:ascii="Times New Roman" w:hAnsi="Times New Roman" w:cs="Times New Roman"/>
                <w:color w:val="auto"/>
                <w:highlight w:val="none"/>
              </w:rPr>
              <w:t>一般开挖量为</w:t>
            </w:r>
            <w:r>
              <w:rPr>
                <w:rFonts w:hint="default" w:ascii="Times New Roman" w:hAnsi="Times New Roman" w:cs="Times New Roman"/>
                <w:color w:val="auto"/>
                <w:highlight w:val="none"/>
                <w:lang w:val="en-US" w:eastAsia="zh-CN"/>
              </w:rPr>
              <w:t>4.51</w:t>
            </w:r>
            <w:r>
              <w:rPr>
                <w:rFonts w:hint="default" w:ascii="Times New Roman" w:hAnsi="Times New Roman" w:cs="Times New Roman"/>
                <w:color w:val="auto"/>
                <w:highlight w:val="none"/>
              </w:rPr>
              <w:t>万m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r>
              <w:rPr>
                <w:rFonts w:hint="default" w:ascii="Times New Roman" w:hAnsi="Times New Roman" w:eastAsia="宋体" w:cs="Times New Roman"/>
                <w:color w:val="auto"/>
                <w:highlight w:val="none"/>
                <w:lang w:eastAsia="zh-CN"/>
              </w:rPr>
              <w:t>清基软土量</w:t>
            </w:r>
            <w:r>
              <w:rPr>
                <w:rFonts w:hint="default" w:ascii="Times New Roman" w:hAnsi="Times New Roman" w:eastAsia="宋体" w:cs="Times New Roman"/>
                <w:color w:val="auto"/>
                <w:highlight w:val="none"/>
                <w:lang w:val="en-US" w:eastAsia="zh-CN"/>
              </w:rPr>
              <w:t>2.7</w:t>
            </w:r>
            <w:r>
              <w:rPr>
                <w:rFonts w:hint="default" w:ascii="Times New Roman" w:hAnsi="Times New Roman" w:eastAsia="宋体" w:cs="Times New Roman"/>
                <w:color w:val="auto"/>
                <w:highlight w:val="none"/>
              </w:rPr>
              <w:t>万m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vertAlign w:val="baseline"/>
                <w:lang w:eastAsia="zh-CN"/>
              </w:rPr>
              <w:t>，</w:t>
            </w:r>
            <w:r>
              <w:rPr>
                <w:rFonts w:hint="default" w:ascii="Times New Roman" w:hAnsi="Times New Roman" w:eastAsia="宋体" w:cs="Times New Roman"/>
                <w:color w:val="auto"/>
                <w:highlight w:val="none"/>
              </w:rPr>
              <w:t>表土剥离量</w:t>
            </w:r>
            <w:r>
              <w:rPr>
                <w:rFonts w:hint="default" w:ascii="Times New Roman" w:hAnsi="Times New Roman" w:eastAsia="宋体" w:cs="Times New Roman"/>
                <w:color w:val="auto"/>
                <w:highlight w:val="none"/>
                <w:lang w:val="en-US" w:eastAsia="zh-CN"/>
              </w:rPr>
              <w:t>1.98</w:t>
            </w:r>
            <w:r>
              <w:rPr>
                <w:rFonts w:hint="default" w:ascii="Times New Roman" w:hAnsi="Times New Roman" w:eastAsia="宋体" w:cs="Times New Roman"/>
                <w:color w:val="auto"/>
                <w:highlight w:val="none"/>
              </w:rPr>
              <w:t>万m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vertAlign w:val="baseline"/>
                <w:lang w:eastAsia="zh-CN"/>
              </w:rPr>
              <w:t>）</w:t>
            </w:r>
            <w:r>
              <w:rPr>
                <w:rFonts w:hint="default" w:ascii="Times New Roman" w:hAnsi="Times New Roman" w:cs="Times New Roman"/>
                <w:color w:val="auto"/>
                <w:highlight w:val="none"/>
              </w:rPr>
              <w:t>，其中一般土石方按不同区域具体可细分为：</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①</w:t>
            </w:r>
            <w:r>
              <w:rPr>
                <w:rFonts w:hint="default" w:ascii="Times New Roman" w:hAnsi="Times New Roman" w:cs="Times New Roman"/>
                <w:color w:val="auto"/>
                <w:highlight w:val="none"/>
              </w:rPr>
              <w:t>土方开挖</w:t>
            </w:r>
            <w:r>
              <w:rPr>
                <w:rFonts w:hint="eastAsia" w:ascii="Times New Roman" w:hAnsi="Times New Roman" w:cs="Times New Roman"/>
                <w:color w:val="auto"/>
                <w:highlight w:val="none"/>
                <w:lang w:eastAsia="zh-CN"/>
              </w:rPr>
              <w:t>：</w:t>
            </w:r>
            <w:r>
              <w:rPr>
                <w:rFonts w:hint="default" w:ascii="Times New Roman" w:hAnsi="Times New Roman" w:cs="Times New Roman"/>
                <w:color w:val="auto"/>
                <w:lang w:val="zh-TW" w:eastAsia="zh-TW"/>
              </w:rPr>
              <w:t>本项目地形</w:t>
            </w:r>
            <w:r>
              <w:rPr>
                <w:rFonts w:hint="default" w:ascii="Times New Roman" w:hAnsi="Times New Roman" w:cs="Times New Roman"/>
                <w:color w:val="auto"/>
                <w:lang w:val="zh-TW" w:eastAsia="zh-CN"/>
              </w:rPr>
              <w:t>东</w:t>
            </w:r>
            <w:r>
              <w:rPr>
                <w:rFonts w:hint="default" w:ascii="Times New Roman" w:hAnsi="Times New Roman" w:cs="Times New Roman"/>
                <w:color w:val="auto"/>
                <w:lang w:val="zh-TW" w:eastAsia="zh-TW"/>
              </w:rPr>
              <w:t>高</w:t>
            </w:r>
            <w:r>
              <w:rPr>
                <w:rFonts w:hint="default" w:ascii="Times New Roman" w:hAnsi="Times New Roman" w:cs="Times New Roman"/>
                <w:color w:val="auto"/>
                <w:lang w:val="zh-TW" w:eastAsia="zh-CN"/>
              </w:rPr>
              <w:t>西</w:t>
            </w:r>
            <w:r>
              <w:rPr>
                <w:rFonts w:hint="default" w:ascii="Times New Roman" w:hAnsi="Times New Roman" w:cs="Times New Roman"/>
                <w:color w:val="auto"/>
                <w:lang w:val="zh-TW" w:eastAsia="zh-TW"/>
              </w:rPr>
              <w:t>低，地块呈</w:t>
            </w:r>
            <w:r>
              <w:rPr>
                <w:rFonts w:hint="default" w:ascii="Times New Roman" w:hAnsi="Times New Roman" w:cs="Times New Roman"/>
                <w:color w:val="auto"/>
                <w:lang w:val="zh-TW" w:eastAsia="zh-CN"/>
              </w:rPr>
              <w:t>块</w:t>
            </w:r>
            <w:r>
              <w:rPr>
                <w:rFonts w:hint="default" w:ascii="Times New Roman" w:hAnsi="Times New Roman" w:cs="Times New Roman"/>
                <w:color w:val="auto"/>
                <w:lang w:val="zh-TW" w:eastAsia="zh-TW"/>
              </w:rPr>
              <w:t>状，</w:t>
            </w:r>
            <w:r>
              <w:rPr>
                <w:rFonts w:hint="default" w:ascii="Times New Roman" w:hAnsi="Times New Roman" w:cs="Times New Roman"/>
                <w:color w:val="auto"/>
                <w:lang w:val="zh-TW" w:eastAsia="zh-CN"/>
              </w:rPr>
              <w:t>东</w:t>
            </w:r>
            <w:r>
              <w:rPr>
                <w:rFonts w:hint="default" w:ascii="Times New Roman" w:hAnsi="Times New Roman" w:cs="Times New Roman"/>
                <w:color w:val="auto"/>
                <w:lang w:val="zh-TW" w:eastAsia="zh-TW"/>
              </w:rPr>
              <w:t>侧原地标高为</w:t>
            </w:r>
            <w:r>
              <w:rPr>
                <w:rFonts w:hint="default" w:ascii="Times New Roman" w:hAnsi="Times New Roman" w:cs="Times New Roman"/>
                <w:color w:val="auto"/>
                <w:lang w:val="en-US" w:eastAsia="zh-CN"/>
              </w:rPr>
              <w:t>54.0</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56</w:t>
            </w:r>
            <w:r>
              <w:rPr>
                <w:rFonts w:hint="default" w:ascii="Times New Roman" w:hAnsi="Times New Roman" w:cs="Times New Roman"/>
                <w:color w:val="auto"/>
                <w:lang w:val="en-US" w:eastAsia="en-US"/>
              </w:rPr>
              <w:t>.6m，</w:t>
            </w:r>
            <w:r>
              <w:rPr>
                <w:rFonts w:hint="default" w:ascii="Times New Roman" w:hAnsi="Times New Roman" w:cs="Times New Roman"/>
                <w:color w:val="auto"/>
                <w:lang w:val="zh-TW" w:eastAsia="zh-CN"/>
              </w:rPr>
              <w:t>西</w:t>
            </w:r>
            <w:r>
              <w:rPr>
                <w:rFonts w:hint="default" w:ascii="Times New Roman" w:hAnsi="Times New Roman" w:cs="Times New Roman"/>
                <w:color w:val="auto"/>
                <w:lang w:val="zh-TW" w:eastAsia="zh-TW"/>
              </w:rPr>
              <w:t>侧原地标高</w:t>
            </w:r>
            <w:r>
              <w:rPr>
                <w:rFonts w:hint="eastAsia" w:ascii="Times New Roman" w:hAnsi="Times New Roman" w:cs="Times New Roman"/>
                <w:color w:val="auto"/>
                <w:lang w:val="en-US" w:eastAsia="zh-CN"/>
              </w:rPr>
              <w:t>为</w:t>
            </w:r>
            <w:r>
              <w:rPr>
                <w:rFonts w:hint="default" w:ascii="Times New Roman" w:hAnsi="Times New Roman" w:cs="Times New Roman"/>
                <w:color w:val="auto"/>
                <w:lang w:val="en-US" w:eastAsia="zh-CN"/>
              </w:rPr>
              <w:t>50.2</w:t>
            </w:r>
            <w:r>
              <w:rPr>
                <w:rFonts w:hint="default" w:ascii="Times New Roman" w:hAnsi="Times New Roman" w:cs="Times New Roman"/>
                <w:color w:val="auto"/>
                <w:lang w:val="en-US" w:eastAsia="en-US"/>
              </w:rPr>
              <w:t>0</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en-US"/>
              </w:rPr>
              <w:t>5</w:t>
            </w:r>
            <w:r>
              <w:rPr>
                <w:rFonts w:hint="default" w:ascii="Times New Roman" w:hAnsi="Times New Roman" w:cs="Times New Roman"/>
                <w:color w:val="auto"/>
                <w:lang w:val="en-US" w:eastAsia="zh-CN"/>
              </w:rPr>
              <w:t>5.5</w:t>
            </w:r>
            <w:r>
              <w:rPr>
                <w:rFonts w:hint="default" w:ascii="Times New Roman" w:hAnsi="Times New Roman" w:cs="Times New Roman"/>
                <w:color w:val="auto"/>
                <w:lang w:val="en-US" w:eastAsia="en-US"/>
              </w:rPr>
              <w:t>m，</w:t>
            </w:r>
            <w:r>
              <w:rPr>
                <w:rFonts w:hint="default" w:ascii="Times New Roman" w:hAnsi="Times New Roman" w:cs="Times New Roman"/>
                <w:color w:val="auto"/>
                <w:lang w:val="zh-TW" w:eastAsia="zh-TW"/>
              </w:rPr>
              <w:t>场地整体设计标高为</w:t>
            </w:r>
            <w:r>
              <w:rPr>
                <w:rFonts w:hint="default" w:ascii="Times New Roman" w:hAnsi="Times New Roman" w:cs="Times New Roman"/>
                <w:color w:val="auto"/>
                <w:lang w:val="en-US" w:eastAsia="en-US"/>
              </w:rPr>
              <w:t>5</w:t>
            </w:r>
            <w:r>
              <w:rPr>
                <w:rFonts w:hint="default" w:ascii="Times New Roman" w:hAnsi="Times New Roman" w:cs="Times New Roman"/>
                <w:color w:val="auto"/>
                <w:lang w:val="en-US" w:eastAsia="zh-CN"/>
              </w:rPr>
              <w:t>5.2</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en-US"/>
              </w:rPr>
              <w:t>58.</w:t>
            </w:r>
            <w:r>
              <w:rPr>
                <w:rFonts w:hint="default" w:ascii="Times New Roman" w:hAnsi="Times New Roman" w:cs="Times New Roman"/>
                <w:color w:val="auto"/>
                <w:lang w:val="en-US" w:eastAsia="zh-CN"/>
              </w:rPr>
              <w:t>7</w:t>
            </w:r>
            <w:r>
              <w:rPr>
                <w:rFonts w:hint="default" w:ascii="Times New Roman" w:hAnsi="Times New Roman" w:cs="Times New Roman"/>
                <w:color w:val="auto"/>
                <w:lang w:val="en-US" w:eastAsia="en-US"/>
              </w:rPr>
              <w:t>5m，</w:t>
            </w:r>
            <w:r>
              <w:rPr>
                <w:rFonts w:hint="default" w:ascii="Times New Roman" w:hAnsi="Times New Roman" w:cs="Times New Roman"/>
                <w:color w:val="auto"/>
                <w:highlight w:val="none"/>
              </w:rPr>
              <w:t>项目区地块东西跨度为</w:t>
            </w:r>
            <w:r>
              <w:rPr>
                <w:rFonts w:hint="default" w:ascii="Times New Roman" w:hAnsi="Times New Roman" w:cs="Times New Roman"/>
                <w:color w:val="auto"/>
                <w:highlight w:val="none"/>
                <w:lang w:val="en-US" w:eastAsia="zh-CN"/>
              </w:rPr>
              <w:t>515</w:t>
            </w:r>
            <w:r>
              <w:rPr>
                <w:rFonts w:hint="default" w:ascii="Times New Roman" w:hAnsi="Times New Roman" w:cs="Times New Roman"/>
                <w:color w:val="auto"/>
                <w:highlight w:val="none"/>
              </w:rPr>
              <w:t>m，南北跨度为3</w:t>
            </w:r>
            <w:r>
              <w:rPr>
                <w:rFonts w:hint="default" w:ascii="Times New Roman" w:hAnsi="Times New Roman" w:cs="Times New Roman"/>
                <w:color w:val="auto"/>
                <w:highlight w:val="none"/>
                <w:lang w:val="en-US" w:eastAsia="zh-CN"/>
              </w:rPr>
              <w:t>51</w:t>
            </w:r>
            <w:r>
              <w:rPr>
                <w:rFonts w:hint="default" w:ascii="Times New Roman" w:hAnsi="Times New Roman" w:cs="Times New Roman"/>
                <w:color w:val="auto"/>
                <w:highlight w:val="none"/>
              </w:rPr>
              <w:t>m，结合目前地形，其场地平整挖方：原始地面标高</w:t>
            </w:r>
            <w:r>
              <w:rPr>
                <w:rFonts w:hint="default" w:ascii="Times New Roman" w:hAnsi="Times New Roman" w:cs="Times New Roman"/>
                <w:color w:val="auto"/>
                <w:highlight w:val="none"/>
                <w:lang w:val="en-US" w:eastAsia="zh-CN"/>
              </w:rPr>
              <w:t>50.2</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56.6</w:t>
            </w:r>
            <w:r>
              <w:rPr>
                <w:rFonts w:hint="default" w:ascii="Times New Roman" w:hAnsi="Times New Roman" w:cs="Times New Roman"/>
                <w:color w:val="auto"/>
                <w:highlight w:val="none"/>
              </w:rPr>
              <w:t>m，场平设计标高</w:t>
            </w:r>
            <w:r>
              <w:rPr>
                <w:rFonts w:hint="default" w:ascii="Times New Roman" w:hAnsi="Times New Roman" w:cs="Times New Roman"/>
                <w:color w:val="auto"/>
                <w:lang w:val="en-US" w:eastAsia="en-US"/>
              </w:rPr>
              <w:t>5</w:t>
            </w:r>
            <w:r>
              <w:rPr>
                <w:rFonts w:hint="default" w:ascii="Times New Roman" w:hAnsi="Times New Roman" w:cs="Times New Roman"/>
                <w:color w:val="auto"/>
                <w:lang w:val="en-US" w:eastAsia="zh-CN"/>
              </w:rPr>
              <w:t>5.2</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en-US"/>
              </w:rPr>
              <w:t>58.</w:t>
            </w:r>
            <w:r>
              <w:rPr>
                <w:rFonts w:hint="default" w:ascii="Times New Roman" w:hAnsi="Times New Roman" w:cs="Times New Roman"/>
                <w:color w:val="auto"/>
                <w:lang w:val="en-US" w:eastAsia="zh-CN"/>
              </w:rPr>
              <w:t>7</w:t>
            </w:r>
            <w:r>
              <w:rPr>
                <w:rFonts w:hint="default" w:ascii="Times New Roman" w:hAnsi="Times New Roman" w:cs="Times New Roman"/>
                <w:color w:val="auto"/>
                <w:lang w:val="en-US" w:eastAsia="en-US"/>
              </w:rPr>
              <w:t>5</w:t>
            </w:r>
            <w:r>
              <w:rPr>
                <w:rFonts w:hint="default" w:ascii="Times New Roman" w:hAnsi="Times New Roman" w:cs="Times New Roman"/>
                <w:color w:val="auto"/>
                <w:highlight w:val="none"/>
              </w:rPr>
              <w:t>m，产生场平挖方</w:t>
            </w:r>
            <w:r>
              <w:rPr>
                <w:rFonts w:hint="default" w:ascii="Times New Roman" w:hAnsi="Times New Roman" w:cs="Times New Roman"/>
                <w:color w:val="auto"/>
                <w:highlight w:val="none"/>
                <w:lang w:eastAsia="zh-CN"/>
              </w:rPr>
              <w:t>主要为清基，</w:t>
            </w:r>
            <w:r>
              <w:rPr>
                <w:rFonts w:hint="default" w:ascii="Times New Roman" w:hAnsi="Times New Roman" w:cs="Times New Roman"/>
                <w:color w:val="auto"/>
                <w:highlight w:val="none"/>
              </w:rPr>
              <w:t>约</w:t>
            </w:r>
            <w:r>
              <w:rPr>
                <w:rFonts w:hint="default" w:ascii="Times New Roman" w:hAnsi="Times New Roman" w:cs="Times New Roman"/>
                <w:color w:val="auto"/>
                <w:highlight w:val="none"/>
                <w:lang w:val="en-US" w:eastAsia="zh-CN"/>
              </w:rPr>
              <w:t>4.11</w:t>
            </w:r>
            <w:r>
              <w:rPr>
                <w:rFonts w:hint="default" w:ascii="Times New Roman" w:hAnsi="Times New Roman" w:cs="Times New Roman"/>
                <w:color w:val="auto"/>
                <w:highlight w:val="none"/>
              </w:rPr>
              <w:t>万m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②地下管网埋设：</w:t>
            </w:r>
            <w:r>
              <w:rPr>
                <w:rFonts w:hint="default" w:ascii="Times New Roman" w:hAnsi="Times New Roman" w:cs="Times New Roman"/>
                <w:color w:val="auto"/>
                <w:highlight w:val="none"/>
                <w:lang w:eastAsia="zh-CN"/>
              </w:rPr>
              <w:t>本项目</w:t>
            </w:r>
            <w:r>
              <w:rPr>
                <w:rFonts w:hint="default" w:ascii="Times New Roman" w:hAnsi="Times New Roman" w:cs="Times New Roman"/>
                <w:color w:val="auto"/>
                <w:highlight w:val="none"/>
              </w:rPr>
              <w:t>新增设</w:t>
            </w:r>
            <w:r>
              <w:rPr>
                <w:rFonts w:hint="default" w:ascii="Times New Roman" w:hAnsi="Times New Roman" w:cs="Times New Roman"/>
                <w:color w:val="auto"/>
                <w:highlight w:val="none"/>
                <w:lang w:eastAsia="zh-CN"/>
              </w:rPr>
              <w:t>给排水管网、</w:t>
            </w:r>
            <w:r>
              <w:rPr>
                <w:rFonts w:hint="default" w:ascii="Times New Roman" w:hAnsi="Times New Roman" w:cs="Times New Roman"/>
                <w:color w:val="auto"/>
                <w:highlight w:val="none"/>
              </w:rPr>
              <w:t>污水管</w:t>
            </w:r>
            <w:r>
              <w:rPr>
                <w:rFonts w:hint="default" w:ascii="Times New Roman" w:hAnsi="Times New Roman" w:cs="Times New Roman"/>
                <w:color w:val="auto"/>
                <w:highlight w:val="none"/>
                <w:lang w:eastAsia="zh-CN"/>
              </w:rPr>
              <w:t>网、</w:t>
            </w:r>
            <w:r>
              <w:rPr>
                <w:rFonts w:hint="default" w:ascii="Times New Roman" w:hAnsi="Times New Roman" w:cs="Times New Roman"/>
                <w:color w:val="auto"/>
                <w:highlight w:val="none"/>
              </w:rPr>
              <w:t>天然气管</w:t>
            </w:r>
            <w:r>
              <w:rPr>
                <w:rFonts w:hint="default" w:ascii="Times New Roman" w:hAnsi="Times New Roman" w:cs="Times New Roman"/>
                <w:color w:val="auto"/>
                <w:highlight w:val="none"/>
                <w:lang w:eastAsia="zh-CN"/>
              </w:rPr>
              <w:t>网、消防管网及电缆管道等</w:t>
            </w:r>
            <w:r>
              <w:rPr>
                <w:rFonts w:hint="default" w:ascii="Times New Roman" w:hAnsi="Times New Roman" w:cs="Times New Roman"/>
                <w:color w:val="auto"/>
                <w:highlight w:val="none"/>
              </w:rPr>
              <w:t>，均按挖深1m计，底宽1m，边坡按1:0.75开挖，总挖方量</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万m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pPr>
              <w:numPr>
                <w:ilvl w:val="0"/>
                <w:numId w:val="0"/>
              </w:numPr>
              <w:ind w:left="420" w:leftChars="0"/>
              <w:rPr>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color w:val="auto"/>
                <w:highlight w:val="none"/>
              </w:rPr>
              <w:t>填方</w:t>
            </w:r>
          </w:p>
          <w:p>
            <w:pPr>
              <w:ind w:firstLine="480"/>
              <w:rPr>
                <w:color w:val="auto"/>
                <w:highlight w:val="none"/>
              </w:rPr>
            </w:pPr>
            <w:r>
              <w:rPr>
                <w:color w:val="auto"/>
                <w:highlight w:val="none"/>
              </w:rPr>
              <w:t>总回填量为</w:t>
            </w:r>
            <w:r>
              <w:rPr>
                <w:rFonts w:hint="eastAsia"/>
                <w:color w:val="auto"/>
                <w:highlight w:val="none"/>
                <w:lang w:val="en-US" w:eastAsia="zh-CN"/>
              </w:rPr>
              <w:t>43.23</w:t>
            </w:r>
            <w:r>
              <w:rPr>
                <w:rFonts w:hint="eastAsia"/>
                <w:color w:val="auto"/>
                <w:highlight w:val="none"/>
              </w:rPr>
              <w:t>万</w:t>
            </w:r>
            <w:r>
              <w:rPr>
                <w:color w:val="auto"/>
                <w:highlight w:val="none"/>
              </w:rPr>
              <w:t>m</w:t>
            </w:r>
            <w:r>
              <w:rPr>
                <w:color w:val="auto"/>
                <w:highlight w:val="none"/>
                <w:vertAlign w:val="superscript"/>
              </w:rPr>
              <w:t>3</w:t>
            </w:r>
            <w:r>
              <w:rPr>
                <w:rFonts w:hint="eastAsia"/>
                <w:color w:val="auto"/>
                <w:highlight w:val="none"/>
                <w:vertAlign w:val="baseline"/>
                <w:lang w:eastAsia="zh-CN"/>
              </w:rPr>
              <w:t>（</w:t>
            </w:r>
            <w:r>
              <w:rPr>
                <w:color w:val="auto"/>
                <w:highlight w:val="none"/>
              </w:rPr>
              <w:t>基础及管沟基础回填</w:t>
            </w:r>
            <w:r>
              <w:rPr>
                <w:rFonts w:hint="eastAsia"/>
                <w:color w:val="auto"/>
                <w:highlight w:val="none"/>
                <w:lang w:val="en-US" w:eastAsia="zh-CN"/>
              </w:rPr>
              <w:t>39.9</w:t>
            </w:r>
            <w:r>
              <w:rPr>
                <w:rFonts w:hint="eastAsia"/>
                <w:color w:val="auto"/>
                <w:highlight w:val="none"/>
              </w:rPr>
              <w:t>万</w:t>
            </w:r>
            <w:r>
              <w:rPr>
                <w:color w:val="auto"/>
                <w:highlight w:val="none"/>
              </w:rPr>
              <w:t>m</w:t>
            </w:r>
            <w:r>
              <w:rPr>
                <w:color w:val="auto"/>
                <w:highlight w:val="none"/>
                <w:vertAlign w:val="superscript"/>
              </w:rPr>
              <w:t>3</w:t>
            </w:r>
            <w:r>
              <w:rPr>
                <w:color w:val="auto"/>
                <w:highlight w:val="none"/>
              </w:rPr>
              <w:t>，绿化覆土量</w:t>
            </w:r>
            <w:r>
              <w:rPr>
                <w:rFonts w:hint="eastAsia"/>
                <w:color w:val="auto"/>
                <w:highlight w:val="none"/>
                <w:lang w:val="en-US" w:eastAsia="zh-CN"/>
              </w:rPr>
              <w:t>3.33</w:t>
            </w:r>
            <w:r>
              <w:rPr>
                <w:color w:val="auto"/>
                <w:highlight w:val="none"/>
              </w:rPr>
              <w:t>万m</w:t>
            </w:r>
            <w:r>
              <w:rPr>
                <w:color w:val="auto"/>
                <w:highlight w:val="none"/>
                <w:vertAlign w:val="superscript"/>
              </w:rPr>
              <w:t>3</w:t>
            </w:r>
            <w:r>
              <w:rPr>
                <w:rFonts w:hint="eastAsia"/>
                <w:color w:val="auto"/>
                <w:highlight w:val="none"/>
                <w:lang w:eastAsia="zh-CN"/>
              </w:rPr>
              <w:t>）</w:t>
            </w:r>
            <w:r>
              <w:rPr>
                <w:color w:val="auto"/>
                <w:highlight w:val="none"/>
              </w:rPr>
              <w:t>。具体可细分为：</w:t>
            </w:r>
          </w:p>
          <w:p>
            <w:pPr>
              <w:ind w:firstLine="480"/>
              <w:rPr>
                <w:color w:val="auto"/>
                <w:highlight w:val="none"/>
              </w:rPr>
            </w:pPr>
            <w:r>
              <w:rPr>
                <w:color w:val="auto"/>
                <w:highlight w:val="none"/>
              </w:rPr>
              <w:t>①场平填筑：根据竖向设计，</w:t>
            </w:r>
            <w:r>
              <w:rPr>
                <w:rFonts w:hint="eastAsia"/>
                <w:color w:val="auto"/>
                <w:highlight w:val="none"/>
              </w:rPr>
              <w:t>原始地面标高</w:t>
            </w:r>
            <w:r>
              <w:rPr>
                <w:rFonts w:hint="eastAsia"/>
                <w:color w:val="auto"/>
                <w:highlight w:val="none"/>
                <w:lang w:val="en-US" w:eastAsia="zh-CN"/>
              </w:rPr>
              <w:t>50.2~56.6</w:t>
            </w:r>
            <w:r>
              <w:rPr>
                <w:rFonts w:hint="eastAsia"/>
                <w:color w:val="auto"/>
                <w:highlight w:val="none"/>
              </w:rPr>
              <w:t>m，场平设计标高</w:t>
            </w:r>
            <w:r>
              <w:rPr>
                <w:rFonts w:hint="default"/>
                <w:color w:val="auto"/>
                <w:lang w:val="en-US" w:eastAsia="en-US"/>
              </w:rPr>
              <w:t>5</w:t>
            </w:r>
            <w:r>
              <w:rPr>
                <w:rFonts w:hint="eastAsia"/>
                <w:color w:val="auto"/>
                <w:lang w:val="en-US" w:eastAsia="zh-CN"/>
              </w:rPr>
              <w:t>5.2~</w:t>
            </w:r>
            <w:r>
              <w:rPr>
                <w:rFonts w:hint="default"/>
                <w:color w:val="auto"/>
                <w:lang w:val="en-US" w:eastAsia="en-US"/>
              </w:rPr>
              <w:t>58.</w:t>
            </w:r>
            <w:r>
              <w:rPr>
                <w:rFonts w:hint="eastAsia"/>
                <w:color w:val="auto"/>
                <w:lang w:val="en-US" w:eastAsia="zh-CN"/>
              </w:rPr>
              <w:t>7</w:t>
            </w:r>
            <w:r>
              <w:rPr>
                <w:rFonts w:hint="default"/>
                <w:color w:val="auto"/>
                <w:lang w:val="en-US" w:eastAsia="en-US"/>
              </w:rPr>
              <w:t>5</w:t>
            </w:r>
            <w:r>
              <w:rPr>
                <w:rFonts w:hint="eastAsia"/>
                <w:color w:val="auto"/>
                <w:highlight w:val="none"/>
              </w:rPr>
              <w:t>m，</w:t>
            </w:r>
            <w:r>
              <w:rPr>
                <w:rFonts w:hint="eastAsia"/>
                <w:color w:val="auto"/>
                <w:highlight w:val="none"/>
                <w:lang w:eastAsia="zh-CN"/>
              </w:rPr>
              <w:t>场内整体西高东低，场内标高平整共需回填土方</w:t>
            </w:r>
            <w:r>
              <w:rPr>
                <w:rFonts w:hint="eastAsia"/>
                <w:color w:val="auto"/>
                <w:highlight w:val="none"/>
                <w:lang w:val="en-US" w:eastAsia="zh-CN"/>
              </w:rPr>
              <w:t>34.08</w:t>
            </w:r>
            <w:r>
              <w:rPr>
                <w:color w:val="auto"/>
                <w:highlight w:val="none"/>
              </w:rPr>
              <w:t>万m</w:t>
            </w:r>
            <w:r>
              <w:rPr>
                <w:color w:val="auto"/>
                <w:highlight w:val="none"/>
                <w:vertAlign w:val="superscript"/>
              </w:rPr>
              <w:t>3</w:t>
            </w:r>
            <w:r>
              <w:rPr>
                <w:color w:val="auto"/>
                <w:highlight w:val="none"/>
              </w:rPr>
              <w:t>。需</w:t>
            </w:r>
            <w:r>
              <w:rPr>
                <w:rFonts w:hint="eastAsia"/>
                <w:color w:val="auto"/>
                <w:highlight w:val="none"/>
              </w:rPr>
              <w:t>对水塘及低洼地</w:t>
            </w:r>
            <w:r>
              <w:rPr>
                <w:color w:val="auto"/>
                <w:highlight w:val="none"/>
              </w:rPr>
              <w:t>进行</w:t>
            </w:r>
            <w:r>
              <w:rPr>
                <w:rFonts w:hint="eastAsia"/>
                <w:color w:val="auto"/>
                <w:highlight w:val="none"/>
              </w:rPr>
              <w:t>小</w:t>
            </w:r>
            <w:r>
              <w:rPr>
                <w:color w:val="auto"/>
                <w:highlight w:val="none"/>
              </w:rPr>
              <w:t>面积填筑，</w:t>
            </w:r>
            <w:r>
              <w:rPr>
                <w:rFonts w:hint="eastAsia"/>
                <w:color w:val="auto"/>
                <w:highlight w:val="none"/>
              </w:rPr>
              <w:t>根据原始地形图，</w:t>
            </w:r>
            <w:r>
              <w:rPr>
                <w:color w:val="auto"/>
                <w:highlight w:val="none"/>
              </w:rPr>
              <w:t>该部分</w:t>
            </w:r>
            <w:r>
              <w:rPr>
                <w:rFonts w:hint="eastAsia"/>
                <w:color w:val="auto"/>
                <w:highlight w:val="none"/>
              </w:rPr>
              <w:t>面积为</w:t>
            </w:r>
            <w:r>
              <w:rPr>
                <w:rFonts w:hint="eastAsia"/>
                <w:color w:val="auto"/>
                <w:highlight w:val="none"/>
                <w:lang w:val="en-US" w:eastAsia="zh-CN"/>
              </w:rPr>
              <w:t>3.3727</w:t>
            </w:r>
            <w:r>
              <w:rPr>
                <w:rFonts w:hint="eastAsia"/>
                <w:color w:val="auto"/>
                <w:highlight w:val="none"/>
              </w:rPr>
              <w:t>hm</w:t>
            </w:r>
            <w:r>
              <w:rPr>
                <w:rFonts w:hint="eastAsia"/>
                <w:color w:val="auto"/>
                <w:highlight w:val="none"/>
                <w:vertAlign w:val="superscript"/>
              </w:rPr>
              <w:t>2</w:t>
            </w:r>
            <w:r>
              <w:rPr>
                <w:rFonts w:hint="eastAsia"/>
                <w:color w:val="auto"/>
                <w:highlight w:val="none"/>
              </w:rPr>
              <w:t>，</w:t>
            </w:r>
            <w:r>
              <w:rPr>
                <w:color w:val="auto"/>
                <w:highlight w:val="none"/>
              </w:rPr>
              <w:t>填筑土方需约</w:t>
            </w:r>
            <w:r>
              <w:rPr>
                <w:rFonts w:hint="eastAsia"/>
                <w:color w:val="auto"/>
                <w:highlight w:val="none"/>
                <w:lang w:val="en-US" w:eastAsia="zh-CN"/>
              </w:rPr>
              <w:t>8.43</w:t>
            </w:r>
            <w:r>
              <w:rPr>
                <w:color w:val="auto"/>
                <w:highlight w:val="none"/>
              </w:rPr>
              <w:t>万m</w:t>
            </w:r>
            <w:r>
              <w:rPr>
                <w:color w:val="auto"/>
                <w:highlight w:val="none"/>
                <w:vertAlign w:val="superscript"/>
              </w:rPr>
              <w:t>3</w:t>
            </w:r>
            <w:r>
              <w:rPr>
                <w:rFonts w:hint="eastAsia"/>
                <w:color w:val="auto"/>
                <w:highlight w:val="none"/>
                <w:lang w:eastAsia="zh-CN"/>
              </w:rPr>
              <w:t>，水塘及场平基础回填</w:t>
            </w:r>
            <w:r>
              <w:rPr>
                <w:color w:val="auto"/>
                <w:highlight w:val="none"/>
              </w:rPr>
              <w:t>在场平期完成，无需进行中转。</w:t>
            </w:r>
          </w:p>
          <w:p>
            <w:pPr>
              <w:ind w:firstLine="480"/>
              <w:rPr>
                <w:color w:val="auto"/>
                <w:highlight w:val="none"/>
              </w:rPr>
            </w:pPr>
            <w:r>
              <w:rPr>
                <w:color w:val="auto"/>
                <w:highlight w:val="none"/>
              </w:rPr>
              <w:t>②管道填埋：</w:t>
            </w:r>
            <w:r>
              <w:rPr>
                <w:rFonts w:hint="eastAsia"/>
                <w:color w:val="auto"/>
                <w:highlight w:val="none"/>
                <w:lang w:eastAsia="zh-CN"/>
              </w:rPr>
              <w:t>排水管网、</w:t>
            </w:r>
            <w:r>
              <w:rPr>
                <w:color w:val="auto"/>
                <w:highlight w:val="none"/>
              </w:rPr>
              <w:t>污水管</w:t>
            </w:r>
            <w:r>
              <w:rPr>
                <w:rFonts w:hint="eastAsia"/>
                <w:color w:val="auto"/>
                <w:highlight w:val="none"/>
                <w:lang w:eastAsia="zh-CN"/>
              </w:rPr>
              <w:t>网、</w:t>
            </w:r>
            <w:r>
              <w:rPr>
                <w:color w:val="auto"/>
                <w:highlight w:val="none"/>
              </w:rPr>
              <w:t>天然气管</w:t>
            </w:r>
            <w:r>
              <w:rPr>
                <w:rFonts w:hint="eastAsia"/>
                <w:color w:val="auto"/>
                <w:highlight w:val="none"/>
                <w:lang w:eastAsia="zh-CN"/>
              </w:rPr>
              <w:t>网、消防管网及电缆管道等管道回填土方</w:t>
            </w:r>
            <w:r>
              <w:rPr>
                <w:color w:val="auto"/>
                <w:highlight w:val="none"/>
              </w:rPr>
              <w:t>，该部分总填方量为0.</w:t>
            </w:r>
            <w:r>
              <w:rPr>
                <w:rFonts w:hint="eastAsia"/>
                <w:color w:val="auto"/>
                <w:highlight w:val="none"/>
                <w:lang w:val="en-US" w:eastAsia="zh-CN"/>
              </w:rPr>
              <w:t>3</w:t>
            </w:r>
            <w:r>
              <w:rPr>
                <w:rFonts w:hint="eastAsia"/>
                <w:color w:val="auto"/>
                <w:highlight w:val="none"/>
              </w:rPr>
              <w:t>5</w:t>
            </w:r>
            <w:r>
              <w:rPr>
                <w:color w:val="auto"/>
                <w:highlight w:val="none"/>
              </w:rPr>
              <w:t>万m</w:t>
            </w:r>
            <w:r>
              <w:rPr>
                <w:color w:val="auto"/>
                <w:highlight w:val="none"/>
                <w:vertAlign w:val="superscript"/>
              </w:rPr>
              <w:t>3</w:t>
            </w:r>
            <w:r>
              <w:rPr>
                <w:color w:val="auto"/>
                <w:highlight w:val="none"/>
              </w:rPr>
              <w:t>。该部分填土从开挖到回填时间短，可堆放于管沟两侧，管道施工完后便可覆土。</w:t>
            </w:r>
          </w:p>
          <w:p>
            <w:pPr>
              <w:bidi w:val="0"/>
              <w:rPr>
                <w:rFonts w:hint="eastAsia"/>
                <w:color w:val="auto"/>
                <w:lang w:eastAsia="zh-CN"/>
              </w:rPr>
            </w:pPr>
            <w:r>
              <w:rPr>
                <w:rFonts w:hint="eastAsia"/>
                <w:color w:val="auto"/>
                <w:lang w:eastAsia="zh-CN"/>
              </w:rPr>
              <w:t>（</w:t>
            </w:r>
            <w:r>
              <w:rPr>
                <w:rFonts w:hint="eastAsia"/>
                <w:color w:val="auto"/>
                <w:lang w:val="en-US" w:eastAsia="zh-CN"/>
              </w:rPr>
              <w:t>3）</w:t>
            </w:r>
            <w:r>
              <w:rPr>
                <w:rFonts w:hint="eastAsia"/>
                <w:color w:val="auto"/>
                <w:lang w:eastAsia="zh-CN"/>
              </w:rPr>
              <w:t>借方</w:t>
            </w:r>
          </w:p>
          <w:p>
            <w:pPr>
              <w:rPr>
                <w:rFonts w:hint="default" w:ascii="Times New Roman" w:hAnsi="Times New Roman" w:eastAsia="宋体" w:cs="Times New Roman"/>
                <w:color w:val="auto"/>
                <w:lang w:val="en-US" w:eastAsia="zh-CN"/>
              </w:rPr>
            </w:pPr>
            <w:r>
              <w:rPr>
                <w:rFonts w:hint="default" w:ascii="Times New Roman" w:hAnsi="Times New Roman" w:cs="Times New Roman"/>
                <w:color w:val="auto"/>
                <w:highlight w:val="none"/>
                <w:lang w:eastAsia="zh-CN"/>
              </w:rPr>
              <w:t>项目区总挖方</w:t>
            </w:r>
            <w:r>
              <w:rPr>
                <w:rFonts w:hint="default" w:ascii="Times New Roman" w:hAnsi="Times New Roman" w:eastAsia="宋体" w:cs="Times New Roman"/>
                <w:i w:val="0"/>
                <w:iCs w:val="0"/>
                <w:caps w:val="0"/>
                <w:color w:val="auto"/>
                <w:spacing w:val="8"/>
                <w:sz w:val="24"/>
                <w:szCs w:val="24"/>
                <w:shd w:val="clear" w:color="auto" w:fill="FFFFFF"/>
                <w:lang w:eastAsia="zh-CN"/>
              </w:rPr>
              <w:t>，</w:t>
            </w:r>
            <w:r>
              <w:rPr>
                <w:rFonts w:hint="default" w:ascii="Times New Roman" w:hAnsi="Times New Roman" w:eastAsia="宋体" w:cs="Times New Roman"/>
                <w:color w:val="auto"/>
                <w:highlight w:val="none"/>
                <w:lang w:eastAsia="zh-CN"/>
              </w:rPr>
              <w:t>本项目</w:t>
            </w:r>
            <w:r>
              <w:rPr>
                <w:rFonts w:hint="default" w:ascii="Times New Roman" w:hAnsi="Times New Roman" w:eastAsia="宋体" w:cs="Times New Roman"/>
                <w:color w:val="auto"/>
                <w:highlight w:val="none"/>
              </w:rPr>
              <w:t>总开挖量为</w:t>
            </w:r>
            <w:r>
              <w:rPr>
                <w:rFonts w:hint="default" w:ascii="Times New Roman" w:hAnsi="Times New Roman" w:eastAsia="宋体" w:cs="Times New Roman"/>
                <w:color w:val="auto"/>
                <w:highlight w:val="none"/>
                <w:lang w:val="en-US" w:eastAsia="zh-CN"/>
              </w:rPr>
              <w:t>9.2</w:t>
            </w:r>
            <w:r>
              <w:rPr>
                <w:rFonts w:hint="default" w:ascii="Times New Roman" w:hAnsi="Times New Roman" w:eastAsia="宋体" w:cs="Times New Roman"/>
                <w:color w:val="auto"/>
                <w:highlight w:val="none"/>
              </w:rPr>
              <w:t>万m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，总回填量为</w:t>
            </w:r>
            <w:r>
              <w:rPr>
                <w:rFonts w:hint="default" w:ascii="Times New Roman" w:hAnsi="Times New Roman" w:eastAsia="宋体" w:cs="Times New Roman"/>
                <w:color w:val="auto"/>
                <w:highlight w:val="none"/>
                <w:lang w:val="en-US" w:eastAsia="zh-CN"/>
              </w:rPr>
              <w:t>43.23</w:t>
            </w:r>
            <w:r>
              <w:rPr>
                <w:rFonts w:hint="default" w:ascii="Times New Roman" w:hAnsi="Times New Roman" w:eastAsia="宋体" w:cs="Times New Roman"/>
                <w:color w:val="auto"/>
                <w:highlight w:val="none"/>
              </w:rPr>
              <w:t>万m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，需</w:t>
            </w:r>
            <w:r>
              <w:rPr>
                <w:rFonts w:hint="default" w:ascii="Times New Roman" w:hAnsi="Times New Roman" w:eastAsia="宋体" w:cs="Times New Roman"/>
                <w:color w:val="auto"/>
                <w:highlight w:val="none"/>
                <w:lang w:eastAsia="zh-CN"/>
              </w:rPr>
              <w:t>借</w:t>
            </w:r>
            <w:r>
              <w:rPr>
                <w:rFonts w:hint="default" w:ascii="Times New Roman" w:hAnsi="Times New Roman" w:eastAsia="宋体" w:cs="Times New Roman"/>
                <w:color w:val="auto"/>
                <w:highlight w:val="none"/>
              </w:rPr>
              <w:t>土量为</w:t>
            </w:r>
            <w:r>
              <w:rPr>
                <w:rFonts w:hint="default" w:ascii="Times New Roman" w:hAnsi="Times New Roman" w:eastAsia="宋体" w:cs="Times New Roman"/>
                <w:color w:val="auto"/>
                <w:highlight w:val="none"/>
                <w:lang w:val="en-US" w:eastAsia="zh-CN"/>
              </w:rPr>
              <w:t>35.38</w:t>
            </w:r>
            <w:r>
              <w:rPr>
                <w:rFonts w:hint="default" w:ascii="Times New Roman" w:hAnsi="Times New Roman" w:eastAsia="宋体" w:cs="Times New Roman"/>
                <w:color w:val="auto"/>
                <w:highlight w:val="none"/>
              </w:rPr>
              <w:t>万m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借土来源于湖南华侨城公司建设项目华侨城衡阳市八中地块弃土，华侨城衡阳市八中项目距离本项目</w:t>
            </w:r>
            <w:r>
              <w:rPr>
                <w:rFonts w:hint="default" w:ascii="Times New Roman" w:hAnsi="Times New Roman" w:eastAsia="宋体" w:cs="Times New Roman"/>
                <w:color w:val="auto"/>
                <w:highlight w:val="none"/>
                <w:lang w:val="en-US" w:eastAsia="zh-CN"/>
              </w:rPr>
              <w:t>6.5km，位于衡阳市石鼓区合江街道五里牌（北二环南侧），该项目土石方开挖总量约42.5万</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，总回填量</w:t>
            </w:r>
            <w:r>
              <w:rPr>
                <w:rFonts w:hint="default" w:ascii="Times New Roman" w:hAnsi="Times New Roman" w:eastAsia="宋体" w:cs="Times New Roman"/>
                <w:color w:val="auto"/>
                <w:highlight w:val="none"/>
                <w:lang w:eastAsia="zh-CN"/>
              </w:rPr>
              <w:t>约</w:t>
            </w:r>
            <w:r>
              <w:rPr>
                <w:rFonts w:hint="default" w:ascii="Times New Roman" w:hAnsi="Times New Roman" w:eastAsia="宋体" w:cs="Times New Roman"/>
                <w:color w:val="auto"/>
                <w:highlight w:val="none"/>
                <w:lang w:val="en-US" w:eastAsia="zh-CN"/>
              </w:rPr>
              <w:t>7.1</w:t>
            </w:r>
            <w:r>
              <w:rPr>
                <w:rFonts w:hint="default" w:ascii="Times New Roman" w:hAnsi="Times New Roman" w:eastAsia="宋体" w:cs="Times New Roman"/>
                <w:color w:val="auto"/>
                <w:highlight w:val="none"/>
              </w:rPr>
              <w:t>万m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弃方</w:t>
            </w:r>
            <w:r>
              <w:rPr>
                <w:rFonts w:hint="default" w:ascii="Times New Roman" w:hAnsi="Times New Roman" w:eastAsia="宋体" w:cs="Times New Roman"/>
                <w:color w:val="auto"/>
                <w:highlight w:val="none"/>
                <w:lang w:val="en-US" w:eastAsia="zh-CN"/>
              </w:rPr>
              <w:t>35.4万</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目前该项目处于前期设计阶段，已完成场内平整，本项目负责对弃土回填产生的水土防治承担责任。</w:t>
            </w:r>
          </w:p>
          <w:p>
            <w:pPr>
              <w:bidi w:val="0"/>
              <w:rPr>
                <w:rFonts w:hint="eastAsia"/>
                <w:color w:val="auto"/>
                <w:highlight w:val="none"/>
              </w:rPr>
            </w:pPr>
            <w:r>
              <w:rPr>
                <w:color w:val="auto"/>
                <w:sz w:val="21"/>
                <w:highlight w:val="none"/>
              </w:rPr>
              <mc:AlternateContent>
                <mc:Choice Requires="wps">
                  <w:drawing>
                    <wp:anchor distT="0" distB="0" distL="114300" distR="114300" simplePos="0" relativeHeight="251660288" behindDoc="0" locked="0" layoutInCell="1" allowOverlap="1">
                      <wp:simplePos x="0" y="0"/>
                      <wp:positionH relativeFrom="column">
                        <wp:posOffset>1510030</wp:posOffset>
                      </wp:positionH>
                      <wp:positionV relativeFrom="paragraph">
                        <wp:posOffset>3548380</wp:posOffset>
                      </wp:positionV>
                      <wp:extent cx="976630" cy="485775"/>
                      <wp:effectExtent l="0" t="0" r="0" b="0"/>
                      <wp:wrapNone/>
                      <wp:docPr id="5" name="右箭头 5"/>
                      <wp:cNvGraphicFramePr/>
                      <a:graphic xmlns:a="http://schemas.openxmlformats.org/drawingml/2006/main">
                        <a:graphicData uri="http://schemas.microsoft.com/office/word/2010/wordprocessingShape">
                          <wps:wsp>
                            <wps:cNvSpPr/>
                            <wps:spPr>
                              <a:xfrm>
                                <a:off x="0" y="0"/>
                                <a:ext cx="976630" cy="485775"/>
                              </a:xfrm>
                              <a:prstGeom prst="rightArrow">
                                <a:avLst>
                                  <a:gd name="adj1" fmla="val 50000"/>
                                  <a:gd name="adj2" fmla="val 50261"/>
                                </a:avLst>
                              </a:prstGeom>
                              <a:noFill/>
                              <a:ln>
                                <a:noFill/>
                              </a:ln>
                            </wps:spPr>
                            <wps:bodyPr upright="1"/>
                          </wps:wsp>
                        </a:graphicData>
                      </a:graphic>
                    </wp:anchor>
                  </w:drawing>
                </mc:Choice>
                <mc:Fallback>
                  <w:pict>
                    <v:shape id="_x0000_s1026" o:spid="_x0000_s1026" o:spt="13" type="#_x0000_t13" style="position:absolute;left:0pt;margin-left:118.9pt;margin-top:279.4pt;height:38.25pt;width:76.9pt;z-index:251660288;mso-width-relative:page;mso-height-relative:page;" filled="f" stroked="f" coordsize="21600,21600" o:gfxdata="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&#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B5IAN90AAAALAQAADwAAAAAAAAABACAAAAAiAAAAZHJz&#10;L2Rvd25yZXYueG1sUEsBAhQAFAAAAAgAh07iQDerqtPGAQAAjwMAAA4AAAAAAAAAAQAgAAAALAEA&#10;AGRycy9lMm9Eb2MueG1sUEsFBgAAAAAGAAYAWQEAAGQFAAAAAA==&#10;" adj="16201,5400">
                      <v:fill on="f" focussize="0,0"/>
                      <v:stroke on="f"/>
                      <v:imagedata o:title=""/>
                      <o:lock v:ext="edit" aspectratio="f"/>
                    </v:shape>
                  </w:pict>
                </mc:Fallback>
              </mc:AlternateContent>
            </w:r>
            <w:r>
              <w:rPr>
                <w:rFonts w:hint="eastAsia"/>
                <w:color w:val="auto"/>
                <w:sz w:val="21"/>
                <w:highlight w:val="none"/>
                <w:lang w:eastAsia="zh-CN"/>
              </w:rPr>
              <w:t>（</w:t>
            </w:r>
            <w:r>
              <w:rPr>
                <w:rFonts w:hint="eastAsia"/>
                <w:color w:val="auto"/>
                <w:sz w:val="21"/>
                <w:highlight w:val="none"/>
                <w:lang w:val="en-US" w:eastAsia="zh-CN"/>
              </w:rPr>
              <w:t>4</w:t>
            </w:r>
            <w:r>
              <w:rPr>
                <w:rFonts w:hint="eastAsia"/>
                <w:color w:val="auto"/>
                <w:sz w:val="21"/>
                <w:highlight w:val="none"/>
                <w:lang w:eastAsia="zh-CN"/>
              </w:rPr>
              <w:t>）</w:t>
            </w:r>
            <w:r>
              <w:rPr>
                <w:rFonts w:hint="eastAsia"/>
                <w:color w:val="auto"/>
                <w:highlight w:val="none"/>
              </w:rPr>
              <w:t>表土</w:t>
            </w:r>
            <w:r>
              <w:rPr>
                <w:rFonts w:hint="eastAsia"/>
                <w:color w:val="auto"/>
                <w:highlight w:val="none"/>
                <w:lang w:eastAsia="zh-CN"/>
              </w:rPr>
              <w:t>及软土</w:t>
            </w:r>
            <w:r>
              <w:rPr>
                <w:rFonts w:hint="eastAsia"/>
                <w:color w:val="auto"/>
                <w:highlight w:val="none"/>
              </w:rPr>
              <w:t>回填</w:t>
            </w:r>
          </w:p>
          <w:p>
            <w:pPr>
              <w:ind w:firstLine="480"/>
              <w:rPr>
                <w:rFonts w:hint="eastAsia"/>
                <w:color w:val="auto"/>
                <w:highlight w:val="none"/>
              </w:rPr>
            </w:pPr>
            <w:r>
              <w:rPr>
                <w:rFonts w:hint="eastAsia"/>
                <w:color w:val="auto"/>
                <w:highlight w:val="none"/>
                <w:lang w:eastAsia="zh-CN"/>
              </w:rPr>
              <w:t>本项目</w:t>
            </w:r>
            <w:r>
              <w:rPr>
                <w:color w:val="auto"/>
                <w:highlight w:val="none"/>
              </w:rPr>
              <w:t>表土</w:t>
            </w:r>
            <w:r>
              <w:rPr>
                <w:rFonts w:hint="eastAsia"/>
                <w:color w:val="auto"/>
                <w:highlight w:val="none"/>
                <w:lang w:eastAsia="zh-CN"/>
              </w:rPr>
              <w:t>剥离量</w:t>
            </w:r>
            <w:r>
              <w:rPr>
                <w:color w:val="auto"/>
                <w:highlight w:val="none"/>
              </w:rPr>
              <w:t>为</w:t>
            </w:r>
            <w:r>
              <w:rPr>
                <w:rFonts w:hint="eastAsia"/>
                <w:color w:val="auto"/>
                <w:highlight w:val="none"/>
                <w:lang w:val="en-US" w:eastAsia="zh-CN"/>
              </w:rPr>
              <w:t>1.98</w:t>
            </w:r>
            <w:r>
              <w:rPr>
                <w:color w:val="auto"/>
                <w:highlight w:val="none"/>
              </w:rPr>
              <w:t>万m</w:t>
            </w:r>
            <w:r>
              <w:rPr>
                <w:color w:val="auto"/>
                <w:highlight w:val="none"/>
                <w:vertAlign w:val="superscript"/>
              </w:rPr>
              <w:t>3</w:t>
            </w:r>
            <w:r>
              <w:rPr>
                <w:color w:val="auto"/>
                <w:highlight w:val="none"/>
              </w:rPr>
              <w:t>，</w:t>
            </w:r>
            <w:r>
              <w:rPr>
                <w:rFonts w:hint="eastAsia"/>
                <w:color w:val="auto"/>
                <w:highlight w:val="none"/>
                <w:lang w:eastAsia="zh-CN"/>
              </w:rPr>
              <w:t>清基软土</w:t>
            </w:r>
            <w:r>
              <w:rPr>
                <w:rFonts w:hint="eastAsia"/>
                <w:color w:val="auto"/>
                <w:highlight w:val="none"/>
                <w:lang w:val="en-US" w:eastAsia="zh-CN"/>
              </w:rPr>
              <w:t>2.7</w:t>
            </w:r>
            <w:r>
              <w:rPr>
                <w:color w:val="auto"/>
                <w:highlight w:val="none"/>
              </w:rPr>
              <w:t>万m</w:t>
            </w:r>
            <w:r>
              <w:rPr>
                <w:color w:val="auto"/>
                <w:highlight w:val="none"/>
                <w:vertAlign w:val="superscript"/>
              </w:rPr>
              <w:t>3</w:t>
            </w:r>
            <w:r>
              <w:rPr>
                <w:color w:val="auto"/>
                <w:highlight w:val="none"/>
              </w:rPr>
              <w:t>，</w:t>
            </w:r>
            <w:r>
              <w:rPr>
                <w:rFonts w:hint="eastAsia"/>
                <w:color w:val="auto"/>
                <w:highlight w:val="none"/>
                <w:lang w:eastAsia="zh-CN"/>
              </w:rPr>
              <w:t>软土晒干后</w:t>
            </w:r>
            <w:r>
              <w:rPr>
                <w:rFonts w:hint="eastAsia"/>
                <w:color w:val="auto"/>
                <w:highlight w:val="none"/>
                <w:lang w:val="en-US" w:eastAsia="zh-CN"/>
              </w:rPr>
              <w:t>1.35</w:t>
            </w:r>
            <w:r>
              <w:rPr>
                <w:color w:val="auto"/>
                <w:highlight w:val="none"/>
              </w:rPr>
              <w:t>万m</w:t>
            </w:r>
            <w:r>
              <w:rPr>
                <w:color w:val="auto"/>
                <w:highlight w:val="none"/>
                <w:vertAlign w:val="superscript"/>
              </w:rPr>
              <w:t>3</w:t>
            </w:r>
            <w:r>
              <w:rPr>
                <w:rFonts w:hint="eastAsia"/>
                <w:color w:val="auto"/>
                <w:highlight w:val="none"/>
                <w:lang w:val="en-US" w:eastAsia="zh-CN"/>
              </w:rPr>
              <w:t>，均</w:t>
            </w:r>
            <w:r>
              <w:rPr>
                <w:rFonts w:hint="eastAsia"/>
                <w:color w:val="auto"/>
                <w:highlight w:val="none"/>
              </w:rPr>
              <w:t>用于绿化敷土。</w:t>
            </w:r>
          </w:p>
          <w:p>
            <w:pPr>
              <w:ind w:firstLine="480"/>
              <w:rPr>
                <w:color w:val="auto"/>
                <w:highlight w:val="none"/>
              </w:rPr>
            </w:pPr>
            <w:r>
              <w:rPr>
                <w:color w:val="auto"/>
                <w:highlight w:val="none"/>
              </w:rPr>
              <w:t>工程区内表土进行集中临时堆放作为绿化覆土，并严格按照“先拦后弃，先挡后堆”的原则。项目建成时绿化需要大量的表土，现有表土是不可多得的，在施工准备期应充分保留原来的表土，把原绿地的表土集中起来，加以保护。</w:t>
            </w:r>
            <w:r>
              <w:rPr>
                <w:rFonts w:hint="eastAsia"/>
                <w:color w:val="auto"/>
                <w:highlight w:val="none"/>
                <w:lang w:eastAsia="zh-CN"/>
              </w:rPr>
              <w:t>根据施工日志查阅，本项目</w:t>
            </w:r>
            <w:r>
              <w:rPr>
                <w:color w:val="auto"/>
                <w:highlight w:val="none"/>
              </w:rPr>
              <w:t>表土剥离量为</w:t>
            </w:r>
            <w:r>
              <w:rPr>
                <w:rFonts w:hint="eastAsia"/>
                <w:color w:val="auto"/>
                <w:highlight w:val="none"/>
                <w:lang w:val="en-US" w:eastAsia="zh-CN"/>
              </w:rPr>
              <w:t>1.98</w:t>
            </w:r>
            <w:r>
              <w:rPr>
                <w:color w:val="auto"/>
                <w:highlight w:val="none"/>
              </w:rPr>
              <w:t>万m</w:t>
            </w:r>
            <w:r>
              <w:rPr>
                <w:color w:val="auto"/>
                <w:highlight w:val="none"/>
                <w:vertAlign w:val="superscript"/>
              </w:rPr>
              <w:t>3</w:t>
            </w:r>
            <w:r>
              <w:rPr>
                <w:color w:val="auto"/>
                <w:highlight w:val="none"/>
              </w:rPr>
              <w:t>，</w:t>
            </w:r>
            <w:r>
              <w:rPr>
                <w:rFonts w:hint="eastAsia"/>
                <w:color w:val="auto"/>
                <w:highlight w:val="none"/>
                <w:lang w:eastAsia="zh-CN"/>
              </w:rPr>
              <w:t>剥离后</w:t>
            </w:r>
            <w:r>
              <w:rPr>
                <w:color w:val="auto"/>
                <w:highlight w:val="none"/>
              </w:rPr>
              <w:t>表土堆放在临时堆土区，用于绿化回填。</w:t>
            </w:r>
          </w:p>
          <w:p>
            <w:pPr>
              <w:bidi w:val="0"/>
              <w:rPr>
                <w:rFonts w:hint="eastAsia"/>
                <w:color w:val="auto"/>
                <w:highlight w:val="none"/>
                <w:lang w:eastAsia="zh-CN"/>
              </w:rPr>
            </w:pPr>
            <w:r>
              <w:rPr>
                <w:rFonts w:hint="eastAsia"/>
                <w:color w:val="auto"/>
                <w:highlight w:val="none"/>
                <w:lang w:eastAsia="zh-CN"/>
              </w:rPr>
              <w:t>本项目内有水塘</w:t>
            </w:r>
            <w:r>
              <w:rPr>
                <w:rFonts w:hint="eastAsia"/>
                <w:color w:val="auto"/>
                <w:highlight w:val="none"/>
                <w:lang w:val="en-US" w:eastAsia="zh-CN"/>
              </w:rPr>
              <w:t>16</w:t>
            </w:r>
            <w:r>
              <w:rPr>
                <w:rFonts w:hint="eastAsia"/>
                <w:color w:val="auto"/>
                <w:highlight w:val="none"/>
                <w:lang w:eastAsia="zh-CN"/>
              </w:rPr>
              <w:t>处，水域面积</w:t>
            </w:r>
            <w:r>
              <w:rPr>
                <w:rFonts w:hint="eastAsia"/>
                <w:color w:val="auto"/>
                <w:highlight w:val="none"/>
                <w:lang w:val="en-US" w:eastAsia="zh-CN"/>
              </w:rPr>
              <w:t>3.3727</w:t>
            </w:r>
            <w:r>
              <w:rPr>
                <w:rFonts w:hint="eastAsia"/>
                <w:color w:val="auto"/>
                <w:highlight w:val="none"/>
              </w:rPr>
              <w:t>hm</w:t>
            </w:r>
            <w:r>
              <w:rPr>
                <w:rFonts w:hint="eastAsia"/>
                <w:color w:val="auto"/>
                <w:highlight w:val="none"/>
                <w:vertAlign w:val="superscript"/>
              </w:rPr>
              <w:t>2</w:t>
            </w:r>
            <w:r>
              <w:rPr>
                <w:rFonts w:hint="eastAsia"/>
                <w:color w:val="auto"/>
                <w:highlight w:val="none"/>
              </w:rPr>
              <w:t>，</w:t>
            </w:r>
            <w:r>
              <w:rPr>
                <w:rFonts w:hint="eastAsia"/>
                <w:color w:val="auto"/>
                <w:highlight w:val="none"/>
                <w:lang w:eastAsia="zh-CN"/>
              </w:rPr>
              <w:t>清基后的软土</w:t>
            </w:r>
            <w:r>
              <w:rPr>
                <w:rFonts w:hint="eastAsia"/>
                <w:color w:val="auto"/>
                <w:highlight w:val="none"/>
                <w:lang w:val="en-US" w:eastAsia="zh-CN"/>
              </w:rPr>
              <w:t>2.698</w:t>
            </w:r>
            <w:r>
              <w:rPr>
                <w:color w:val="auto"/>
                <w:highlight w:val="none"/>
              </w:rPr>
              <w:t>万m</w:t>
            </w:r>
            <w:r>
              <w:rPr>
                <w:color w:val="auto"/>
                <w:highlight w:val="none"/>
                <w:vertAlign w:val="superscript"/>
              </w:rPr>
              <w:t>3</w:t>
            </w:r>
            <w:r>
              <w:rPr>
                <w:color w:val="auto"/>
                <w:highlight w:val="none"/>
              </w:rPr>
              <w:t>，</w:t>
            </w:r>
            <w:r>
              <w:rPr>
                <w:rFonts w:hint="eastAsia"/>
                <w:color w:val="auto"/>
                <w:highlight w:val="none"/>
                <w:lang w:eastAsia="zh-CN"/>
              </w:rPr>
              <w:t>对水塘进行清基的软土晒干后加以利用，用于后期的绿化敷土。软土含水量较高，临时堆置加以拦挡措施防治水土流失，软土晒干水分以后按</w:t>
            </w:r>
            <w:r>
              <w:rPr>
                <w:rFonts w:hint="eastAsia"/>
                <w:color w:val="auto"/>
                <w:highlight w:val="none"/>
                <w:lang w:val="en-US" w:eastAsia="zh-CN"/>
              </w:rPr>
              <w:t>50%比例缩水，本方案软土计量按晒干后方量计。晒干后软土</w:t>
            </w:r>
            <w:r>
              <w:rPr>
                <w:color w:val="auto"/>
                <w:highlight w:val="none"/>
              </w:rPr>
              <w:t>万</w:t>
            </w:r>
            <w:r>
              <w:rPr>
                <w:rFonts w:hint="eastAsia"/>
                <w:color w:val="auto"/>
                <w:highlight w:val="none"/>
                <w:lang w:val="en-US" w:eastAsia="zh-CN"/>
              </w:rPr>
              <w:t>1.349万</w:t>
            </w:r>
            <w:r>
              <w:rPr>
                <w:color w:val="auto"/>
                <w:highlight w:val="none"/>
              </w:rPr>
              <w:t>m</w:t>
            </w:r>
            <w:r>
              <w:rPr>
                <w:color w:val="auto"/>
                <w:highlight w:val="none"/>
                <w:vertAlign w:val="superscript"/>
              </w:rPr>
              <w:t>3</w:t>
            </w:r>
            <w:r>
              <w:rPr>
                <w:rFonts w:hint="eastAsia"/>
                <w:color w:val="auto"/>
                <w:highlight w:val="none"/>
                <w:lang w:eastAsia="zh-CN"/>
              </w:rPr>
              <w:t>。</w:t>
            </w:r>
          </w:p>
          <w:p>
            <w:pPr>
              <w:rPr>
                <w:rFonts w:hint="eastAsia"/>
                <w:color w:val="auto"/>
                <w:lang w:val="en-US" w:eastAsia="zh-CN"/>
              </w:rPr>
            </w:pPr>
            <w:r>
              <w:rPr>
                <w:rFonts w:hint="eastAsia"/>
                <w:color w:val="auto"/>
                <w:lang w:eastAsia="zh-CN"/>
              </w:rPr>
              <w:t>淤泥晾晒受天气影响较大，且过厚不利水分蒸发，因此淤泥只能采用薄层晾晒，水塘淤泥清出于塘边沥水</w:t>
            </w:r>
            <w:r>
              <w:rPr>
                <w:rFonts w:hint="eastAsia"/>
                <w:color w:val="auto"/>
                <w:lang w:val="en-US" w:eastAsia="zh-CN"/>
              </w:rPr>
              <w:t>2-3天后转运至晾晒场，采用挖掘机将淤泥摊铺成20-30cm厚，每隔2-3天采用机械翻晒一次，待淤泥晒干后堆放于临时堆土区。</w:t>
            </w:r>
          </w:p>
          <w:p>
            <w:pPr>
              <w:ind w:firstLine="480"/>
              <w:rPr>
                <w:rFonts w:hint="default" w:eastAsia="宋体"/>
                <w:color w:val="auto"/>
                <w:lang w:val="en-US" w:eastAsia="zh-CN"/>
              </w:rPr>
            </w:pPr>
            <w:r>
              <w:rPr>
                <w:color w:val="auto"/>
                <w:highlight w:val="none"/>
              </w:rPr>
              <w:t>土石方</w:t>
            </w:r>
            <w:r>
              <w:rPr>
                <w:rFonts w:hint="eastAsia"/>
                <w:color w:val="auto"/>
                <w:highlight w:val="none"/>
                <w:lang w:val="en-US" w:eastAsia="zh-CN"/>
              </w:rPr>
              <w:t>调配</w:t>
            </w:r>
            <w:r>
              <w:rPr>
                <w:color w:val="auto"/>
                <w:highlight w:val="none"/>
              </w:rPr>
              <w:t>见</w:t>
            </w:r>
            <w:r>
              <w:rPr>
                <w:rFonts w:hint="eastAsia"/>
                <w:color w:val="auto"/>
                <w:highlight w:val="none"/>
                <w:lang w:val="en-US" w:eastAsia="zh-CN"/>
              </w:rPr>
              <w:t>表9和图3。</w:t>
            </w:r>
          </w:p>
          <w:p>
            <w:pPr>
              <w:pStyle w:val="18"/>
              <w:bidi w:val="0"/>
              <w:rPr>
                <w:rFonts w:hint="eastAsia"/>
                <w:color w:val="auto"/>
                <w:lang w:val="en-US" w:eastAsia="zh-CN"/>
              </w:rPr>
            </w:pPr>
            <w:r>
              <w:rPr>
                <w:rFonts w:hint="eastAsia"/>
                <w:color w:val="auto"/>
                <w:lang w:val="en-US" w:eastAsia="zh-CN"/>
              </w:rPr>
              <w:t>表9 土石方平衡表</w:t>
            </w:r>
          </w:p>
          <w:tbl>
            <w:tblPr>
              <w:tblStyle w:val="16"/>
              <w:tblW w:w="86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870"/>
              <w:gridCol w:w="675"/>
              <w:gridCol w:w="690"/>
              <w:gridCol w:w="705"/>
              <w:gridCol w:w="675"/>
              <w:gridCol w:w="960"/>
              <w:gridCol w:w="720"/>
              <w:gridCol w:w="1035"/>
              <w:gridCol w:w="1080"/>
              <w:gridCol w:w="8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427" w:type="dxa"/>
                  <w:vMerge w:val="restart"/>
                  <w:vAlign w:val="center"/>
                </w:tcPr>
                <w:p>
                  <w:pPr>
                    <w:pStyle w:val="19"/>
                    <w:bidi w:val="0"/>
                    <w:rPr>
                      <w:rFonts w:hint="default"/>
                      <w:color w:val="auto"/>
                      <w:lang w:val="en-US" w:eastAsia="zh-CN"/>
                    </w:rPr>
                  </w:pPr>
                  <w:r>
                    <w:rPr>
                      <w:rFonts w:hint="eastAsia"/>
                      <w:color w:val="auto"/>
                      <w:lang w:val="en-US" w:eastAsia="zh-CN"/>
                    </w:rPr>
                    <w:t>序号</w:t>
                  </w:r>
                </w:p>
              </w:tc>
              <w:tc>
                <w:tcPr>
                  <w:tcW w:w="870" w:type="dxa"/>
                  <w:vMerge w:val="restart"/>
                  <w:vAlign w:val="center"/>
                </w:tcPr>
                <w:p>
                  <w:pPr>
                    <w:pStyle w:val="19"/>
                    <w:bidi w:val="0"/>
                    <w:rPr>
                      <w:rFonts w:hint="default"/>
                      <w:color w:val="auto"/>
                      <w:lang w:val="en-US" w:eastAsia="zh-CN"/>
                    </w:rPr>
                  </w:pPr>
                  <w:r>
                    <w:rPr>
                      <w:rFonts w:hint="eastAsia"/>
                      <w:color w:val="auto"/>
                      <w:lang w:val="en-US" w:eastAsia="zh-CN"/>
                    </w:rPr>
                    <w:t>区域</w:t>
                  </w:r>
                </w:p>
              </w:tc>
              <w:tc>
                <w:tcPr>
                  <w:tcW w:w="675" w:type="dxa"/>
                  <w:vMerge w:val="restart"/>
                  <w:vAlign w:val="center"/>
                </w:tcPr>
                <w:p>
                  <w:pPr>
                    <w:pStyle w:val="19"/>
                    <w:bidi w:val="0"/>
                    <w:rPr>
                      <w:rFonts w:hint="default"/>
                      <w:color w:val="auto"/>
                      <w:lang w:val="en-US" w:eastAsia="zh-CN"/>
                    </w:rPr>
                  </w:pPr>
                  <w:r>
                    <w:rPr>
                      <w:rFonts w:hint="eastAsia"/>
                      <w:color w:val="auto"/>
                      <w:lang w:val="en-US" w:eastAsia="zh-CN"/>
                    </w:rPr>
                    <w:t>土方分类</w:t>
                  </w:r>
                </w:p>
              </w:tc>
              <w:tc>
                <w:tcPr>
                  <w:tcW w:w="690" w:type="dxa"/>
                  <w:vMerge w:val="restart"/>
                  <w:vAlign w:val="center"/>
                </w:tcPr>
                <w:p>
                  <w:pPr>
                    <w:pStyle w:val="19"/>
                    <w:bidi w:val="0"/>
                    <w:rPr>
                      <w:rFonts w:hint="default"/>
                      <w:color w:val="auto"/>
                      <w:lang w:val="en-US" w:eastAsia="zh-CN"/>
                    </w:rPr>
                  </w:pPr>
                  <w:r>
                    <w:rPr>
                      <w:rFonts w:hint="eastAsia"/>
                      <w:color w:val="auto"/>
                      <w:lang w:val="en-US" w:eastAsia="zh-CN"/>
                    </w:rPr>
                    <w:t>挖方</w:t>
                  </w:r>
                </w:p>
              </w:tc>
              <w:tc>
                <w:tcPr>
                  <w:tcW w:w="705" w:type="dxa"/>
                  <w:vMerge w:val="restart"/>
                  <w:vAlign w:val="center"/>
                </w:tcPr>
                <w:p>
                  <w:pPr>
                    <w:pStyle w:val="19"/>
                    <w:bidi w:val="0"/>
                    <w:rPr>
                      <w:rFonts w:hint="default"/>
                      <w:color w:val="auto"/>
                      <w:lang w:val="en-US" w:eastAsia="zh-CN"/>
                    </w:rPr>
                  </w:pPr>
                  <w:r>
                    <w:rPr>
                      <w:rFonts w:hint="eastAsia"/>
                      <w:color w:val="auto"/>
                      <w:lang w:val="en-US" w:eastAsia="zh-CN"/>
                    </w:rPr>
                    <w:t>回填</w:t>
                  </w:r>
                </w:p>
              </w:tc>
              <w:tc>
                <w:tcPr>
                  <w:tcW w:w="1635" w:type="dxa"/>
                  <w:gridSpan w:val="2"/>
                  <w:vAlign w:val="center"/>
                </w:tcPr>
                <w:p>
                  <w:pPr>
                    <w:pStyle w:val="19"/>
                    <w:bidi w:val="0"/>
                    <w:rPr>
                      <w:rFonts w:hint="default"/>
                      <w:color w:val="auto"/>
                      <w:lang w:val="en-US" w:eastAsia="zh-CN"/>
                    </w:rPr>
                  </w:pPr>
                  <w:r>
                    <w:rPr>
                      <w:rFonts w:hint="eastAsia"/>
                      <w:color w:val="auto"/>
                      <w:lang w:val="en-US" w:eastAsia="zh-CN"/>
                    </w:rPr>
                    <w:t>场内调入</w:t>
                  </w:r>
                </w:p>
              </w:tc>
              <w:tc>
                <w:tcPr>
                  <w:tcW w:w="1755" w:type="dxa"/>
                  <w:gridSpan w:val="2"/>
                  <w:vAlign w:val="center"/>
                </w:tcPr>
                <w:p>
                  <w:pPr>
                    <w:pStyle w:val="19"/>
                    <w:bidi w:val="0"/>
                    <w:rPr>
                      <w:rFonts w:hint="default"/>
                      <w:color w:val="auto"/>
                      <w:lang w:val="en-US" w:eastAsia="zh-CN"/>
                    </w:rPr>
                  </w:pPr>
                  <w:r>
                    <w:rPr>
                      <w:rFonts w:hint="eastAsia"/>
                      <w:color w:val="auto"/>
                      <w:lang w:val="en-US" w:eastAsia="zh-CN"/>
                    </w:rPr>
                    <w:t>场内调出</w:t>
                  </w:r>
                </w:p>
              </w:tc>
              <w:tc>
                <w:tcPr>
                  <w:tcW w:w="1080" w:type="dxa"/>
                  <w:vAlign w:val="center"/>
                </w:tcPr>
                <w:p>
                  <w:pPr>
                    <w:pStyle w:val="19"/>
                    <w:bidi w:val="0"/>
                    <w:rPr>
                      <w:rFonts w:hint="default"/>
                      <w:color w:val="auto"/>
                      <w:lang w:val="en-US" w:eastAsia="zh-CN"/>
                    </w:rPr>
                  </w:pPr>
                  <w:r>
                    <w:rPr>
                      <w:rFonts w:hint="eastAsia"/>
                      <w:color w:val="auto"/>
                      <w:lang w:val="en-US" w:eastAsia="zh-CN"/>
                    </w:rPr>
                    <w:t>临时堆土</w:t>
                  </w:r>
                </w:p>
              </w:tc>
              <w:tc>
                <w:tcPr>
                  <w:tcW w:w="806" w:type="dxa"/>
                  <w:vAlign w:val="center"/>
                </w:tcPr>
                <w:p>
                  <w:pPr>
                    <w:pStyle w:val="19"/>
                    <w:bidi w:val="0"/>
                    <w:rPr>
                      <w:rFonts w:hint="default"/>
                      <w:color w:val="auto"/>
                      <w:lang w:val="en-US" w:eastAsia="zh-CN"/>
                    </w:rPr>
                  </w:pPr>
                  <w:r>
                    <w:rPr>
                      <w:rFonts w:hint="eastAsia"/>
                      <w:color w:val="auto"/>
                      <w:lang w:val="en-US" w:eastAsia="zh-CN"/>
                    </w:rPr>
                    <w:t>借方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427" w:type="dxa"/>
                  <w:vMerge w:val="continue"/>
                  <w:vAlign w:val="center"/>
                </w:tcPr>
                <w:p>
                  <w:pPr>
                    <w:pStyle w:val="19"/>
                    <w:bidi w:val="0"/>
                    <w:rPr>
                      <w:color w:val="auto"/>
                    </w:rPr>
                  </w:pPr>
                </w:p>
              </w:tc>
              <w:tc>
                <w:tcPr>
                  <w:tcW w:w="870" w:type="dxa"/>
                  <w:vMerge w:val="continue"/>
                  <w:vAlign w:val="center"/>
                </w:tcPr>
                <w:p>
                  <w:pPr>
                    <w:pStyle w:val="19"/>
                    <w:bidi w:val="0"/>
                    <w:rPr>
                      <w:color w:val="auto"/>
                    </w:rPr>
                  </w:pPr>
                </w:p>
              </w:tc>
              <w:tc>
                <w:tcPr>
                  <w:tcW w:w="675" w:type="dxa"/>
                  <w:vMerge w:val="continue"/>
                  <w:vAlign w:val="center"/>
                </w:tcPr>
                <w:p>
                  <w:pPr>
                    <w:pStyle w:val="19"/>
                    <w:bidi w:val="0"/>
                    <w:rPr>
                      <w:color w:val="auto"/>
                    </w:rPr>
                  </w:pPr>
                </w:p>
              </w:tc>
              <w:tc>
                <w:tcPr>
                  <w:tcW w:w="690" w:type="dxa"/>
                  <w:vMerge w:val="continue"/>
                  <w:vAlign w:val="center"/>
                </w:tcPr>
                <w:p>
                  <w:pPr>
                    <w:pStyle w:val="19"/>
                    <w:bidi w:val="0"/>
                    <w:rPr>
                      <w:color w:val="auto"/>
                    </w:rPr>
                  </w:pPr>
                </w:p>
              </w:tc>
              <w:tc>
                <w:tcPr>
                  <w:tcW w:w="705" w:type="dxa"/>
                  <w:vMerge w:val="continue"/>
                  <w:vAlign w:val="center"/>
                </w:tcPr>
                <w:p>
                  <w:pPr>
                    <w:pStyle w:val="19"/>
                    <w:bidi w:val="0"/>
                    <w:rPr>
                      <w:color w:val="auto"/>
                    </w:rPr>
                  </w:pPr>
                </w:p>
              </w:tc>
              <w:tc>
                <w:tcPr>
                  <w:tcW w:w="675" w:type="dxa"/>
                  <w:vAlign w:val="center"/>
                </w:tcPr>
                <w:p>
                  <w:pPr>
                    <w:pStyle w:val="19"/>
                    <w:bidi w:val="0"/>
                    <w:rPr>
                      <w:rFonts w:hint="default"/>
                      <w:color w:val="auto"/>
                      <w:lang w:val="en-US" w:eastAsia="zh-CN"/>
                    </w:rPr>
                  </w:pPr>
                  <w:r>
                    <w:rPr>
                      <w:rFonts w:hint="eastAsia"/>
                      <w:color w:val="auto"/>
                      <w:lang w:val="en-US" w:eastAsia="zh-CN"/>
                    </w:rPr>
                    <w:t>数量</w:t>
                  </w:r>
                </w:p>
              </w:tc>
              <w:tc>
                <w:tcPr>
                  <w:tcW w:w="960" w:type="dxa"/>
                  <w:vAlign w:val="center"/>
                </w:tcPr>
                <w:p>
                  <w:pPr>
                    <w:pStyle w:val="19"/>
                    <w:bidi w:val="0"/>
                    <w:rPr>
                      <w:rFonts w:hint="default"/>
                      <w:color w:val="auto"/>
                      <w:lang w:val="en-US" w:eastAsia="zh-CN"/>
                    </w:rPr>
                  </w:pPr>
                  <w:r>
                    <w:rPr>
                      <w:rFonts w:hint="eastAsia"/>
                      <w:color w:val="auto"/>
                      <w:lang w:val="en-US" w:eastAsia="zh-CN"/>
                    </w:rPr>
                    <w:t>来源</w:t>
                  </w:r>
                </w:p>
              </w:tc>
              <w:tc>
                <w:tcPr>
                  <w:tcW w:w="720" w:type="dxa"/>
                  <w:vAlign w:val="center"/>
                </w:tcPr>
                <w:p>
                  <w:pPr>
                    <w:pStyle w:val="19"/>
                    <w:bidi w:val="0"/>
                    <w:ind w:firstLine="0" w:firstLineChars="0"/>
                    <w:rPr>
                      <w:rFonts w:hint="default"/>
                      <w:color w:val="auto"/>
                      <w:lang w:val="en-US" w:eastAsia="zh-CN"/>
                    </w:rPr>
                  </w:pPr>
                  <w:r>
                    <w:rPr>
                      <w:rFonts w:hint="eastAsia"/>
                      <w:color w:val="auto"/>
                      <w:lang w:val="en-US" w:eastAsia="zh-CN"/>
                    </w:rPr>
                    <w:t>数量</w:t>
                  </w:r>
                </w:p>
              </w:tc>
              <w:tc>
                <w:tcPr>
                  <w:tcW w:w="1035" w:type="dxa"/>
                  <w:vAlign w:val="center"/>
                </w:tcPr>
                <w:p>
                  <w:pPr>
                    <w:pStyle w:val="19"/>
                    <w:bidi w:val="0"/>
                    <w:ind w:firstLine="0" w:firstLineChars="0"/>
                    <w:rPr>
                      <w:rFonts w:hint="default"/>
                      <w:color w:val="auto"/>
                      <w:lang w:val="en-US" w:eastAsia="zh-CN"/>
                    </w:rPr>
                  </w:pPr>
                  <w:r>
                    <w:rPr>
                      <w:rFonts w:hint="eastAsia"/>
                      <w:color w:val="auto"/>
                      <w:lang w:val="en-US" w:eastAsia="zh-CN"/>
                    </w:rPr>
                    <w:t>去向</w:t>
                  </w:r>
                </w:p>
              </w:tc>
              <w:tc>
                <w:tcPr>
                  <w:tcW w:w="1080" w:type="dxa"/>
                  <w:vAlign w:val="center"/>
                </w:tcPr>
                <w:p>
                  <w:pPr>
                    <w:pStyle w:val="19"/>
                    <w:bidi w:val="0"/>
                    <w:rPr>
                      <w:rFonts w:hint="eastAsia"/>
                      <w:color w:val="auto"/>
                      <w:lang w:val="en-US" w:eastAsia="zh-CN"/>
                    </w:rPr>
                  </w:pPr>
                  <w:r>
                    <w:rPr>
                      <w:rFonts w:hint="eastAsia"/>
                      <w:color w:val="auto"/>
                      <w:lang w:val="en-US" w:eastAsia="zh-CN"/>
                    </w:rPr>
                    <w:t>表土、</w:t>
                  </w:r>
                </w:p>
                <w:p>
                  <w:pPr>
                    <w:pStyle w:val="19"/>
                    <w:bidi w:val="0"/>
                    <w:rPr>
                      <w:rFonts w:hint="default"/>
                      <w:color w:val="auto"/>
                      <w:lang w:val="en-US" w:eastAsia="zh-CN"/>
                    </w:rPr>
                  </w:pPr>
                  <w:r>
                    <w:rPr>
                      <w:rFonts w:hint="eastAsia"/>
                      <w:color w:val="auto"/>
                      <w:lang w:val="en-US" w:eastAsia="zh-CN"/>
                    </w:rPr>
                    <w:t>软土</w:t>
                  </w:r>
                </w:p>
              </w:tc>
              <w:tc>
                <w:tcPr>
                  <w:tcW w:w="806" w:type="dxa"/>
                  <w:vAlign w:val="center"/>
                </w:tcPr>
                <w:p>
                  <w:pPr>
                    <w:pStyle w:val="19"/>
                    <w:bidi w:val="0"/>
                    <w:rPr>
                      <w:rFonts w:hint="default"/>
                      <w:color w:val="auto"/>
                      <w:lang w:val="en-US" w:eastAsia="zh-CN"/>
                    </w:rPr>
                  </w:pPr>
                  <w:r>
                    <w:rPr>
                      <w:rFonts w:hint="eastAsia"/>
                      <w:color w:val="auto"/>
                      <w:lang w:val="en-US" w:eastAsia="zh-CN"/>
                    </w:rPr>
                    <w:t>土方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restart"/>
                  <w:vAlign w:val="center"/>
                </w:tcPr>
                <w:p>
                  <w:pPr>
                    <w:pStyle w:val="19"/>
                    <w:bidi w:val="0"/>
                    <w:rPr>
                      <w:rFonts w:hint="default"/>
                      <w:color w:val="auto"/>
                      <w:lang w:val="en-US" w:eastAsia="zh-CN"/>
                    </w:rPr>
                  </w:pPr>
                  <w:r>
                    <w:rPr>
                      <w:rFonts w:hint="eastAsia"/>
                      <w:color w:val="auto"/>
                      <w:lang w:val="en-US" w:eastAsia="zh-CN"/>
                    </w:rPr>
                    <w:t>1</w:t>
                  </w:r>
                </w:p>
              </w:tc>
              <w:tc>
                <w:tcPr>
                  <w:tcW w:w="870" w:type="dxa"/>
                  <w:vMerge w:val="restart"/>
                  <w:vAlign w:val="center"/>
                </w:tcPr>
                <w:p>
                  <w:pPr>
                    <w:pStyle w:val="19"/>
                    <w:bidi w:val="0"/>
                    <w:rPr>
                      <w:rFonts w:hint="default"/>
                      <w:color w:val="auto"/>
                      <w:lang w:val="en-US" w:eastAsia="zh-CN"/>
                    </w:rPr>
                  </w:pPr>
                  <w:r>
                    <w:rPr>
                      <w:rFonts w:hint="eastAsia"/>
                      <w:color w:val="auto"/>
                      <w:lang w:val="en-US" w:eastAsia="zh-CN"/>
                    </w:rPr>
                    <w:t>建构筑物区</w:t>
                  </w:r>
                </w:p>
              </w:tc>
              <w:tc>
                <w:tcPr>
                  <w:tcW w:w="675" w:type="dxa"/>
                  <w:vAlign w:val="center"/>
                </w:tcPr>
                <w:p>
                  <w:pPr>
                    <w:pStyle w:val="19"/>
                    <w:bidi w:val="0"/>
                    <w:rPr>
                      <w:rFonts w:hint="default"/>
                      <w:color w:val="auto"/>
                      <w:lang w:val="en-US" w:eastAsia="zh-CN"/>
                    </w:rPr>
                  </w:pPr>
                  <w:r>
                    <w:rPr>
                      <w:rFonts w:hint="eastAsia"/>
                      <w:color w:val="auto"/>
                      <w:lang w:val="en-US" w:eastAsia="zh-CN"/>
                    </w:rPr>
                    <w:t>表土</w:t>
                  </w:r>
                </w:p>
              </w:tc>
              <w:tc>
                <w:tcPr>
                  <w:tcW w:w="690" w:type="dxa"/>
                  <w:vAlign w:val="center"/>
                </w:tcPr>
                <w:p>
                  <w:pPr>
                    <w:pStyle w:val="19"/>
                    <w:bidi w:val="0"/>
                    <w:rPr>
                      <w:rFonts w:hint="default"/>
                      <w:color w:val="auto"/>
                      <w:lang w:val="en-US" w:eastAsia="zh-CN"/>
                    </w:rPr>
                  </w:pPr>
                  <w:r>
                    <w:rPr>
                      <w:rFonts w:hint="eastAsia"/>
                      <w:color w:val="auto"/>
                      <w:lang w:val="en-US" w:eastAsia="zh-CN"/>
                    </w:rPr>
                    <w:t>0.21</w:t>
                  </w:r>
                </w:p>
              </w:tc>
              <w:tc>
                <w:tcPr>
                  <w:tcW w:w="705" w:type="dxa"/>
                  <w:vAlign w:val="center"/>
                </w:tcPr>
                <w:p>
                  <w:pPr>
                    <w:pStyle w:val="19"/>
                    <w:bidi w:val="0"/>
                    <w:rPr>
                      <w:rFonts w:hint="default"/>
                      <w:color w:val="auto"/>
                      <w:lang w:val="en-US" w:eastAsia="zh-CN"/>
                    </w:rPr>
                  </w:pP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eastAsia="zh-CN"/>
                    </w:rPr>
                  </w:pPr>
                  <w:r>
                    <w:rPr>
                      <w:rFonts w:hint="default"/>
                      <w:color w:val="auto"/>
                      <w:lang w:eastAsia="zh-CN"/>
                    </w:rPr>
                    <w:t>0.21</w:t>
                  </w:r>
                </w:p>
              </w:tc>
              <w:tc>
                <w:tcPr>
                  <w:tcW w:w="1035" w:type="dxa"/>
                  <w:vAlign w:val="center"/>
                </w:tcPr>
                <w:p>
                  <w:pPr>
                    <w:pStyle w:val="19"/>
                    <w:bidi w:val="0"/>
                    <w:rPr>
                      <w:rFonts w:hint="default"/>
                      <w:color w:val="auto"/>
                      <w:lang w:eastAsia="zh-CN"/>
                    </w:rPr>
                  </w:pPr>
                  <w:r>
                    <w:rPr>
                      <w:rFonts w:hint="default"/>
                      <w:color w:val="auto"/>
                      <w:lang w:eastAsia="zh-CN"/>
                    </w:rPr>
                    <w:t>临时堆土区1</w:t>
                  </w:r>
                </w:p>
              </w:tc>
              <w:tc>
                <w:tcPr>
                  <w:tcW w:w="1080" w:type="dxa"/>
                  <w:vAlign w:val="center"/>
                </w:tcPr>
                <w:p>
                  <w:pPr>
                    <w:pStyle w:val="19"/>
                    <w:bidi w:val="0"/>
                    <w:rPr>
                      <w:rFonts w:hint="default"/>
                      <w:color w:val="auto"/>
                      <w:lang w:eastAsia="zh-CN"/>
                    </w:rPr>
                  </w:pPr>
                  <w:r>
                    <w:rPr>
                      <w:rFonts w:hint="default"/>
                      <w:color w:val="auto"/>
                      <w:lang w:eastAsia="zh-CN"/>
                    </w:rPr>
                    <w:t>0.21</w:t>
                  </w: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rPr>
                      <w:rFonts w:hint="default"/>
                      <w:color w:val="auto"/>
                      <w:lang w:val="en-US" w:eastAsia="zh-CN"/>
                    </w:rPr>
                  </w:pPr>
                  <w:r>
                    <w:rPr>
                      <w:rFonts w:hint="eastAsia"/>
                      <w:color w:val="auto"/>
                      <w:lang w:val="en-US" w:eastAsia="zh-CN"/>
                    </w:rPr>
                    <w:t>软土</w:t>
                  </w:r>
                </w:p>
              </w:tc>
              <w:tc>
                <w:tcPr>
                  <w:tcW w:w="690" w:type="dxa"/>
                  <w:vAlign w:val="center"/>
                </w:tcPr>
                <w:p>
                  <w:pPr>
                    <w:pStyle w:val="19"/>
                    <w:bidi w:val="0"/>
                    <w:rPr>
                      <w:rFonts w:hint="default"/>
                      <w:color w:val="auto"/>
                      <w:lang w:val="en-US" w:eastAsia="zh-CN"/>
                    </w:rPr>
                  </w:pPr>
                  <w:r>
                    <w:rPr>
                      <w:rFonts w:hint="eastAsia"/>
                      <w:color w:val="auto"/>
                      <w:lang w:val="en-US" w:eastAsia="zh-CN"/>
                    </w:rPr>
                    <w:t>0.16</w:t>
                  </w:r>
                </w:p>
              </w:tc>
              <w:tc>
                <w:tcPr>
                  <w:tcW w:w="705" w:type="dxa"/>
                  <w:vAlign w:val="center"/>
                </w:tcPr>
                <w:p>
                  <w:pPr>
                    <w:pStyle w:val="19"/>
                    <w:bidi w:val="0"/>
                    <w:rPr>
                      <w:rFonts w:hint="default"/>
                      <w:color w:val="auto"/>
                      <w:lang w:val="en-US" w:eastAsia="zh-CN"/>
                    </w:rPr>
                  </w:pP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r>
                    <w:rPr>
                      <w:rFonts w:hint="default"/>
                      <w:color w:val="auto"/>
                      <w:lang w:eastAsia="zh-CN"/>
                    </w:rPr>
                    <w:t>0.0</w:t>
                  </w:r>
                  <w:r>
                    <w:rPr>
                      <w:rFonts w:hint="eastAsia"/>
                      <w:color w:val="auto"/>
                      <w:lang w:val="en-US" w:eastAsia="zh-CN"/>
                    </w:rPr>
                    <w:t>8</w:t>
                  </w:r>
                </w:p>
              </w:tc>
              <w:tc>
                <w:tcPr>
                  <w:tcW w:w="1035" w:type="dxa"/>
                  <w:vAlign w:val="center"/>
                </w:tcPr>
                <w:p>
                  <w:pPr>
                    <w:pStyle w:val="19"/>
                    <w:bidi w:val="0"/>
                    <w:rPr>
                      <w:rFonts w:hint="default"/>
                      <w:color w:val="auto"/>
                      <w:lang w:val="en-US" w:eastAsia="zh-CN"/>
                    </w:rPr>
                  </w:pPr>
                  <w:r>
                    <w:rPr>
                      <w:rFonts w:hint="default"/>
                      <w:color w:val="auto"/>
                      <w:lang w:eastAsia="zh-CN"/>
                    </w:rPr>
                    <w:t>临时堆土区</w:t>
                  </w:r>
                  <w:r>
                    <w:rPr>
                      <w:rFonts w:hint="eastAsia"/>
                      <w:color w:val="auto"/>
                      <w:lang w:val="en-US" w:eastAsia="zh-CN"/>
                    </w:rPr>
                    <w:t>2</w:t>
                  </w:r>
                </w:p>
              </w:tc>
              <w:tc>
                <w:tcPr>
                  <w:tcW w:w="1080" w:type="dxa"/>
                  <w:vAlign w:val="center"/>
                </w:tcPr>
                <w:p>
                  <w:pPr>
                    <w:pStyle w:val="19"/>
                    <w:bidi w:val="0"/>
                    <w:rPr>
                      <w:rFonts w:hint="default"/>
                      <w:color w:val="auto"/>
                      <w:lang w:val="en-US" w:eastAsia="zh-CN"/>
                    </w:rPr>
                  </w:pPr>
                  <w:r>
                    <w:rPr>
                      <w:rFonts w:hint="eastAsia"/>
                      <w:color w:val="auto"/>
                      <w:lang w:val="en-US" w:eastAsia="zh-CN"/>
                    </w:rPr>
                    <w:t>0.08</w:t>
                  </w: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rPr>
                      <w:rFonts w:hint="default"/>
                      <w:color w:val="auto"/>
                      <w:lang w:val="en-US" w:eastAsia="zh-CN"/>
                    </w:rPr>
                  </w:pPr>
                  <w:r>
                    <w:rPr>
                      <w:rFonts w:hint="eastAsia"/>
                      <w:color w:val="auto"/>
                      <w:lang w:val="en-US" w:eastAsia="zh-CN"/>
                    </w:rPr>
                    <w:t>土方</w:t>
                  </w:r>
                </w:p>
              </w:tc>
              <w:tc>
                <w:tcPr>
                  <w:tcW w:w="690" w:type="dxa"/>
                  <w:vAlign w:val="center"/>
                </w:tcPr>
                <w:p>
                  <w:pPr>
                    <w:pStyle w:val="19"/>
                    <w:bidi w:val="0"/>
                    <w:rPr>
                      <w:rFonts w:hint="default"/>
                      <w:color w:val="auto"/>
                      <w:lang w:val="en-US" w:eastAsia="zh-CN"/>
                    </w:rPr>
                  </w:pPr>
                  <w:r>
                    <w:rPr>
                      <w:rFonts w:hint="eastAsia"/>
                      <w:color w:val="auto"/>
                      <w:lang w:val="en-US" w:eastAsia="zh-CN"/>
                    </w:rPr>
                    <w:t>0.86</w:t>
                  </w:r>
                </w:p>
              </w:tc>
              <w:tc>
                <w:tcPr>
                  <w:tcW w:w="705" w:type="dxa"/>
                  <w:vAlign w:val="center"/>
                </w:tcPr>
                <w:p>
                  <w:pPr>
                    <w:pStyle w:val="19"/>
                    <w:bidi w:val="0"/>
                    <w:rPr>
                      <w:rFonts w:hint="default"/>
                      <w:color w:val="auto"/>
                      <w:lang w:val="en-US" w:eastAsia="zh-CN"/>
                    </w:rPr>
                  </w:pPr>
                  <w:r>
                    <w:rPr>
                      <w:rFonts w:hint="eastAsia"/>
                      <w:color w:val="auto"/>
                      <w:lang w:val="en-US" w:eastAsia="zh-CN"/>
                    </w:rPr>
                    <w:t>6.00</w:t>
                  </w: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p>
              </w:tc>
              <w:tc>
                <w:tcPr>
                  <w:tcW w:w="1035" w:type="dxa"/>
                  <w:vAlign w:val="center"/>
                </w:tcPr>
                <w:p>
                  <w:pPr>
                    <w:pStyle w:val="19"/>
                    <w:bidi w:val="0"/>
                    <w:rPr>
                      <w:rFonts w:hint="default"/>
                      <w:color w:val="auto"/>
                      <w:lang w:val="en-US" w:eastAsia="zh-CN"/>
                    </w:rPr>
                  </w:pPr>
                </w:p>
              </w:tc>
              <w:tc>
                <w:tcPr>
                  <w:tcW w:w="1080" w:type="dxa"/>
                  <w:vAlign w:val="center"/>
                </w:tcPr>
                <w:p>
                  <w:pPr>
                    <w:pStyle w:val="19"/>
                    <w:bidi w:val="0"/>
                    <w:rPr>
                      <w:rFonts w:hint="default"/>
                      <w:color w:val="auto"/>
                      <w:lang w:val="en-US" w:eastAsia="zh-CN"/>
                    </w:rPr>
                  </w:pPr>
                </w:p>
              </w:tc>
              <w:tc>
                <w:tcPr>
                  <w:tcW w:w="806" w:type="dxa"/>
                  <w:vAlign w:val="center"/>
                </w:tcPr>
                <w:p>
                  <w:pPr>
                    <w:pStyle w:val="19"/>
                    <w:bidi w:val="0"/>
                    <w:rPr>
                      <w:rFonts w:hint="default"/>
                      <w:color w:val="auto"/>
                      <w:lang w:val="en-US" w:eastAsia="zh-CN"/>
                    </w:rPr>
                  </w:pPr>
                  <w:r>
                    <w:rPr>
                      <w:rFonts w:hint="eastAsia"/>
                      <w:color w:val="auto"/>
                      <w:lang w:val="en-US" w:eastAsia="zh-CN"/>
                    </w:rPr>
                    <w:t>-5.14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restart"/>
                  <w:vAlign w:val="center"/>
                </w:tcPr>
                <w:p>
                  <w:pPr>
                    <w:pStyle w:val="19"/>
                    <w:bidi w:val="0"/>
                    <w:rPr>
                      <w:rFonts w:hint="default"/>
                      <w:color w:val="auto"/>
                      <w:lang w:val="en-US" w:eastAsia="zh-CN"/>
                    </w:rPr>
                  </w:pPr>
                  <w:r>
                    <w:rPr>
                      <w:rFonts w:hint="eastAsia"/>
                      <w:color w:val="auto"/>
                      <w:lang w:val="en-US" w:eastAsia="zh-CN"/>
                    </w:rPr>
                    <w:t>2</w:t>
                  </w:r>
                </w:p>
              </w:tc>
              <w:tc>
                <w:tcPr>
                  <w:tcW w:w="870" w:type="dxa"/>
                  <w:vMerge w:val="restart"/>
                  <w:vAlign w:val="center"/>
                </w:tcPr>
                <w:p>
                  <w:pPr>
                    <w:pStyle w:val="19"/>
                    <w:bidi w:val="0"/>
                    <w:rPr>
                      <w:rFonts w:hint="default"/>
                      <w:color w:val="auto"/>
                      <w:lang w:val="en-US" w:eastAsia="zh-CN"/>
                    </w:rPr>
                  </w:pPr>
                  <w:r>
                    <w:rPr>
                      <w:rFonts w:hint="eastAsia"/>
                      <w:color w:val="auto"/>
                      <w:lang w:val="en-US" w:eastAsia="zh-CN"/>
                    </w:rPr>
                    <w:t>道路广场区</w:t>
                  </w: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表土</w:t>
                  </w:r>
                </w:p>
              </w:tc>
              <w:tc>
                <w:tcPr>
                  <w:tcW w:w="690" w:type="dxa"/>
                  <w:vAlign w:val="center"/>
                </w:tcPr>
                <w:p>
                  <w:pPr>
                    <w:pStyle w:val="19"/>
                    <w:bidi w:val="0"/>
                    <w:rPr>
                      <w:rFonts w:hint="default"/>
                      <w:color w:val="auto"/>
                      <w:lang w:val="en-US" w:eastAsia="zh-CN"/>
                    </w:rPr>
                  </w:pPr>
                  <w:r>
                    <w:rPr>
                      <w:rFonts w:hint="eastAsia"/>
                      <w:color w:val="auto"/>
                      <w:lang w:val="en-US" w:eastAsia="zh-CN"/>
                    </w:rPr>
                    <w:t>0.40</w:t>
                  </w:r>
                </w:p>
              </w:tc>
              <w:tc>
                <w:tcPr>
                  <w:tcW w:w="705" w:type="dxa"/>
                  <w:vAlign w:val="center"/>
                </w:tcPr>
                <w:p>
                  <w:pPr>
                    <w:pStyle w:val="19"/>
                    <w:bidi w:val="0"/>
                    <w:rPr>
                      <w:rFonts w:hint="default"/>
                      <w:color w:val="auto"/>
                      <w:lang w:val="en-US" w:eastAsia="zh-CN"/>
                    </w:rPr>
                  </w:pP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r>
                    <w:rPr>
                      <w:rFonts w:hint="eastAsia"/>
                      <w:color w:val="auto"/>
                      <w:lang w:val="en-US" w:eastAsia="zh-CN"/>
                    </w:rPr>
                    <w:t>0.40</w:t>
                  </w:r>
                </w:p>
              </w:tc>
              <w:tc>
                <w:tcPr>
                  <w:tcW w:w="1035" w:type="dxa"/>
                  <w:vAlign w:val="center"/>
                </w:tcPr>
                <w:p>
                  <w:pPr>
                    <w:pStyle w:val="19"/>
                    <w:bidi w:val="0"/>
                    <w:rPr>
                      <w:rFonts w:hint="default"/>
                      <w:color w:val="auto"/>
                      <w:lang w:val="en-US" w:eastAsia="zh-CN"/>
                    </w:rPr>
                  </w:pPr>
                  <w:r>
                    <w:rPr>
                      <w:rFonts w:hint="default"/>
                      <w:color w:val="auto"/>
                      <w:lang w:eastAsia="zh-CN"/>
                    </w:rPr>
                    <w:t>临时堆土区1</w:t>
                  </w:r>
                </w:p>
              </w:tc>
              <w:tc>
                <w:tcPr>
                  <w:tcW w:w="1080" w:type="dxa"/>
                  <w:vAlign w:val="center"/>
                </w:tcPr>
                <w:p>
                  <w:pPr>
                    <w:pStyle w:val="19"/>
                    <w:bidi w:val="0"/>
                    <w:rPr>
                      <w:rFonts w:hint="default"/>
                      <w:color w:val="auto"/>
                      <w:lang w:val="en-US" w:eastAsia="zh-CN"/>
                    </w:rPr>
                  </w:pP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软土</w:t>
                  </w:r>
                </w:p>
              </w:tc>
              <w:tc>
                <w:tcPr>
                  <w:tcW w:w="690" w:type="dxa"/>
                  <w:vAlign w:val="center"/>
                </w:tcPr>
                <w:p>
                  <w:pPr>
                    <w:pStyle w:val="19"/>
                    <w:bidi w:val="0"/>
                    <w:rPr>
                      <w:rFonts w:hint="default"/>
                      <w:color w:val="auto"/>
                      <w:lang w:val="en-US" w:eastAsia="zh-CN"/>
                    </w:rPr>
                  </w:pPr>
                  <w:r>
                    <w:rPr>
                      <w:rFonts w:hint="eastAsia"/>
                      <w:color w:val="auto"/>
                      <w:lang w:val="en-US" w:eastAsia="zh-CN"/>
                    </w:rPr>
                    <w:t>1.13</w:t>
                  </w:r>
                </w:p>
              </w:tc>
              <w:tc>
                <w:tcPr>
                  <w:tcW w:w="705" w:type="dxa"/>
                  <w:vAlign w:val="center"/>
                </w:tcPr>
                <w:p>
                  <w:pPr>
                    <w:pStyle w:val="19"/>
                    <w:bidi w:val="0"/>
                    <w:rPr>
                      <w:rFonts w:hint="default"/>
                      <w:color w:val="auto"/>
                      <w:lang w:val="en-US" w:eastAsia="zh-CN"/>
                    </w:rPr>
                  </w:pP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r>
                    <w:rPr>
                      <w:rFonts w:hint="eastAsia"/>
                      <w:color w:val="auto"/>
                      <w:lang w:val="en-US" w:eastAsia="zh-CN"/>
                    </w:rPr>
                    <w:t>0.57</w:t>
                  </w:r>
                </w:p>
              </w:tc>
              <w:tc>
                <w:tcPr>
                  <w:tcW w:w="1035" w:type="dxa"/>
                  <w:vAlign w:val="center"/>
                </w:tcPr>
                <w:p>
                  <w:pPr>
                    <w:pStyle w:val="19"/>
                    <w:bidi w:val="0"/>
                    <w:rPr>
                      <w:rFonts w:hint="default"/>
                      <w:color w:val="auto"/>
                      <w:lang w:val="en-US" w:eastAsia="zh-CN"/>
                    </w:rPr>
                  </w:pPr>
                  <w:r>
                    <w:rPr>
                      <w:rFonts w:hint="default"/>
                      <w:color w:val="auto"/>
                      <w:lang w:eastAsia="zh-CN"/>
                    </w:rPr>
                    <w:t>临时堆土区</w:t>
                  </w:r>
                  <w:r>
                    <w:rPr>
                      <w:rFonts w:hint="eastAsia"/>
                      <w:color w:val="auto"/>
                      <w:lang w:val="en-US" w:eastAsia="zh-CN"/>
                    </w:rPr>
                    <w:t>2</w:t>
                  </w:r>
                </w:p>
              </w:tc>
              <w:tc>
                <w:tcPr>
                  <w:tcW w:w="1080" w:type="dxa"/>
                  <w:vAlign w:val="center"/>
                </w:tcPr>
                <w:p>
                  <w:pPr>
                    <w:pStyle w:val="19"/>
                    <w:bidi w:val="0"/>
                    <w:rPr>
                      <w:rFonts w:hint="default"/>
                      <w:color w:val="auto"/>
                      <w:lang w:val="en-US" w:eastAsia="zh-CN"/>
                    </w:rPr>
                  </w:pPr>
                  <w:r>
                    <w:rPr>
                      <w:rFonts w:hint="eastAsia"/>
                      <w:color w:val="auto"/>
                      <w:lang w:val="en-US" w:eastAsia="zh-CN"/>
                    </w:rPr>
                    <w:t>0.57</w:t>
                  </w: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土方</w:t>
                  </w:r>
                </w:p>
              </w:tc>
              <w:tc>
                <w:tcPr>
                  <w:tcW w:w="690" w:type="dxa"/>
                  <w:vAlign w:val="center"/>
                </w:tcPr>
                <w:p>
                  <w:pPr>
                    <w:pStyle w:val="19"/>
                    <w:bidi w:val="0"/>
                    <w:rPr>
                      <w:rFonts w:hint="default"/>
                      <w:color w:val="auto"/>
                      <w:lang w:val="en-US" w:eastAsia="zh-CN"/>
                    </w:rPr>
                  </w:pPr>
                  <w:r>
                    <w:rPr>
                      <w:rFonts w:hint="eastAsia"/>
                      <w:color w:val="auto"/>
                      <w:lang w:val="en-US" w:eastAsia="zh-CN"/>
                    </w:rPr>
                    <w:t>1.39</w:t>
                  </w:r>
                </w:p>
              </w:tc>
              <w:tc>
                <w:tcPr>
                  <w:tcW w:w="705" w:type="dxa"/>
                  <w:vAlign w:val="center"/>
                </w:tcPr>
                <w:p>
                  <w:pPr>
                    <w:pStyle w:val="19"/>
                    <w:bidi w:val="0"/>
                    <w:rPr>
                      <w:rFonts w:hint="default"/>
                      <w:color w:val="auto"/>
                      <w:lang w:val="en-US" w:eastAsia="zh-CN"/>
                    </w:rPr>
                  </w:pPr>
                  <w:r>
                    <w:rPr>
                      <w:rFonts w:hint="eastAsia"/>
                      <w:color w:val="auto"/>
                      <w:lang w:val="en-US" w:eastAsia="zh-CN"/>
                    </w:rPr>
                    <w:t>16.24</w:t>
                  </w: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p>
              </w:tc>
              <w:tc>
                <w:tcPr>
                  <w:tcW w:w="1035" w:type="dxa"/>
                  <w:vAlign w:val="center"/>
                </w:tcPr>
                <w:p>
                  <w:pPr>
                    <w:pStyle w:val="19"/>
                    <w:bidi w:val="0"/>
                    <w:rPr>
                      <w:rFonts w:hint="default"/>
                      <w:color w:val="auto"/>
                      <w:lang w:val="en-US" w:eastAsia="zh-CN"/>
                    </w:rPr>
                  </w:pPr>
                </w:p>
              </w:tc>
              <w:tc>
                <w:tcPr>
                  <w:tcW w:w="1080" w:type="dxa"/>
                  <w:vAlign w:val="center"/>
                </w:tcPr>
                <w:p>
                  <w:pPr>
                    <w:pStyle w:val="19"/>
                    <w:bidi w:val="0"/>
                    <w:rPr>
                      <w:rFonts w:hint="default"/>
                      <w:color w:val="auto"/>
                      <w:lang w:val="en-US" w:eastAsia="zh-CN"/>
                    </w:rPr>
                  </w:pPr>
                </w:p>
              </w:tc>
              <w:tc>
                <w:tcPr>
                  <w:tcW w:w="806" w:type="dxa"/>
                  <w:vAlign w:val="center"/>
                </w:tcPr>
                <w:p>
                  <w:pPr>
                    <w:pStyle w:val="19"/>
                    <w:bidi w:val="0"/>
                    <w:rPr>
                      <w:rFonts w:hint="default"/>
                      <w:color w:val="auto"/>
                      <w:lang w:val="en-US" w:eastAsia="zh-CN"/>
                    </w:rPr>
                  </w:pPr>
                  <w:r>
                    <w:rPr>
                      <w:rFonts w:hint="eastAsia"/>
                      <w:color w:val="auto"/>
                      <w:lang w:val="en-US" w:eastAsia="zh-CN"/>
                    </w:rPr>
                    <w:t>-14.84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restart"/>
                  <w:vAlign w:val="center"/>
                </w:tcPr>
                <w:p>
                  <w:pPr>
                    <w:pStyle w:val="19"/>
                    <w:bidi w:val="0"/>
                    <w:rPr>
                      <w:rFonts w:hint="default"/>
                      <w:color w:val="auto"/>
                      <w:lang w:val="en-US" w:eastAsia="zh-CN"/>
                    </w:rPr>
                  </w:pPr>
                  <w:r>
                    <w:rPr>
                      <w:rFonts w:hint="eastAsia"/>
                      <w:color w:val="auto"/>
                      <w:lang w:val="en-US" w:eastAsia="zh-CN"/>
                    </w:rPr>
                    <w:t>3</w:t>
                  </w:r>
                </w:p>
              </w:tc>
              <w:tc>
                <w:tcPr>
                  <w:tcW w:w="870" w:type="dxa"/>
                  <w:vMerge w:val="restart"/>
                  <w:vAlign w:val="center"/>
                </w:tcPr>
                <w:p>
                  <w:pPr>
                    <w:pStyle w:val="19"/>
                    <w:bidi w:val="0"/>
                    <w:rPr>
                      <w:rFonts w:hint="default"/>
                      <w:color w:val="auto"/>
                      <w:lang w:val="en-US" w:eastAsia="zh-CN"/>
                    </w:rPr>
                  </w:pPr>
                  <w:r>
                    <w:rPr>
                      <w:rFonts w:hint="eastAsia"/>
                      <w:color w:val="auto"/>
                      <w:lang w:val="en-US" w:eastAsia="zh-CN"/>
                    </w:rPr>
                    <w:t>绿化区</w:t>
                  </w: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表土</w:t>
                  </w:r>
                </w:p>
              </w:tc>
              <w:tc>
                <w:tcPr>
                  <w:tcW w:w="690" w:type="dxa"/>
                  <w:vAlign w:val="center"/>
                </w:tcPr>
                <w:p>
                  <w:pPr>
                    <w:pStyle w:val="19"/>
                    <w:bidi w:val="0"/>
                    <w:rPr>
                      <w:rFonts w:hint="default"/>
                      <w:color w:val="auto"/>
                      <w:lang w:val="en-US" w:eastAsia="zh-CN"/>
                    </w:rPr>
                  </w:pPr>
                  <w:r>
                    <w:rPr>
                      <w:rFonts w:hint="eastAsia"/>
                      <w:color w:val="auto"/>
                      <w:lang w:val="en-US" w:eastAsia="zh-CN"/>
                    </w:rPr>
                    <w:t>0.27</w:t>
                  </w:r>
                </w:p>
              </w:tc>
              <w:tc>
                <w:tcPr>
                  <w:tcW w:w="705" w:type="dxa"/>
                  <w:vAlign w:val="center"/>
                </w:tcPr>
                <w:p>
                  <w:pPr>
                    <w:pStyle w:val="19"/>
                    <w:bidi w:val="0"/>
                    <w:rPr>
                      <w:rFonts w:hint="default"/>
                      <w:color w:val="auto"/>
                      <w:lang w:val="en-US" w:eastAsia="zh-CN"/>
                    </w:rPr>
                  </w:pPr>
                  <w:r>
                    <w:rPr>
                      <w:rFonts w:hint="eastAsia"/>
                      <w:color w:val="auto"/>
                      <w:lang w:val="en-US" w:eastAsia="zh-CN"/>
                    </w:rPr>
                    <w:t>1.98</w:t>
                  </w:r>
                </w:p>
              </w:tc>
              <w:tc>
                <w:tcPr>
                  <w:tcW w:w="675" w:type="dxa"/>
                  <w:vAlign w:val="center"/>
                </w:tcPr>
                <w:p>
                  <w:pPr>
                    <w:pStyle w:val="19"/>
                    <w:bidi w:val="0"/>
                    <w:rPr>
                      <w:rFonts w:hint="default"/>
                      <w:color w:val="auto"/>
                      <w:lang w:val="en-US" w:eastAsia="zh-CN"/>
                    </w:rPr>
                  </w:pPr>
                  <w:r>
                    <w:rPr>
                      <w:rFonts w:hint="eastAsia"/>
                      <w:color w:val="auto"/>
                      <w:lang w:val="en-US" w:eastAsia="zh-CN"/>
                    </w:rPr>
                    <w:t>1.98</w:t>
                  </w:r>
                </w:p>
              </w:tc>
              <w:tc>
                <w:tcPr>
                  <w:tcW w:w="960" w:type="dxa"/>
                  <w:vAlign w:val="center"/>
                </w:tcPr>
                <w:p>
                  <w:pPr>
                    <w:pStyle w:val="19"/>
                    <w:bidi w:val="0"/>
                    <w:ind w:firstLine="0" w:firstLineChars="0"/>
                    <w:rPr>
                      <w:rFonts w:hint="default"/>
                      <w:color w:val="auto"/>
                      <w:lang w:val="en-US" w:eastAsia="zh-CN"/>
                    </w:rPr>
                  </w:pPr>
                  <w:r>
                    <w:rPr>
                      <w:rFonts w:hint="default"/>
                      <w:color w:val="auto"/>
                      <w:lang w:eastAsia="zh-CN"/>
                    </w:rPr>
                    <w:t>临时堆土区1</w:t>
                  </w:r>
                </w:p>
              </w:tc>
              <w:tc>
                <w:tcPr>
                  <w:tcW w:w="720" w:type="dxa"/>
                  <w:vAlign w:val="center"/>
                </w:tcPr>
                <w:p>
                  <w:pPr>
                    <w:pStyle w:val="19"/>
                    <w:bidi w:val="0"/>
                    <w:rPr>
                      <w:rFonts w:hint="default"/>
                      <w:color w:val="auto"/>
                      <w:lang w:val="en-US" w:eastAsia="zh-CN"/>
                    </w:rPr>
                  </w:pPr>
                  <w:r>
                    <w:rPr>
                      <w:rFonts w:hint="eastAsia"/>
                      <w:color w:val="auto"/>
                      <w:lang w:val="en-US" w:eastAsia="zh-CN"/>
                    </w:rPr>
                    <w:t>0.27</w:t>
                  </w:r>
                </w:p>
              </w:tc>
              <w:tc>
                <w:tcPr>
                  <w:tcW w:w="1035" w:type="dxa"/>
                  <w:vAlign w:val="center"/>
                </w:tcPr>
                <w:p>
                  <w:pPr>
                    <w:pStyle w:val="19"/>
                    <w:bidi w:val="0"/>
                    <w:ind w:firstLine="0" w:firstLineChars="0"/>
                    <w:rPr>
                      <w:rFonts w:hint="default"/>
                      <w:color w:val="auto"/>
                      <w:lang w:val="en-US" w:eastAsia="zh-CN"/>
                    </w:rPr>
                  </w:pPr>
                  <w:r>
                    <w:rPr>
                      <w:rFonts w:hint="default"/>
                      <w:color w:val="auto"/>
                      <w:lang w:eastAsia="zh-CN"/>
                    </w:rPr>
                    <w:t>临时堆土区1</w:t>
                  </w:r>
                </w:p>
              </w:tc>
              <w:tc>
                <w:tcPr>
                  <w:tcW w:w="1080" w:type="dxa"/>
                  <w:vAlign w:val="center"/>
                </w:tcPr>
                <w:p>
                  <w:pPr>
                    <w:pStyle w:val="19"/>
                    <w:bidi w:val="0"/>
                    <w:ind w:firstLine="0" w:firstLineChars="0"/>
                    <w:rPr>
                      <w:rFonts w:hint="default"/>
                      <w:color w:val="auto"/>
                      <w:lang w:val="en-US" w:eastAsia="zh-CN"/>
                    </w:rPr>
                  </w:pPr>
                  <w:r>
                    <w:rPr>
                      <w:rFonts w:hint="eastAsia"/>
                      <w:color w:val="auto"/>
                      <w:lang w:val="en-US" w:eastAsia="zh-CN"/>
                    </w:rPr>
                    <w:t>0.27</w:t>
                  </w: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软土</w:t>
                  </w:r>
                </w:p>
              </w:tc>
              <w:tc>
                <w:tcPr>
                  <w:tcW w:w="690" w:type="dxa"/>
                  <w:vAlign w:val="center"/>
                </w:tcPr>
                <w:p>
                  <w:pPr>
                    <w:pStyle w:val="19"/>
                    <w:bidi w:val="0"/>
                    <w:rPr>
                      <w:rFonts w:hint="default"/>
                      <w:color w:val="auto"/>
                      <w:lang w:val="en-US" w:eastAsia="zh-CN"/>
                    </w:rPr>
                  </w:pPr>
                  <w:r>
                    <w:rPr>
                      <w:rFonts w:hint="eastAsia"/>
                      <w:color w:val="auto"/>
                      <w:lang w:val="en-US" w:eastAsia="zh-CN"/>
                    </w:rPr>
                    <w:t>0.89</w:t>
                  </w:r>
                </w:p>
              </w:tc>
              <w:tc>
                <w:tcPr>
                  <w:tcW w:w="705" w:type="dxa"/>
                  <w:vAlign w:val="center"/>
                </w:tcPr>
                <w:p>
                  <w:pPr>
                    <w:pStyle w:val="19"/>
                    <w:bidi w:val="0"/>
                    <w:rPr>
                      <w:rFonts w:hint="default"/>
                      <w:color w:val="auto"/>
                      <w:lang w:val="en-US" w:eastAsia="zh-CN"/>
                    </w:rPr>
                  </w:pPr>
                  <w:r>
                    <w:rPr>
                      <w:rFonts w:hint="eastAsia"/>
                      <w:color w:val="auto"/>
                      <w:lang w:val="en-US" w:eastAsia="zh-CN"/>
                    </w:rPr>
                    <w:t>1.35</w:t>
                  </w:r>
                </w:p>
              </w:tc>
              <w:tc>
                <w:tcPr>
                  <w:tcW w:w="675" w:type="dxa"/>
                  <w:vAlign w:val="center"/>
                </w:tcPr>
                <w:p>
                  <w:pPr>
                    <w:pStyle w:val="19"/>
                    <w:bidi w:val="0"/>
                    <w:rPr>
                      <w:rFonts w:hint="default"/>
                      <w:color w:val="auto"/>
                      <w:lang w:val="en-US" w:eastAsia="zh-CN"/>
                    </w:rPr>
                  </w:pPr>
                  <w:r>
                    <w:rPr>
                      <w:rFonts w:hint="eastAsia"/>
                      <w:color w:val="auto"/>
                      <w:lang w:val="en-US" w:eastAsia="zh-CN"/>
                    </w:rPr>
                    <w:t>1.35</w:t>
                  </w:r>
                </w:p>
              </w:tc>
              <w:tc>
                <w:tcPr>
                  <w:tcW w:w="960" w:type="dxa"/>
                  <w:vAlign w:val="center"/>
                </w:tcPr>
                <w:p>
                  <w:pPr>
                    <w:pStyle w:val="19"/>
                    <w:bidi w:val="0"/>
                    <w:ind w:firstLine="0" w:firstLineChars="0"/>
                    <w:rPr>
                      <w:rFonts w:hint="default"/>
                      <w:color w:val="auto"/>
                      <w:lang w:val="en-US" w:eastAsia="zh-CN"/>
                    </w:rPr>
                  </w:pPr>
                  <w:r>
                    <w:rPr>
                      <w:rFonts w:hint="default"/>
                      <w:color w:val="auto"/>
                      <w:lang w:eastAsia="zh-CN"/>
                    </w:rPr>
                    <w:t>临时堆土区</w:t>
                  </w:r>
                  <w:r>
                    <w:rPr>
                      <w:rFonts w:hint="eastAsia"/>
                      <w:color w:val="auto"/>
                      <w:lang w:val="en-US" w:eastAsia="zh-CN"/>
                    </w:rPr>
                    <w:t>2</w:t>
                  </w:r>
                </w:p>
              </w:tc>
              <w:tc>
                <w:tcPr>
                  <w:tcW w:w="720" w:type="dxa"/>
                  <w:vAlign w:val="center"/>
                </w:tcPr>
                <w:p>
                  <w:pPr>
                    <w:pStyle w:val="19"/>
                    <w:bidi w:val="0"/>
                    <w:rPr>
                      <w:rFonts w:hint="default"/>
                      <w:color w:val="auto"/>
                      <w:lang w:val="en-US" w:eastAsia="zh-CN"/>
                    </w:rPr>
                  </w:pPr>
                  <w:r>
                    <w:rPr>
                      <w:rFonts w:hint="eastAsia"/>
                      <w:color w:val="auto"/>
                      <w:lang w:val="en-US" w:eastAsia="zh-CN"/>
                    </w:rPr>
                    <w:t>0.45</w:t>
                  </w:r>
                </w:p>
              </w:tc>
              <w:tc>
                <w:tcPr>
                  <w:tcW w:w="1035" w:type="dxa"/>
                  <w:vAlign w:val="center"/>
                </w:tcPr>
                <w:p>
                  <w:pPr>
                    <w:pStyle w:val="19"/>
                    <w:bidi w:val="0"/>
                    <w:ind w:firstLine="0" w:firstLineChars="0"/>
                    <w:rPr>
                      <w:rFonts w:hint="default"/>
                      <w:color w:val="auto"/>
                      <w:lang w:val="en-US" w:eastAsia="zh-CN"/>
                    </w:rPr>
                  </w:pPr>
                  <w:r>
                    <w:rPr>
                      <w:rFonts w:hint="default"/>
                      <w:color w:val="auto"/>
                      <w:lang w:eastAsia="zh-CN"/>
                    </w:rPr>
                    <w:t>临时堆土区</w:t>
                  </w:r>
                  <w:r>
                    <w:rPr>
                      <w:rFonts w:hint="eastAsia"/>
                      <w:color w:val="auto"/>
                      <w:lang w:val="en-US" w:eastAsia="zh-CN"/>
                    </w:rPr>
                    <w:t>2</w:t>
                  </w:r>
                </w:p>
              </w:tc>
              <w:tc>
                <w:tcPr>
                  <w:tcW w:w="1080" w:type="dxa"/>
                  <w:vAlign w:val="center"/>
                </w:tcPr>
                <w:p>
                  <w:pPr>
                    <w:pStyle w:val="19"/>
                    <w:bidi w:val="0"/>
                    <w:ind w:firstLine="0" w:firstLineChars="0"/>
                    <w:rPr>
                      <w:rFonts w:hint="default"/>
                      <w:color w:val="auto"/>
                      <w:lang w:val="en-US" w:eastAsia="zh-CN"/>
                    </w:rPr>
                  </w:pPr>
                  <w:r>
                    <w:rPr>
                      <w:rFonts w:hint="eastAsia"/>
                      <w:color w:val="auto"/>
                      <w:lang w:val="en-US" w:eastAsia="zh-CN"/>
                    </w:rPr>
                    <w:t>0.45</w:t>
                  </w: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土方</w:t>
                  </w:r>
                </w:p>
              </w:tc>
              <w:tc>
                <w:tcPr>
                  <w:tcW w:w="690" w:type="dxa"/>
                  <w:vAlign w:val="center"/>
                </w:tcPr>
                <w:p>
                  <w:pPr>
                    <w:pStyle w:val="19"/>
                    <w:bidi w:val="0"/>
                    <w:rPr>
                      <w:rFonts w:hint="default"/>
                      <w:color w:val="auto"/>
                      <w:lang w:val="en-US" w:eastAsia="zh-CN"/>
                    </w:rPr>
                  </w:pPr>
                  <w:r>
                    <w:rPr>
                      <w:rFonts w:hint="eastAsia"/>
                      <w:color w:val="auto"/>
                      <w:lang w:val="en-US" w:eastAsia="zh-CN"/>
                    </w:rPr>
                    <w:t>0.84</w:t>
                  </w:r>
                </w:p>
              </w:tc>
              <w:tc>
                <w:tcPr>
                  <w:tcW w:w="705" w:type="dxa"/>
                  <w:vAlign w:val="center"/>
                </w:tcPr>
                <w:p>
                  <w:pPr>
                    <w:pStyle w:val="19"/>
                    <w:bidi w:val="0"/>
                    <w:rPr>
                      <w:rFonts w:hint="default"/>
                      <w:color w:val="auto"/>
                      <w:lang w:val="en-US" w:eastAsia="zh-CN"/>
                    </w:rPr>
                  </w:pPr>
                  <w:r>
                    <w:rPr>
                      <w:rFonts w:hint="eastAsia"/>
                      <w:color w:val="auto"/>
                      <w:lang w:val="en-US" w:eastAsia="zh-CN"/>
                    </w:rPr>
                    <w:t>13.43</w:t>
                  </w: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p>
              </w:tc>
              <w:tc>
                <w:tcPr>
                  <w:tcW w:w="1035" w:type="dxa"/>
                  <w:vAlign w:val="center"/>
                </w:tcPr>
                <w:p>
                  <w:pPr>
                    <w:pStyle w:val="19"/>
                    <w:bidi w:val="0"/>
                    <w:rPr>
                      <w:rFonts w:hint="default"/>
                      <w:color w:val="auto"/>
                      <w:lang w:val="en-US" w:eastAsia="zh-CN"/>
                    </w:rPr>
                  </w:pPr>
                </w:p>
              </w:tc>
              <w:tc>
                <w:tcPr>
                  <w:tcW w:w="1080" w:type="dxa"/>
                  <w:vAlign w:val="center"/>
                </w:tcPr>
                <w:p>
                  <w:pPr>
                    <w:pStyle w:val="19"/>
                    <w:bidi w:val="0"/>
                    <w:rPr>
                      <w:rFonts w:hint="default"/>
                      <w:color w:val="auto"/>
                      <w:lang w:val="en-US" w:eastAsia="zh-CN"/>
                    </w:rPr>
                  </w:pPr>
                </w:p>
              </w:tc>
              <w:tc>
                <w:tcPr>
                  <w:tcW w:w="806" w:type="dxa"/>
                  <w:vAlign w:val="center"/>
                </w:tcPr>
                <w:p>
                  <w:pPr>
                    <w:pStyle w:val="19"/>
                    <w:bidi w:val="0"/>
                    <w:rPr>
                      <w:rFonts w:hint="default"/>
                      <w:color w:val="auto"/>
                      <w:lang w:val="en-US" w:eastAsia="zh-CN"/>
                    </w:rPr>
                  </w:pPr>
                  <w:r>
                    <w:rPr>
                      <w:rFonts w:hint="eastAsia"/>
                      <w:color w:val="auto"/>
                      <w:lang w:val="en-US" w:eastAsia="zh-CN"/>
                    </w:rPr>
                    <w:t>-12.59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427" w:type="dxa"/>
                  <w:vMerge w:val="restart"/>
                  <w:vAlign w:val="center"/>
                </w:tcPr>
                <w:p>
                  <w:pPr>
                    <w:pStyle w:val="19"/>
                    <w:bidi w:val="0"/>
                    <w:rPr>
                      <w:rFonts w:hint="default"/>
                      <w:color w:val="auto"/>
                      <w:lang w:val="en-US" w:eastAsia="zh-CN"/>
                    </w:rPr>
                  </w:pPr>
                  <w:r>
                    <w:rPr>
                      <w:rFonts w:hint="eastAsia"/>
                      <w:color w:val="auto"/>
                      <w:lang w:val="en-US" w:eastAsia="zh-CN"/>
                    </w:rPr>
                    <w:t>4</w:t>
                  </w:r>
                </w:p>
              </w:tc>
              <w:tc>
                <w:tcPr>
                  <w:tcW w:w="870" w:type="dxa"/>
                  <w:vMerge w:val="restart"/>
                  <w:vAlign w:val="center"/>
                </w:tcPr>
                <w:p>
                  <w:pPr>
                    <w:pStyle w:val="19"/>
                    <w:bidi w:val="0"/>
                    <w:rPr>
                      <w:rFonts w:hint="default"/>
                      <w:color w:val="auto"/>
                      <w:lang w:val="en-US" w:eastAsia="zh-CN"/>
                    </w:rPr>
                  </w:pPr>
                  <w:r>
                    <w:rPr>
                      <w:rFonts w:hint="eastAsia"/>
                      <w:color w:val="auto"/>
                      <w:lang w:val="en-US" w:eastAsia="zh-CN"/>
                    </w:rPr>
                    <w:t>水域区</w:t>
                  </w: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表土</w:t>
                  </w:r>
                </w:p>
              </w:tc>
              <w:tc>
                <w:tcPr>
                  <w:tcW w:w="690" w:type="dxa"/>
                  <w:vAlign w:val="center"/>
                </w:tcPr>
                <w:p>
                  <w:pPr>
                    <w:pStyle w:val="19"/>
                    <w:bidi w:val="0"/>
                    <w:rPr>
                      <w:rFonts w:hint="default"/>
                      <w:color w:val="auto"/>
                      <w:lang w:val="en-US" w:eastAsia="zh-CN"/>
                    </w:rPr>
                  </w:pPr>
                  <w:r>
                    <w:rPr>
                      <w:rFonts w:hint="eastAsia"/>
                      <w:color w:val="auto"/>
                      <w:lang w:val="en-US" w:eastAsia="zh-CN"/>
                    </w:rPr>
                    <w:t>0.19</w:t>
                  </w:r>
                </w:p>
              </w:tc>
              <w:tc>
                <w:tcPr>
                  <w:tcW w:w="705" w:type="dxa"/>
                  <w:vAlign w:val="center"/>
                </w:tcPr>
                <w:p>
                  <w:pPr>
                    <w:pStyle w:val="19"/>
                    <w:bidi w:val="0"/>
                    <w:rPr>
                      <w:rFonts w:hint="default"/>
                      <w:color w:val="auto"/>
                      <w:lang w:val="en-US" w:eastAsia="zh-CN"/>
                    </w:rPr>
                  </w:pP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r>
                    <w:rPr>
                      <w:rFonts w:hint="eastAsia"/>
                      <w:color w:val="auto"/>
                      <w:lang w:val="en-US" w:eastAsia="zh-CN"/>
                    </w:rPr>
                    <w:t>0.19</w:t>
                  </w:r>
                </w:p>
              </w:tc>
              <w:tc>
                <w:tcPr>
                  <w:tcW w:w="1035" w:type="dxa"/>
                  <w:vAlign w:val="center"/>
                </w:tcPr>
                <w:p>
                  <w:pPr>
                    <w:pStyle w:val="19"/>
                    <w:bidi w:val="0"/>
                    <w:ind w:firstLine="0" w:firstLineChars="0"/>
                    <w:rPr>
                      <w:rFonts w:hint="default"/>
                      <w:color w:val="auto"/>
                      <w:lang w:val="en-US" w:eastAsia="zh-CN"/>
                    </w:rPr>
                  </w:pPr>
                  <w:r>
                    <w:rPr>
                      <w:rFonts w:hint="default"/>
                      <w:color w:val="auto"/>
                      <w:lang w:eastAsia="zh-CN"/>
                    </w:rPr>
                    <w:t>临时堆土区1</w:t>
                  </w:r>
                </w:p>
              </w:tc>
              <w:tc>
                <w:tcPr>
                  <w:tcW w:w="1080" w:type="dxa"/>
                  <w:vAlign w:val="center"/>
                </w:tcPr>
                <w:p>
                  <w:pPr>
                    <w:pStyle w:val="19"/>
                    <w:bidi w:val="0"/>
                    <w:rPr>
                      <w:rFonts w:hint="default"/>
                      <w:color w:val="auto"/>
                      <w:lang w:val="en-US" w:eastAsia="zh-CN"/>
                    </w:rPr>
                  </w:pPr>
                  <w:r>
                    <w:rPr>
                      <w:rFonts w:hint="eastAsia"/>
                      <w:color w:val="auto"/>
                      <w:lang w:val="en-US" w:eastAsia="zh-CN"/>
                    </w:rPr>
                    <w:t>0.19</w:t>
                  </w: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软土</w:t>
                  </w:r>
                </w:p>
              </w:tc>
              <w:tc>
                <w:tcPr>
                  <w:tcW w:w="690" w:type="dxa"/>
                  <w:vAlign w:val="center"/>
                </w:tcPr>
                <w:p>
                  <w:pPr>
                    <w:pStyle w:val="19"/>
                    <w:bidi w:val="0"/>
                    <w:rPr>
                      <w:rFonts w:hint="default"/>
                      <w:color w:val="auto"/>
                      <w:lang w:val="en-US" w:eastAsia="zh-CN"/>
                    </w:rPr>
                  </w:pPr>
                  <w:r>
                    <w:rPr>
                      <w:rFonts w:hint="eastAsia"/>
                      <w:color w:val="auto"/>
                      <w:lang w:val="en-US" w:eastAsia="zh-CN"/>
                    </w:rPr>
                    <w:t>0.08</w:t>
                  </w:r>
                </w:p>
              </w:tc>
              <w:tc>
                <w:tcPr>
                  <w:tcW w:w="705" w:type="dxa"/>
                  <w:vAlign w:val="center"/>
                </w:tcPr>
                <w:p>
                  <w:pPr>
                    <w:pStyle w:val="19"/>
                    <w:bidi w:val="0"/>
                    <w:rPr>
                      <w:rFonts w:hint="default"/>
                      <w:color w:val="auto"/>
                      <w:lang w:val="en-US" w:eastAsia="zh-CN"/>
                    </w:rPr>
                  </w:pP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r>
                    <w:rPr>
                      <w:rFonts w:hint="eastAsia"/>
                      <w:color w:val="auto"/>
                      <w:lang w:val="en-US" w:eastAsia="zh-CN"/>
                    </w:rPr>
                    <w:t>0.04</w:t>
                  </w:r>
                </w:p>
              </w:tc>
              <w:tc>
                <w:tcPr>
                  <w:tcW w:w="1035" w:type="dxa"/>
                  <w:vAlign w:val="center"/>
                </w:tcPr>
                <w:p>
                  <w:pPr>
                    <w:pStyle w:val="19"/>
                    <w:bidi w:val="0"/>
                    <w:ind w:firstLine="0" w:firstLineChars="0"/>
                    <w:rPr>
                      <w:rFonts w:hint="default"/>
                      <w:color w:val="auto"/>
                      <w:lang w:val="en-US" w:eastAsia="zh-CN"/>
                    </w:rPr>
                  </w:pPr>
                  <w:r>
                    <w:rPr>
                      <w:rFonts w:hint="default"/>
                      <w:color w:val="auto"/>
                      <w:lang w:eastAsia="zh-CN"/>
                    </w:rPr>
                    <w:t>临时堆土区</w:t>
                  </w:r>
                  <w:r>
                    <w:rPr>
                      <w:rFonts w:hint="eastAsia"/>
                      <w:color w:val="auto"/>
                      <w:lang w:val="en-US" w:eastAsia="zh-CN"/>
                    </w:rPr>
                    <w:t>2</w:t>
                  </w:r>
                </w:p>
              </w:tc>
              <w:tc>
                <w:tcPr>
                  <w:tcW w:w="1080" w:type="dxa"/>
                  <w:vAlign w:val="center"/>
                </w:tcPr>
                <w:p>
                  <w:pPr>
                    <w:pStyle w:val="19"/>
                    <w:bidi w:val="0"/>
                    <w:rPr>
                      <w:rFonts w:hint="default"/>
                      <w:color w:val="auto"/>
                      <w:lang w:val="en-US" w:eastAsia="zh-CN"/>
                    </w:rPr>
                  </w:pPr>
                  <w:r>
                    <w:rPr>
                      <w:rFonts w:hint="eastAsia"/>
                      <w:color w:val="auto"/>
                      <w:lang w:val="en-US" w:eastAsia="zh-CN"/>
                    </w:rPr>
                    <w:t>0.04</w:t>
                  </w: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土方</w:t>
                  </w:r>
                </w:p>
              </w:tc>
              <w:tc>
                <w:tcPr>
                  <w:tcW w:w="690" w:type="dxa"/>
                  <w:vAlign w:val="center"/>
                </w:tcPr>
                <w:p>
                  <w:pPr>
                    <w:pStyle w:val="19"/>
                    <w:bidi w:val="0"/>
                    <w:rPr>
                      <w:rFonts w:hint="default"/>
                      <w:color w:val="auto"/>
                      <w:lang w:val="en-US" w:eastAsia="zh-CN"/>
                    </w:rPr>
                  </w:pPr>
                  <w:r>
                    <w:rPr>
                      <w:rFonts w:hint="eastAsia"/>
                      <w:color w:val="auto"/>
                      <w:lang w:val="en-US" w:eastAsia="zh-CN"/>
                    </w:rPr>
                    <w:t>0.26</w:t>
                  </w:r>
                </w:p>
              </w:tc>
              <w:tc>
                <w:tcPr>
                  <w:tcW w:w="705" w:type="dxa"/>
                  <w:vAlign w:val="center"/>
                </w:tcPr>
                <w:p>
                  <w:pPr>
                    <w:pStyle w:val="19"/>
                    <w:bidi w:val="0"/>
                    <w:rPr>
                      <w:rFonts w:hint="default"/>
                      <w:color w:val="auto"/>
                      <w:lang w:val="en-US" w:eastAsia="zh-CN"/>
                    </w:rPr>
                  </w:pPr>
                  <w:r>
                    <w:rPr>
                      <w:rFonts w:hint="eastAsia"/>
                      <w:color w:val="auto"/>
                      <w:lang w:val="en-US" w:eastAsia="zh-CN"/>
                    </w:rPr>
                    <w:t>0.65</w:t>
                  </w: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p>
              </w:tc>
              <w:tc>
                <w:tcPr>
                  <w:tcW w:w="1035" w:type="dxa"/>
                  <w:vAlign w:val="center"/>
                </w:tcPr>
                <w:p>
                  <w:pPr>
                    <w:pStyle w:val="19"/>
                    <w:bidi w:val="0"/>
                    <w:rPr>
                      <w:rFonts w:hint="default"/>
                      <w:color w:val="auto"/>
                      <w:lang w:val="en-US" w:eastAsia="zh-CN"/>
                    </w:rPr>
                  </w:pPr>
                </w:p>
              </w:tc>
              <w:tc>
                <w:tcPr>
                  <w:tcW w:w="1080" w:type="dxa"/>
                  <w:vAlign w:val="center"/>
                </w:tcPr>
                <w:p>
                  <w:pPr>
                    <w:pStyle w:val="19"/>
                    <w:bidi w:val="0"/>
                    <w:rPr>
                      <w:rFonts w:hint="default"/>
                      <w:color w:val="auto"/>
                      <w:lang w:val="en-US" w:eastAsia="zh-CN"/>
                    </w:rPr>
                  </w:pPr>
                </w:p>
              </w:tc>
              <w:tc>
                <w:tcPr>
                  <w:tcW w:w="806" w:type="dxa"/>
                  <w:vAlign w:val="center"/>
                </w:tcPr>
                <w:p>
                  <w:pPr>
                    <w:pStyle w:val="19"/>
                    <w:bidi w:val="0"/>
                    <w:rPr>
                      <w:rFonts w:hint="default"/>
                      <w:color w:val="auto"/>
                      <w:lang w:val="en-US" w:eastAsia="zh-CN"/>
                    </w:rPr>
                  </w:pPr>
                  <w:r>
                    <w:rPr>
                      <w:rFonts w:hint="eastAsia"/>
                      <w:color w:val="auto"/>
                      <w:lang w:val="en-US" w:eastAsia="zh-CN"/>
                    </w:rPr>
                    <w:t>-0.39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restart"/>
                  <w:vAlign w:val="center"/>
                </w:tcPr>
                <w:p>
                  <w:pPr>
                    <w:pStyle w:val="19"/>
                    <w:bidi w:val="0"/>
                    <w:rPr>
                      <w:rFonts w:hint="default"/>
                      <w:color w:val="auto"/>
                      <w:lang w:val="en-US" w:eastAsia="zh-CN"/>
                    </w:rPr>
                  </w:pPr>
                  <w:r>
                    <w:rPr>
                      <w:rFonts w:hint="eastAsia"/>
                      <w:color w:val="auto"/>
                      <w:lang w:val="en-US" w:eastAsia="zh-CN"/>
                    </w:rPr>
                    <w:t>5</w:t>
                  </w:r>
                </w:p>
              </w:tc>
              <w:tc>
                <w:tcPr>
                  <w:tcW w:w="870" w:type="dxa"/>
                  <w:vMerge w:val="restart"/>
                  <w:vAlign w:val="center"/>
                </w:tcPr>
                <w:p>
                  <w:pPr>
                    <w:pStyle w:val="19"/>
                    <w:bidi w:val="0"/>
                    <w:rPr>
                      <w:rFonts w:hint="default"/>
                      <w:color w:val="auto"/>
                      <w:lang w:val="en-US" w:eastAsia="zh-CN"/>
                    </w:rPr>
                  </w:pPr>
                  <w:r>
                    <w:rPr>
                      <w:rFonts w:hint="eastAsia"/>
                      <w:color w:val="auto"/>
                      <w:lang w:val="en-US" w:eastAsia="zh-CN"/>
                    </w:rPr>
                    <w:t>临时停车场区</w:t>
                  </w: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表土</w:t>
                  </w:r>
                </w:p>
              </w:tc>
              <w:tc>
                <w:tcPr>
                  <w:tcW w:w="690" w:type="dxa"/>
                  <w:vAlign w:val="center"/>
                </w:tcPr>
                <w:p>
                  <w:pPr>
                    <w:pStyle w:val="19"/>
                    <w:bidi w:val="0"/>
                    <w:rPr>
                      <w:rFonts w:hint="default"/>
                      <w:color w:val="auto"/>
                      <w:lang w:val="en-US" w:eastAsia="zh-CN"/>
                    </w:rPr>
                  </w:pPr>
                  <w:r>
                    <w:rPr>
                      <w:rFonts w:hint="eastAsia"/>
                      <w:color w:val="auto"/>
                      <w:lang w:val="en-US" w:eastAsia="zh-CN"/>
                    </w:rPr>
                    <w:t>0.54</w:t>
                  </w:r>
                </w:p>
              </w:tc>
              <w:tc>
                <w:tcPr>
                  <w:tcW w:w="705" w:type="dxa"/>
                  <w:vAlign w:val="center"/>
                </w:tcPr>
                <w:p>
                  <w:pPr>
                    <w:pStyle w:val="19"/>
                    <w:bidi w:val="0"/>
                    <w:rPr>
                      <w:rFonts w:hint="default"/>
                      <w:color w:val="auto"/>
                      <w:lang w:val="en-US" w:eastAsia="zh-CN"/>
                    </w:rPr>
                  </w:pP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r>
                    <w:rPr>
                      <w:rFonts w:hint="eastAsia"/>
                      <w:color w:val="auto"/>
                      <w:lang w:val="en-US" w:eastAsia="zh-CN"/>
                    </w:rPr>
                    <w:t>0.54</w:t>
                  </w:r>
                </w:p>
              </w:tc>
              <w:tc>
                <w:tcPr>
                  <w:tcW w:w="1035" w:type="dxa"/>
                  <w:vAlign w:val="center"/>
                </w:tcPr>
                <w:p>
                  <w:pPr>
                    <w:pStyle w:val="19"/>
                    <w:bidi w:val="0"/>
                    <w:rPr>
                      <w:rFonts w:hint="default"/>
                      <w:color w:val="auto"/>
                      <w:lang w:val="en-US" w:eastAsia="zh-CN"/>
                    </w:rPr>
                  </w:pPr>
                  <w:r>
                    <w:rPr>
                      <w:rFonts w:hint="default"/>
                      <w:color w:val="auto"/>
                      <w:lang w:eastAsia="zh-CN"/>
                    </w:rPr>
                    <w:t>临时堆土区1</w:t>
                  </w:r>
                </w:p>
              </w:tc>
              <w:tc>
                <w:tcPr>
                  <w:tcW w:w="1080" w:type="dxa"/>
                  <w:vAlign w:val="center"/>
                </w:tcPr>
                <w:p>
                  <w:pPr>
                    <w:pStyle w:val="19"/>
                    <w:bidi w:val="0"/>
                    <w:rPr>
                      <w:rFonts w:hint="default"/>
                      <w:color w:val="auto"/>
                      <w:lang w:val="en-US" w:eastAsia="zh-CN"/>
                    </w:rPr>
                  </w:pPr>
                  <w:r>
                    <w:rPr>
                      <w:rFonts w:hint="eastAsia"/>
                      <w:color w:val="auto"/>
                      <w:lang w:val="en-US" w:eastAsia="zh-CN"/>
                    </w:rPr>
                    <w:t>0.54</w:t>
                  </w: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软土</w:t>
                  </w:r>
                </w:p>
              </w:tc>
              <w:tc>
                <w:tcPr>
                  <w:tcW w:w="690" w:type="dxa"/>
                  <w:vAlign w:val="center"/>
                </w:tcPr>
                <w:p>
                  <w:pPr>
                    <w:pStyle w:val="19"/>
                    <w:bidi w:val="0"/>
                    <w:rPr>
                      <w:rFonts w:hint="default"/>
                      <w:color w:val="auto"/>
                      <w:lang w:val="en-US" w:eastAsia="zh-CN"/>
                    </w:rPr>
                  </w:pPr>
                  <w:r>
                    <w:rPr>
                      <w:rFonts w:hint="eastAsia"/>
                      <w:color w:val="auto"/>
                      <w:lang w:val="en-US" w:eastAsia="zh-CN"/>
                    </w:rPr>
                    <w:t>0.23</w:t>
                  </w:r>
                </w:p>
              </w:tc>
              <w:tc>
                <w:tcPr>
                  <w:tcW w:w="705" w:type="dxa"/>
                  <w:vAlign w:val="center"/>
                </w:tcPr>
                <w:p>
                  <w:pPr>
                    <w:pStyle w:val="19"/>
                    <w:bidi w:val="0"/>
                    <w:rPr>
                      <w:rFonts w:hint="default"/>
                      <w:color w:val="auto"/>
                      <w:lang w:val="en-US" w:eastAsia="zh-CN"/>
                    </w:rPr>
                  </w:pP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r>
                    <w:rPr>
                      <w:rFonts w:hint="eastAsia"/>
                      <w:color w:val="auto"/>
                      <w:lang w:val="en-US" w:eastAsia="zh-CN"/>
                    </w:rPr>
                    <w:t>0.11</w:t>
                  </w:r>
                </w:p>
              </w:tc>
              <w:tc>
                <w:tcPr>
                  <w:tcW w:w="1035" w:type="dxa"/>
                  <w:vAlign w:val="center"/>
                </w:tcPr>
                <w:p>
                  <w:pPr>
                    <w:pStyle w:val="19"/>
                    <w:bidi w:val="0"/>
                    <w:rPr>
                      <w:rFonts w:hint="default"/>
                      <w:color w:val="auto"/>
                      <w:lang w:val="en-US" w:eastAsia="zh-CN"/>
                    </w:rPr>
                  </w:pPr>
                  <w:r>
                    <w:rPr>
                      <w:rFonts w:hint="default"/>
                      <w:color w:val="auto"/>
                      <w:lang w:eastAsia="zh-CN"/>
                    </w:rPr>
                    <w:t>临时堆土区</w:t>
                  </w:r>
                  <w:r>
                    <w:rPr>
                      <w:rFonts w:hint="eastAsia"/>
                      <w:color w:val="auto"/>
                      <w:lang w:val="en-US" w:eastAsia="zh-CN"/>
                    </w:rPr>
                    <w:t>2</w:t>
                  </w:r>
                </w:p>
              </w:tc>
              <w:tc>
                <w:tcPr>
                  <w:tcW w:w="1080" w:type="dxa"/>
                  <w:vAlign w:val="center"/>
                </w:tcPr>
                <w:p>
                  <w:pPr>
                    <w:pStyle w:val="19"/>
                    <w:bidi w:val="0"/>
                    <w:rPr>
                      <w:rFonts w:hint="default"/>
                      <w:color w:val="auto"/>
                      <w:lang w:val="en-US" w:eastAsia="zh-CN"/>
                    </w:rPr>
                  </w:pPr>
                  <w:r>
                    <w:rPr>
                      <w:rFonts w:hint="eastAsia"/>
                      <w:color w:val="auto"/>
                      <w:lang w:val="en-US" w:eastAsia="zh-CN"/>
                    </w:rPr>
                    <w:t>0.11</w:t>
                  </w: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土方</w:t>
                  </w:r>
                </w:p>
              </w:tc>
              <w:tc>
                <w:tcPr>
                  <w:tcW w:w="690" w:type="dxa"/>
                  <w:vAlign w:val="center"/>
                </w:tcPr>
                <w:p>
                  <w:pPr>
                    <w:pStyle w:val="19"/>
                    <w:bidi w:val="0"/>
                    <w:rPr>
                      <w:rFonts w:hint="default"/>
                      <w:color w:val="auto"/>
                      <w:lang w:val="en-US" w:eastAsia="zh-CN"/>
                    </w:rPr>
                  </w:pPr>
                  <w:r>
                    <w:rPr>
                      <w:rFonts w:hint="eastAsia"/>
                      <w:color w:val="auto"/>
                      <w:lang w:val="en-US" w:eastAsia="zh-CN"/>
                    </w:rPr>
                    <w:t>0.60</w:t>
                  </w:r>
                </w:p>
              </w:tc>
              <w:tc>
                <w:tcPr>
                  <w:tcW w:w="705" w:type="dxa"/>
                  <w:vAlign w:val="center"/>
                </w:tcPr>
                <w:p>
                  <w:pPr>
                    <w:pStyle w:val="19"/>
                    <w:bidi w:val="0"/>
                    <w:rPr>
                      <w:rFonts w:hint="default"/>
                      <w:color w:val="auto"/>
                      <w:lang w:val="en-US" w:eastAsia="zh-CN"/>
                    </w:rPr>
                  </w:pPr>
                  <w:r>
                    <w:rPr>
                      <w:rFonts w:hint="eastAsia"/>
                      <w:color w:val="auto"/>
                      <w:lang w:val="en-US" w:eastAsia="zh-CN"/>
                    </w:rPr>
                    <w:t>1.20</w:t>
                  </w: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p>
              </w:tc>
              <w:tc>
                <w:tcPr>
                  <w:tcW w:w="1035" w:type="dxa"/>
                  <w:vAlign w:val="center"/>
                </w:tcPr>
                <w:p>
                  <w:pPr>
                    <w:pStyle w:val="19"/>
                    <w:bidi w:val="0"/>
                    <w:rPr>
                      <w:rFonts w:hint="default"/>
                      <w:color w:val="auto"/>
                      <w:lang w:val="en-US" w:eastAsia="zh-CN"/>
                    </w:rPr>
                  </w:pPr>
                </w:p>
              </w:tc>
              <w:tc>
                <w:tcPr>
                  <w:tcW w:w="1080" w:type="dxa"/>
                  <w:vAlign w:val="center"/>
                </w:tcPr>
                <w:p>
                  <w:pPr>
                    <w:pStyle w:val="19"/>
                    <w:bidi w:val="0"/>
                    <w:rPr>
                      <w:rFonts w:hint="default"/>
                      <w:color w:val="auto"/>
                      <w:lang w:val="en-US" w:eastAsia="zh-CN"/>
                    </w:rPr>
                  </w:pPr>
                </w:p>
              </w:tc>
              <w:tc>
                <w:tcPr>
                  <w:tcW w:w="806" w:type="dxa"/>
                  <w:vAlign w:val="center"/>
                </w:tcPr>
                <w:p>
                  <w:pPr>
                    <w:pStyle w:val="19"/>
                    <w:bidi w:val="0"/>
                    <w:rPr>
                      <w:rFonts w:hint="default"/>
                      <w:color w:val="auto"/>
                      <w:lang w:val="en-US" w:eastAsia="zh-CN"/>
                    </w:rPr>
                  </w:pPr>
                  <w:r>
                    <w:rPr>
                      <w:rFonts w:hint="eastAsia"/>
                      <w:color w:val="auto"/>
                      <w:lang w:val="en-US" w:eastAsia="zh-CN"/>
                    </w:rPr>
                    <w:t>-0.60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restart"/>
                  <w:vAlign w:val="center"/>
                </w:tcPr>
                <w:p>
                  <w:pPr>
                    <w:pStyle w:val="19"/>
                    <w:bidi w:val="0"/>
                    <w:rPr>
                      <w:rFonts w:hint="default"/>
                      <w:color w:val="auto"/>
                      <w:lang w:val="en-US" w:eastAsia="zh-CN"/>
                    </w:rPr>
                  </w:pPr>
                  <w:r>
                    <w:rPr>
                      <w:rFonts w:hint="eastAsia"/>
                      <w:color w:val="auto"/>
                      <w:lang w:val="en-US" w:eastAsia="zh-CN"/>
                    </w:rPr>
                    <w:t>6</w:t>
                  </w:r>
                </w:p>
              </w:tc>
              <w:tc>
                <w:tcPr>
                  <w:tcW w:w="870" w:type="dxa"/>
                  <w:vMerge w:val="restart"/>
                  <w:vAlign w:val="center"/>
                </w:tcPr>
                <w:p>
                  <w:pPr>
                    <w:pStyle w:val="19"/>
                    <w:bidi w:val="0"/>
                    <w:rPr>
                      <w:rFonts w:hint="default"/>
                      <w:color w:val="auto"/>
                      <w:lang w:val="en-US" w:eastAsia="zh-CN"/>
                    </w:rPr>
                  </w:pPr>
                  <w:r>
                    <w:rPr>
                      <w:rFonts w:hint="eastAsia"/>
                      <w:color w:val="auto"/>
                      <w:lang w:val="en-US" w:eastAsia="zh-CN"/>
                    </w:rPr>
                    <w:t>拓展用地区</w:t>
                  </w: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表土</w:t>
                  </w:r>
                </w:p>
              </w:tc>
              <w:tc>
                <w:tcPr>
                  <w:tcW w:w="690" w:type="dxa"/>
                  <w:vAlign w:val="center"/>
                </w:tcPr>
                <w:p>
                  <w:pPr>
                    <w:pStyle w:val="19"/>
                    <w:bidi w:val="0"/>
                    <w:rPr>
                      <w:rFonts w:hint="default"/>
                      <w:color w:val="auto"/>
                      <w:lang w:val="en-US" w:eastAsia="zh-CN"/>
                    </w:rPr>
                  </w:pPr>
                  <w:r>
                    <w:rPr>
                      <w:rFonts w:hint="eastAsia"/>
                      <w:color w:val="auto"/>
                      <w:lang w:val="en-US" w:eastAsia="zh-CN"/>
                    </w:rPr>
                    <w:t>0.37</w:t>
                  </w:r>
                </w:p>
              </w:tc>
              <w:tc>
                <w:tcPr>
                  <w:tcW w:w="705" w:type="dxa"/>
                  <w:vAlign w:val="center"/>
                </w:tcPr>
                <w:p>
                  <w:pPr>
                    <w:pStyle w:val="19"/>
                    <w:bidi w:val="0"/>
                    <w:rPr>
                      <w:rFonts w:hint="default"/>
                      <w:color w:val="auto"/>
                      <w:lang w:val="en-US" w:eastAsia="zh-CN"/>
                    </w:rPr>
                  </w:pP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r>
                    <w:rPr>
                      <w:rFonts w:hint="eastAsia"/>
                      <w:color w:val="auto"/>
                      <w:lang w:val="en-US" w:eastAsia="zh-CN"/>
                    </w:rPr>
                    <w:t>0.37</w:t>
                  </w:r>
                </w:p>
              </w:tc>
              <w:tc>
                <w:tcPr>
                  <w:tcW w:w="1035" w:type="dxa"/>
                  <w:vAlign w:val="center"/>
                </w:tcPr>
                <w:p>
                  <w:pPr>
                    <w:pStyle w:val="19"/>
                    <w:bidi w:val="0"/>
                    <w:rPr>
                      <w:rFonts w:hint="default"/>
                      <w:color w:val="auto"/>
                      <w:lang w:val="en-US" w:eastAsia="zh-CN"/>
                    </w:rPr>
                  </w:pPr>
                  <w:r>
                    <w:rPr>
                      <w:rFonts w:hint="default"/>
                      <w:color w:val="auto"/>
                      <w:lang w:eastAsia="zh-CN"/>
                    </w:rPr>
                    <w:t>临时堆土区1</w:t>
                  </w:r>
                </w:p>
              </w:tc>
              <w:tc>
                <w:tcPr>
                  <w:tcW w:w="1080" w:type="dxa"/>
                  <w:vAlign w:val="center"/>
                </w:tcPr>
                <w:p>
                  <w:pPr>
                    <w:pStyle w:val="19"/>
                    <w:bidi w:val="0"/>
                    <w:ind w:firstLine="0" w:firstLineChars="0"/>
                    <w:rPr>
                      <w:rFonts w:hint="default"/>
                      <w:color w:val="auto"/>
                      <w:lang w:val="en-US" w:eastAsia="zh-CN"/>
                    </w:rPr>
                  </w:pPr>
                  <w:r>
                    <w:rPr>
                      <w:rFonts w:hint="eastAsia"/>
                      <w:color w:val="auto"/>
                      <w:lang w:val="en-US" w:eastAsia="zh-CN"/>
                    </w:rPr>
                    <w:t>0.37</w:t>
                  </w: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软土</w:t>
                  </w:r>
                </w:p>
              </w:tc>
              <w:tc>
                <w:tcPr>
                  <w:tcW w:w="690" w:type="dxa"/>
                  <w:vAlign w:val="center"/>
                </w:tcPr>
                <w:p>
                  <w:pPr>
                    <w:pStyle w:val="19"/>
                    <w:bidi w:val="0"/>
                    <w:rPr>
                      <w:rFonts w:hint="default"/>
                      <w:color w:val="auto"/>
                      <w:lang w:val="en-US" w:eastAsia="zh-CN"/>
                    </w:rPr>
                  </w:pPr>
                  <w:r>
                    <w:rPr>
                      <w:rFonts w:hint="eastAsia"/>
                      <w:color w:val="auto"/>
                      <w:lang w:val="en-US" w:eastAsia="zh-CN"/>
                    </w:rPr>
                    <w:t>0.21</w:t>
                  </w:r>
                </w:p>
              </w:tc>
              <w:tc>
                <w:tcPr>
                  <w:tcW w:w="705" w:type="dxa"/>
                  <w:vAlign w:val="center"/>
                </w:tcPr>
                <w:p>
                  <w:pPr>
                    <w:pStyle w:val="19"/>
                    <w:bidi w:val="0"/>
                    <w:rPr>
                      <w:rFonts w:hint="default"/>
                      <w:color w:val="auto"/>
                      <w:lang w:val="en-US" w:eastAsia="zh-CN"/>
                    </w:rPr>
                  </w:pP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r>
                    <w:rPr>
                      <w:rFonts w:hint="eastAsia"/>
                      <w:color w:val="auto"/>
                      <w:lang w:val="en-US" w:eastAsia="zh-CN"/>
                    </w:rPr>
                    <w:t>0.10</w:t>
                  </w:r>
                </w:p>
              </w:tc>
              <w:tc>
                <w:tcPr>
                  <w:tcW w:w="1035" w:type="dxa"/>
                  <w:vAlign w:val="center"/>
                </w:tcPr>
                <w:p>
                  <w:pPr>
                    <w:pStyle w:val="19"/>
                    <w:bidi w:val="0"/>
                    <w:rPr>
                      <w:rFonts w:hint="default"/>
                      <w:color w:val="auto"/>
                      <w:lang w:val="en-US" w:eastAsia="zh-CN"/>
                    </w:rPr>
                  </w:pPr>
                  <w:r>
                    <w:rPr>
                      <w:rFonts w:hint="default"/>
                      <w:color w:val="auto"/>
                      <w:lang w:eastAsia="zh-CN"/>
                    </w:rPr>
                    <w:t>临时堆土区</w:t>
                  </w:r>
                  <w:r>
                    <w:rPr>
                      <w:rFonts w:hint="eastAsia"/>
                      <w:color w:val="auto"/>
                      <w:lang w:val="en-US" w:eastAsia="zh-CN"/>
                    </w:rPr>
                    <w:t>2</w:t>
                  </w:r>
                </w:p>
              </w:tc>
              <w:tc>
                <w:tcPr>
                  <w:tcW w:w="1080" w:type="dxa"/>
                  <w:vAlign w:val="center"/>
                </w:tcPr>
                <w:p>
                  <w:pPr>
                    <w:pStyle w:val="19"/>
                    <w:bidi w:val="0"/>
                    <w:ind w:firstLine="0" w:firstLineChars="0"/>
                    <w:rPr>
                      <w:rFonts w:hint="default"/>
                      <w:color w:val="auto"/>
                      <w:lang w:val="en-US" w:eastAsia="zh-CN"/>
                    </w:rPr>
                  </w:pPr>
                  <w:r>
                    <w:rPr>
                      <w:rFonts w:hint="eastAsia"/>
                      <w:color w:val="auto"/>
                      <w:lang w:val="en-US" w:eastAsia="zh-CN"/>
                    </w:rPr>
                    <w:t>0.10</w:t>
                  </w: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土方</w:t>
                  </w:r>
                </w:p>
              </w:tc>
              <w:tc>
                <w:tcPr>
                  <w:tcW w:w="690" w:type="dxa"/>
                  <w:vAlign w:val="center"/>
                </w:tcPr>
                <w:p>
                  <w:pPr>
                    <w:pStyle w:val="19"/>
                    <w:bidi w:val="0"/>
                    <w:rPr>
                      <w:rFonts w:hint="default"/>
                      <w:color w:val="auto"/>
                      <w:lang w:val="en-US" w:eastAsia="zh-CN"/>
                    </w:rPr>
                  </w:pPr>
                  <w:r>
                    <w:rPr>
                      <w:rFonts w:hint="eastAsia"/>
                      <w:color w:val="auto"/>
                      <w:lang w:val="en-US" w:eastAsia="zh-CN"/>
                    </w:rPr>
                    <w:t>0.56</w:t>
                  </w:r>
                </w:p>
              </w:tc>
              <w:tc>
                <w:tcPr>
                  <w:tcW w:w="705" w:type="dxa"/>
                  <w:vAlign w:val="center"/>
                </w:tcPr>
                <w:p>
                  <w:pPr>
                    <w:pStyle w:val="19"/>
                    <w:bidi w:val="0"/>
                    <w:rPr>
                      <w:rFonts w:hint="default"/>
                      <w:color w:val="auto"/>
                      <w:lang w:val="en-US" w:eastAsia="zh-CN"/>
                    </w:rPr>
                  </w:pPr>
                  <w:r>
                    <w:rPr>
                      <w:rFonts w:hint="eastAsia"/>
                      <w:color w:val="auto"/>
                      <w:lang w:val="en-US" w:eastAsia="zh-CN"/>
                    </w:rPr>
                    <w:t>2.38</w:t>
                  </w: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p>
              </w:tc>
              <w:tc>
                <w:tcPr>
                  <w:tcW w:w="1035" w:type="dxa"/>
                  <w:vAlign w:val="center"/>
                </w:tcPr>
                <w:p>
                  <w:pPr>
                    <w:pStyle w:val="19"/>
                    <w:bidi w:val="0"/>
                    <w:rPr>
                      <w:rFonts w:hint="default"/>
                      <w:color w:val="auto"/>
                      <w:lang w:val="en-US" w:eastAsia="zh-CN"/>
                    </w:rPr>
                  </w:pPr>
                </w:p>
              </w:tc>
              <w:tc>
                <w:tcPr>
                  <w:tcW w:w="1080" w:type="dxa"/>
                  <w:vAlign w:val="center"/>
                </w:tcPr>
                <w:p>
                  <w:pPr>
                    <w:pStyle w:val="19"/>
                    <w:bidi w:val="0"/>
                    <w:rPr>
                      <w:rFonts w:hint="default"/>
                      <w:color w:val="auto"/>
                      <w:lang w:val="en-US" w:eastAsia="zh-CN"/>
                    </w:rPr>
                  </w:pPr>
                </w:p>
              </w:tc>
              <w:tc>
                <w:tcPr>
                  <w:tcW w:w="806" w:type="dxa"/>
                  <w:vAlign w:val="center"/>
                </w:tcPr>
                <w:p>
                  <w:pPr>
                    <w:pStyle w:val="19"/>
                    <w:bidi w:val="0"/>
                    <w:rPr>
                      <w:rFonts w:hint="default"/>
                      <w:color w:val="auto"/>
                      <w:lang w:val="en-US" w:eastAsia="zh-CN"/>
                    </w:rPr>
                  </w:pPr>
                  <w:r>
                    <w:rPr>
                      <w:rFonts w:hint="eastAsia"/>
                      <w:color w:val="auto"/>
                      <w:lang w:val="en-US" w:eastAsia="zh-CN"/>
                    </w:rPr>
                    <w:t>-1.82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restart"/>
                  <w:vAlign w:val="center"/>
                </w:tcPr>
                <w:p>
                  <w:pPr>
                    <w:pStyle w:val="19"/>
                    <w:bidi w:val="0"/>
                    <w:ind w:firstLine="0" w:firstLineChars="0"/>
                    <w:rPr>
                      <w:rFonts w:hint="eastAsia"/>
                      <w:color w:val="auto"/>
                      <w:lang w:val="en-US" w:eastAsia="zh-CN"/>
                    </w:rPr>
                  </w:pPr>
                  <w:r>
                    <w:rPr>
                      <w:rFonts w:hint="eastAsia"/>
                      <w:color w:val="auto"/>
                      <w:lang w:val="en-US" w:eastAsia="zh-CN"/>
                    </w:rPr>
                    <w:t>7</w:t>
                  </w:r>
                </w:p>
              </w:tc>
              <w:tc>
                <w:tcPr>
                  <w:tcW w:w="870" w:type="dxa"/>
                  <w:vMerge w:val="restart"/>
                  <w:vAlign w:val="center"/>
                </w:tcPr>
                <w:p>
                  <w:pPr>
                    <w:pStyle w:val="19"/>
                    <w:bidi w:val="0"/>
                    <w:ind w:firstLine="0" w:firstLineChars="0"/>
                    <w:rPr>
                      <w:rFonts w:hint="eastAsia"/>
                      <w:color w:val="auto"/>
                      <w:lang w:val="en-US" w:eastAsia="zh-CN"/>
                    </w:rPr>
                  </w:pPr>
                  <w:r>
                    <w:rPr>
                      <w:rFonts w:hint="eastAsia"/>
                      <w:color w:val="auto"/>
                      <w:lang w:val="en-US" w:eastAsia="zh-CN"/>
                    </w:rPr>
                    <w:t>小计</w:t>
                  </w: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表土</w:t>
                  </w:r>
                </w:p>
              </w:tc>
              <w:tc>
                <w:tcPr>
                  <w:tcW w:w="690" w:type="dxa"/>
                  <w:vAlign w:val="center"/>
                </w:tcPr>
                <w:p>
                  <w:pPr>
                    <w:pStyle w:val="19"/>
                    <w:bidi w:val="0"/>
                    <w:rPr>
                      <w:rFonts w:hint="default"/>
                      <w:color w:val="auto"/>
                      <w:lang w:val="en-US" w:eastAsia="zh-CN"/>
                    </w:rPr>
                  </w:pPr>
                  <w:r>
                    <w:rPr>
                      <w:rFonts w:hint="eastAsia"/>
                      <w:color w:val="auto"/>
                      <w:lang w:val="en-US" w:eastAsia="zh-CN"/>
                    </w:rPr>
                    <w:t>1.98</w:t>
                  </w:r>
                </w:p>
              </w:tc>
              <w:tc>
                <w:tcPr>
                  <w:tcW w:w="705" w:type="dxa"/>
                  <w:vAlign w:val="center"/>
                </w:tcPr>
                <w:p>
                  <w:pPr>
                    <w:pStyle w:val="19"/>
                    <w:bidi w:val="0"/>
                    <w:rPr>
                      <w:rFonts w:hint="default"/>
                      <w:color w:val="auto"/>
                      <w:lang w:val="en-US" w:eastAsia="zh-CN"/>
                    </w:rPr>
                  </w:pPr>
                  <w:r>
                    <w:rPr>
                      <w:rFonts w:hint="eastAsia"/>
                      <w:color w:val="auto"/>
                      <w:lang w:val="en-US" w:eastAsia="zh-CN"/>
                    </w:rPr>
                    <w:t>1.98</w:t>
                  </w:r>
                </w:p>
              </w:tc>
              <w:tc>
                <w:tcPr>
                  <w:tcW w:w="675" w:type="dxa"/>
                  <w:vAlign w:val="center"/>
                </w:tcPr>
                <w:p>
                  <w:pPr>
                    <w:pStyle w:val="19"/>
                    <w:bidi w:val="0"/>
                    <w:rPr>
                      <w:rFonts w:hint="default"/>
                      <w:color w:val="auto"/>
                      <w:lang w:val="en-US" w:eastAsia="zh-CN"/>
                    </w:rPr>
                  </w:pPr>
                  <w:r>
                    <w:rPr>
                      <w:rFonts w:hint="eastAsia"/>
                      <w:color w:val="auto"/>
                      <w:lang w:val="en-US" w:eastAsia="zh-CN"/>
                    </w:rPr>
                    <w:t>1.98</w:t>
                  </w:r>
                </w:p>
              </w:tc>
              <w:tc>
                <w:tcPr>
                  <w:tcW w:w="960" w:type="dxa"/>
                  <w:vAlign w:val="center"/>
                </w:tcPr>
                <w:p>
                  <w:pPr>
                    <w:pStyle w:val="19"/>
                    <w:bidi w:val="0"/>
                    <w:rPr>
                      <w:rFonts w:hint="default"/>
                      <w:color w:val="auto"/>
                      <w:lang w:val="en-US" w:eastAsia="zh-CN"/>
                    </w:rPr>
                  </w:pPr>
                  <w:r>
                    <w:rPr>
                      <w:rFonts w:hint="default"/>
                      <w:color w:val="auto"/>
                      <w:lang w:eastAsia="zh-CN"/>
                    </w:rPr>
                    <w:t>临时堆土区1</w:t>
                  </w:r>
                </w:p>
              </w:tc>
              <w:tc>
                <w:tcPr>
                  <w:tcW w:w="720" w:type="dxa"/>
                  <w:vAlign w:val="center"/>
                </w:tcPr>
                <w:p>
                  <w:pPr>
                    <w:pStyle w:val="19"/>
                    <w:bidi w:val="0"/>
                    <w:rPr>
                      <w:rFonts w:hint="default"/>
                      <w:color w:val="auto"/>
                      <w:lang w:val="en-US" w:eastAsia="zh-CN"/>
                    </w:rPr>
                  </w:pPr>
                  <w:r>
                    <w:rPr>
                      <w:rFonts w:hint="eastAsia"/>
                      <w:color w:val="auto"/>
                      <w:lang w:val="en-US" w:eastAsia="zh-CN"/>
                    </w:rPr>
                    <w:t>1.98</w:t>
                  </w:r>
                </w:p>
              </w:tc>
              <w:tc>
                <w:tcPr>
                  <w:tcW w:w="1035" w:type="dxa"/>
                  <w:vAlign w:val="center"/>
                </w:tcPr>
                <w:p>
                  <w:pPr>
                    <w:pStyle w:val="19"/>
                    <w:bidi w:val="0"/>
                    <w:rPr>
                      <w:rFonts w:hint="default"/>
                      <w:color w:val="auto"/>
                      <w:lang w:val="en-US" w:eastAsia="zh-CN"/>
                    </w:rPr>
                  </w:pPr>
                  <w:r>
                    <w:rPr>
                      <w:rFonts w:hint="default"/>
                      <w:color w:val="auto"/>
                      <w:lang w:eastAsia="zh-CN"/>
                    </w:rPr>
                    <w:t>临时堆土区1</w:t>
                  </w:r>
                </w:p>
              </w:tc>
              <w:tc>
                <w:tcPr>
                  <w:tcW w:w="1080" w:type="dxa"/>
                  <w:vAlign w:val="center"/>
                </w:tcPr>
                <w:p>
                  <w:pPr>
                    <w:pStyle w:val="19"/>
                    <w:bidi w:val="0"/>
                    <w:rPr>
                      <w:rFonts w:hint="default"/>
                      <w:color w:val="auto"/>
                      <w:lang w:val="en-US" w:eastAsia="zh-CN"/>
                    </w:rPr>
                  </w:pPr>
                  <w:r>
                    <w:rPr>
                      <w:rFonts w:hint="eastAsia"/>
                      <w:color w:val="auto"/>
                      <w:lang w:val="en-US" w:eastAsia="zh-CN"/>
                    </w:rPr>
                    <w:t>1.98</w:t>
                  </w: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软土</w:t>
                  </w:r>
                </w:p>
              </w:tc>
              <w:tc>
                <w:tcPr>
                  <w:tcW w:w="690" w:type="dxa"/>
                  <w:vAlign w:val="center"/>
                </w:tcPr>
                <w:p>
                  <w:pPr>
                    <w:pStyle w:val="19"/>
                    <w:bidi w:val="0"/>
                    <w:rPr>
                      <w:rFonts w:hint="default"/>
                      <w:color w:val="auto"/>
                      <w:lang w:val="en-US" w:eastAsia="zh-CN"/>
                    </w:rPr>
                  </w:pPr>
                  <w:r>
                    <w:rPr>
                      <w:rFonts w:hint="eastAsia"/>
                      <w:color w:val="auto"/>
                      <w:lang w:val="en-US" w:eastAsia="zh-CN"/>
                    </w:rPr>
                    <w:t>2.70</w:t>
                  </w:r>
                </w:p>
              </w:tc>
              <w:tc>
                <w:tcPr>
                  <w:tcW w:w="705" w:type="dxa"/>
                  <w:vAlign w:val="center"/>
                </w:tcPr>
                <w:p>
                  <w:pPr>
                    <w:pStyle w:val="19"/>
                    <w:bidi w:val="0"/>
                    <w:rPr>
                      <w:rFonts w:hint="default"/>
                      <w:color w:val="auto"/>
                      <w:lang w:val="en-US" w:eastAsia="zh-CN"/>
                    </w:rPr>
                  </w:pP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r>
                    <w:rPr>
                      <w:rFonts w:hint="default"/>
                      <w:color w:val="auto"/>
                      <w:lang w:eastAsia="zh-CN"/>
                    </w:rPr>
                    <w:t>临时堆土区</w:t>
                  </w:r>
                  <w:r>
                    <w:rPr>
                      <w:rFonts w:hint="eastAsia"/>
                      <w:color w:val="auto"/>
                      <w:lang w:val="en-US" w:eastAsia="zh-CN"/>
                    </w:rPr>
                    <w:t>2</w:t>
                  </w:r>
                </w:p>
              </w:tc>
              <w:tc>
                <w:tcPr>
                  <w:tcW w:w="720" w:type="dxa"/>
                  <w:vAlign w:val="center"/>
                </w:tcPr>
                <w:p>
                  <w:pPr>
                    <w:pStyle w:val="19"/>
                    <w:bidi w:val="0"/>
                    <w:rPr>
                      <w:rFonts w:hint="default"/>
                      <w:color w:val="auto"/>
                      <w:lang w:val="en-US" w:eastAsia="zh-CN"/>
                    </w:rPr>
                  </w:pPr>
                </w:p>
              </w:tc>
              <w:tc>
                <w:tcPr>
                  <w:tcW w:w="1035" w:type="dxa"/>
                  <w:vAlign w:val="center"/>
                </w:tcPr>
                <w:p>
                  <w:pPr>
                    <w:pStyle w:val="19"/>
                    <w:bidi w:val="0"/>
                    <w:rPr>
                      <w:rFonts w:hint="default"/>
                      <w:color w:val="auto"/>
                      <w:lang w:val="en-US" w:eastAsia="zh-CN"/>
                    </w:rPr>
                  </w:pPr>
                  <w:r>
                    <w:rPr>
                      <w:rFonts w:hint="default"/>
                      <w:color w:val="auto"/>
                      <w:lang w:eastAsia="zh-CN"/>
                    </w:rPr>
                    <w:t>临时堆土区</w:t>
                  </w:r>
                  <w:r>
                    <w:rPr>
                      <w:rFonts w:hint="eastAsia"/>
                      <w:color w:val="auto"/>
                      <w:lang w:val="en-US" w:eastAsia="zh-CN"/>
                    </w:rPr>
                    <w:t>2</w:t>
                  </w:r>
                </w:p>
              </w:tc>
              <w:tc>
                <w:tcPr>
                  <w:tcW w:w="1080" w:type="dxa"/>
                  <w:vAlign w:val="center"/>
                </w:tcPr>
                <w:p>
                  <w:pPr>
                    <w:pStyle w:val="19"/>
                    <w:bidi w:val="0"/>
                    <w:rPr>
                      <w:rFonts w:hint="default"/>
                      <w:color w:val="auto"/>
                      <w:lang w:val="en-US" w:eastAsia="zh-CN"/>
                    </w:rPr>
                  </w:pP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pPr>
                    <w:pStyle w:val="19"/>
                    <w:bidi w:val="0"/>
                    <w:rPr>
                      <w:rFonts w:hint="eastAsia"/>
                      <w:color w:val="auto"/>
                      <w:lang w:val="en-US" w:eastAsia="zh-CN"/>
                    </w:rPr>
                  </w:pPr>
                </w:p>
              </w:tc>
              <w:tc>
                <w:tcPr>
                  <w:tcW w:w="870" w:type="dxa"/>
                  <w:vMerge w:val="continue"/>
                  <w:vAlign w:val="center"/>
                </w:tcPr>
                <w:p>
                  <w:pPr>
                    <w:pStyle w:val="19"/>
                    <w:bidi w:val="0"/>
                    <w:rPr>
                      <w:rFonts w:hint="eastAsia"/>
                      <w:color w:val="auto"/>
                      <w:lang w:val="en-US" w:eastAsia="zh-CN"/>
                    </w:rPr>
                  </w:pPr>
                </w:p>
              </w:tc>
              <w:tc>
                <w:tcPr>
                  <w:tcW w:w="675" w:type="dxa"/>
                  <w:vAlign w:val="center"/>
                </w:tcPr>
                <w:p>
                  <w:pPr>
                    <w:pStyle w:val="19"/>
                    <w:bidi w:val="0"/>
                    <w:ind w:firstLine="0" w:firstLineChars="0"/>
                    <w:rPr>
                      <w:rFonts w:hint="default"/>
                      <w:color w:val="auto"/>
                      <w:lang w:val="en-US" w:eastAsia="zh-CN"/>
                    </w:rPr>
                  </w:pPr>
                  <w:r>
                    <w:rPr>
                      <w:rFonts w:hint="eastAsia"/>
                      <w:color w:val="auto"/>
                      <w:lang w:val="en-US" w:eastAsia="zh-CN"/>
                    </w:rPr>
                    <w:t>土方</w:t>
                  </w:r>
                </w:p>
              </w:tc>
              <w:tc>
                <w:tcPr>
                  <w:tcW w:w="690" w:type="dxa"/>
                  <w:vAlign w:val="center"/>
                </w:tcPr>
                <w:p>
                  <w:pPr>
                    <w:pStyle w:val="19"/>
                    <w:bidi w:val="0"/>
                    <w:rPr>
                      <w:rFonts w:hint="default"/>
                      <w:color w:val="auto"/>
                      <w:lang w:val="en-US" w:eastAsia="zh-CN"/>
                    </w:rPr>
                  </w:pPr>
                  <w:r>
                    <w:rPr>
                      <w:rFonts w:hint="eastAsia"/>
                      <w:color w:val="auto"/>
                      <w:lang w:val="en-US" w:eastAsia="zh-CN"/>
                    </w:rPr>
                    <w:t>4.51</w:t>
                  </w:r>
                </w:p>
              </w:tc>
              <w:tc>
                <w:tcPr>
                  <w:tcW w:w="705" w:type="dxa"/>
                  <w:vAlign w:val="center"/>
                </w:tcPr>
                <w:p>
                  <w:pPr>
                    <w:pStyle w:val="19"/>
                    <w:bidi w:val="0"/>
                    <w:rPr>
                      <w:rFonts w:hint="default"/>
                      <w:color w:val="auto"/>
                      <w:lang w:val="en-US" w:eastAsia="zh-CN"/>
                    </w:rPr>
                  </w:pPr>
                  <w:r>
                    <w:rPr>
                      <w:rFonts w:hint="eastAsia"/>
                      <w:color w:val="auto"/>
                      <w:lang w:val="en-US" w:eastAsia="zh-CN"/>
                    </w:rPr>
                    <w:t>39.9</w:t>
                  </w:r>
                </w:p>
              </w:tc>
              <w:tc>
                <w:tcPr>
                  <w:tcW w:w="675" w:type="dxa"/>
                  <w:vAlign w:val="center"/>
                </w:tcPr>
                <w:p>
                  <w:pPr>
                    <w:pStyle w:val="19"/>
                    <w:bidi w:val="0"/>
                    <w:rPr>
                      <w:rFonts w:hint="default"/>
                      <w:color w:val="auto"/>
                      <w:lang w:val="en-US" w:eastAsia="zh-CN"/>
                    </w:rPr>
                  </w:pP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p>
              </w:tc>
              <w:tc>
                <w:tcPr>
                  <w:tcW w:w="1035" w:type="dxa"/>
                  <w:vAlign w:val="center"/>
                </w:tcPr>
                <w:p>
                  <w:pPr>
                    <w:pStyle w:val="19"/>
                    <w:bidi w:val="0"/>
                    <w:rPr>
                      <w:rFonts w:hint="default"/>
                      <w:color w:val="auto"/>
                      <w:lang w:val="en-US" w:eastAsia="zh-CN"/>
                    </w:rPr>
                  </w:pPr>
                </w:p>
              </w:tc>
              <w:tc>
                <w:tcPr>
                  <w:tcW w:w="1080" w:type="dxa"/>
                  <w:vAlign w:val="center"/>
                </w:tcPr>
                <w:p>
                  <w:pPr>
                    <w:pStyle w:val="19"/>
                    <w:bidi w:val="0"/>
                    <w:rPr>
                      <w:rFonts w:hint="default"/>
                      <w:color w:val="auto"/>
                      <w:lang w:val="en-US" w:eastAsia="zh-CN"/>
                    </w:rPr>
                  </w:pPr>
                </w:p>
              </w:tc>
              <w:tc>
                <w:tcPr>
                  <w:tcW w:w="806" w:type="dxa"/>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7" w:type="dxa"/>
                  <w:gridSpan w:val="2"/>
                  <w:vAlign w:val="center"/>
                </w:tcPr>
                <w:p>
                  <w:pPr>
                    <w:pStyle w:val="19"/>
                    <w:bidi w:val="0"/>
                    <w:rPr>
                      <w:rFonts w:hint="default"/>
                      <w:color w:val="auto"/>
                      <w:lang w:val="en-US" w:eastAsia="zh-CN"/>
                    </w:rPr>
                  </w:pPr>
                  <w:r>
                    <w:rPr>
                      <w:rFonts w:hint="eastAsia"/>
                      <w:color w:val="auto"/>
                      <w:lang w:val="en-US" w:eastAsia="zh-CN"/>
                    </w:rPr>
                    <w:t>合计</w:t>
                  </w:r>
                </w:p>
              </w:tc>
              <w:tc>
                <w:tcPr>
                  <w:tcW w:w="675" w:type="dxa"/>
                  <w:vAlign w:val="center"/>
                </w:tcPr>
                <w:p>
                  <w:pPr>
                    <w:pStyle w:val="19"/>
                    <w:bidi w:val="0"/>
                    <w:rPr>
                      <w:rFonts w:hint="default"/>
                      <w:color w:val="auto"/>
                      <w:lang w:val="en-US" w:eastAsia="zh-CN"/>
                    </w:rPr>
                  </w:pPr>
                </w:p>
              </w:tc>
              <w:tc>
                <w:tcPr>
                  <w:tcW w:w="690" w:type="dxa"/>
                  <w:vAlign w:val="center"/>
                </w:tcPr>
                <w:p>
                  <w:pPr>
                    <w:pStyle w:val="19"/>
                    <w:bidi w:val="0"/>
                    <w:rPr>
                      <w:rFonts w:hint="default"/>
                      <w:color w:val="auto"/>
                      <w:lang w:val="en-US" w:eastAsia="zh-CN"/>
                    </w:rPr>
                  </w:pPr>
                  <w:r>
                    <w:rPr>
                      <w:rFonts w:hint="eastAsia"/>
                      <w:color w:val="auto"/>
                      <w:lang w:val="en-US" w:eastAsia="zh-CN"/>
                    </w:rPr>
                    <w:t>9.20</w:t>
                  </w:r>
                </w:p>
              </w:tc>
              <w:tc>
                <w:tcPr>
                  <w:tcW w:w="705" w:type="dxa"/>
                  <w:vAlign w:val="center"/>
                </w:tcPr>
                <w:p>
                  <w:pPr>
                    <w:pStyle w:val="19"/>
                    <w:bidi w:val="0"/>
                    <w:rPr>
                      <w:rFonts w:hint="default"/>
                      <w:color w:val="auto"/>
                      <w:lang w:val="en-US" w:eastAsia="zh-CN"/>
                    </w:rPr>
                  </w:pPr>
                  <w:r>
                    <w:rPr>
                      <w:rFonts w:hint="eastAsia"/>
                      <w:color w:val="auto"/>
                      <w:lang w:val="en-US" w:eastAsia="zh-CN"/>
                    </w:rPr>
                    <w:t>43.23</w:t>
                  </w:r>
                </w:p>
              </w:tc>
              <w:tc>
                <w:tcPr>
                  <w:tcW w:w="675" w:type="dxa"/>
                  <w:vAlign w:val="center"/>
                </w:tcPr>
                <w:p>
                  <w:pPr>
                    <w:pStyle w:val="19"/>
                    <w:bidi w:val="0"/>
                    <w:rPr>
                      <w:rFonts w:hint="default"/>
                      <w:color w:val="auto"/>
                      <w:lang w:val="en-US" w:eastAsia="zh-CN"/>
                    </w:rPr>
                  </w:pPr>
                  <w:r>
                    <w:rPr>
                      <w:rFonts w:hint="eastAsia"/>
                      <w:color w:val="auto"/>
                      <w:lang w:val="en-US" w:eastAsia="zh-CN"/>
                    </w:rPr>
                    <w:t>3.33</w:t>
                  </w:r>
                </w:p>
              </w:tc>
              <w:tc>
                <w:tcPr>
                  <w:tcW w:w="960" w:type="dxa"/>
                  <w:vAlign w:val="center"/>
                </w:tcPr>
                <w:p>
                  <w:pPr>
                    <w:pStyle w:val="19"/>
                    <w:bidi w:val="0"/>
                    <w:rPr>
                      <w:rFonts w:hint="default"/>
                      <w:color w:val="auto"/>
                      <w:lang w:val="en-US" w:eastAsia="zh-CN"/>
                    </w:rPr>
                  </w:pPr>
                </w:p>
              </w:tc>
              <w:tc>
                <w:tcPr>
                  <w:tcW w:w="720" w:type="dxa"/>
                  <w:vAlign w:val="center"/>
                </w:tcPr>
                <w:p>
                  <w:pPr>
                    <w:pStyle w:val="19"/>
                    <w:bidi w:val="0"/>
                    <w:rPr>
                      <w:rFonts w:hint="default"/>
                      <w:color w:val="auto"/>
                      <w:lang w:val="en-US" w:eastAsia="zh-CN"/>
                    </w:rPr>
                  </w:pPr>
                  <w:r>
                    <w:rPr>
                      <w:rFonts w:hint="eastAsia"/>
                      <w:color w:val="auto"/>
                      <w:lang w:val="en-US" w:eastAsia="zh-CN"/>
                    </w:rPr>
                    <w:t>3.33</w:t>
                  </w:r>
                </w:p>
              </w:tc>
              <w:tc>
                <w:tcPr>
                  <w:tcW w:w="1035" w:type="dxa"/>
                  <w:vAlign w:val="center"/>
                </w:tcPr>
                <w:p>
                  <w:pPr>
                    <w:pStyle w:val="19"/>
                    <w:bidi w:val="0"/>
                    <w:rPr>
                      <w:rFonts w:hint="default"/>
                      <w:color w:val="auto"/>
                      <w:lang w:val="en-US" w:eastAsia="zh-CN"/>
                    </w:rPr>
                  </w:pPr>
                </w:p>
              </w:tc>
              <w:tc>
                <w:tcPr>
                  <w:tcW w:w="1080" w:type="dxa"/>
                  <w:vAlign w:val="center"/>
                </w:tcPr>
                <w:p>
                  <w:pPr>
                    <w:pStyle w:val="19"/>
                    <w:bidi w:val="0"/>
                    <w:rPr>
                      <w:rFonts w:hint="default"/>
                      <w:color w:val="auto"/>
                      <w:lang w:val="en-US" w:eastAsia="zh-CN"/>
                    </w:rPr>
                  </w:pPr>
                  <w:r>
                    <w:rPr>
                      <w:rFonts w:hint="eastAsia"/>
                      <w:color w:val="auto"/>
                      <w:lang w:val="en-US" w:eastAsia="zh-CN"/>
                    </w:rPr>
                    <w:t>3.33</w:t>
                  </w:r>
                </w:p>
              </w:tc>
              <w:tc>
                <w:tcPr>
                  <w:tcW w:w="806" w:type="dxa"/>
                  <w:vAlign w:val="center"/>
                </w:tcPr>
                <w:p>
                  <w:pPr>
                    <w:pStyle w:val="19"/>
                    <w:bidi w:val="0"/>
                    <w:rPr>
                      <w:rFonts w:hint="default"/>
                      <w:color w:val="auto"/>
                      <w:lang w:val="en-US" w:eastAsia="zh-CN"/>
                    </w:rPr>
                  </w:pPr>
                  <w:r>
                    <w:rPr>
                      <w:rFonts w:hint="eastAsia"/>
                      <w:color w:val="auto"/>
                      <w:lang w:val="en-US" w:eastAsia="zh-CN"/>
                    </w:rPr>
                    <w:t>-35.38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43" w:type="dxa"/>
                  <w:gridSpan w:val="11"/>
                  <w:vAlign w:val="center"/>
                </w:tcPr>
                <w:p>
                  <w:pPr>
                    <w:pStyle w:val="19"/>
                    <w:bidi w:val="0"/>
                    <w:jc w:val="left"/>
                    <w:rPr>
                      <w:rFonts w:hint="eastAsia" w:ascii="宋体" w:hAnsi="宋体" w:eastAsia="宋体" w:cs="宋体"/>
                      <w:i w:val="0"/>
                      <w:iCs w:val="0"/>
                      <w:color w:val="auto"/>
                      <w:kern w:val="0"/>
                      <w:sz w:val="21"/>
                      <w:szCs w:val="21"/>
                      <w:u w:val="none"/>
                      <w:lang w:val="en-US" w:eastAsia="zh-CN" w:bidi="ar"/>
                    </w:rPr>
                  </w:pPr>
                  <w:r>
                    <w:rPr>
                      <w:rFonts w:hint="eastAsia"/>
                      <w:color w:val="auto"/>
                      <w:lang w:val="en-US" w:eastAsia="zh-CN"/>
                    </w:rPr>
                    <w:t>注：</w:t>
                  </w: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、以上各土方均折算为自然方进行平衡，可按</w:t>
                  </w:r>
                  <w:r>
                    <w:rPr>
                      <w:rFonts w:hint="default" w:ascii="Times New Roman" w:hAnsi="Times New Roman" w:eastAsia="宋体" w:cs="Times New Roman"/>
                      <w:i w:val="0"/>
                      <w:iCs w:val="0"/>
                      <w:color w:val="auto"/>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开挖</w:t>
                  </w:r>
                  <w:r>
                    <w:rPr>
                      <w:rFonts w:hint="default" w:ascii="Times New Roman" w:hAnsi="Times New Roman" w:eastAsia="宋体" w:cs="Times New Roman"/>
                      <w:i w:val="0"/>
                      <w:iCs w:val="0"/>
                      <w:color w:val="auto"/>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调入</w:t>
                  </w:r>
                  <w:r>
                    <w:rPr>
                      <w:rFonts w:hint="default" w:ascii="Times New Roman" w:hAnsi="Times New Roman" w:eastAsia="宋体" w:cs="Times New Roman"/>
                      <w:i w:val="0"/>
                      <w:iCs w:val="0"/>
                      <w:color w:val="auto"/>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外借</w:t>
                  </w:r>
                  <w:r>
                    <w:rPr>
                      <w:rFonts w:hint="default" w:ascii="Times New Roman" w:hAnsi="Times New Roman" w:eastAsia="宋体" w:cs="Times New Roman"/>
                      <w:i w:val="0"/>
                      <w:iCs w:val="0"/>
                      <w:color w:val="auto"/>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回填</w:t>
                  </w:r>
                  <w:r>
                    <w:rPr>
                      <w:rFonts w:hint="default" w:ascii="Times New Roman" w:hAnsi="Times New Roman" w:eastAsia="宋体" w:cs="Times New Roman"/>
                      <w:i w:val="0"/>
                      <w:iCs w:val="0"/>
                      <w:color w:val="auto"/>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调出</w:t>
                  </w:r>
                  <w:r>
                    <w:rPr>
                      <w:rFonts w:hint="default" w:ascii="Times New Roman" w:hAnsi="Times New Roman" w:eastAsia="宋体" w:cs="Times New Roman"/>
                      <w:i w:val="0"/>
                      <w:iCs w:val="0"/>
                      <w:color w:val="auto"/>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进行校核；调入和调出中</w:t>
                  </w:r>
                  <w:r>
                    <w:rPr>
                      <w:rFonts w:hint="default" w:ascii="Times New Roman" w:hAnsi="Times New Roman" w:eastAsia="宋体" w:cs="Times New Roman"/>
                      <w:i w:val="0"/>
                      <w:iCs w:val="0"/>
                      <w:color w:val="auto"/>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来源</w:t>
                  </w:r>
                  <w:r>
                    <w:rPr>
                      <w:rFonts w:hint="default" w:ascii="Times New Roman" w:hAnsi="Times New Roman" w:eastAsia="宋体" w:cs="Times New Roman"/>
                      <w:i w:val="0"/>
                      <w:iCs w:val="0"/>
                      <w:color w:val="auto"/>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去向</w:t>
                  </w:r>
                  <w:r>
                    <w:rPr>
                      <w:rFonts w:hint="default" w:ascii="Times New Roman" w:hAnsi="Times New Roman" w:eastAsia="宋体" w:cs="Times New Roman"/>
                      <w:i w:val="0"/>
                      <w:iCs w:val="0"/>
                      <w:color w:val="auto"/>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栏内的数字与</w:t>
                  </w:r>
                  <w:r>
                    <w:rPr>
                      <w:rFonts w:hint="default" w:ascii="Times New Roman" w:hAnsi="Times New Roman" w:eastAsia="宋体" w:cs="Times New Roman"/>
                      <w:i w:val="0"/>
                      <w:iCs w:val="0"/>
                      <w:color w:val="auto"/>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序号</w:t>
                  </w:r>
                  <w:r>
                    <w:rPr>
                      <w:rFonts w:hint="default" w:ascii="Times New Roman" w:hAnsi="Times New Roman" w:eastAsia="宋体" w:cs="Times New Roman"/>
                      <w:i w:val="0"/>
                      <w:iCs w:val="0"/>
                      <w:color w:val="auto"/>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栏中相对应；</w:t>
                  </w:r>
                </w:p>
                <w:p>
                  <w:pPr>
                    <w:pStyle w:val="19"/>
                    <w:bidi w:val="0"/>
                    <w:jc w:val="left"/>
                    <w:rPr>
                      <w:rFonts w:hint="default" w:ascii="宋体" w:hAnsi="宋体" w:eastAsia="宋体" w:cs="宋体"/>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w:t>
                  </w:r>
                  <w:r>
                    <w:rPr>
                      <w:rFonts w:hint="eastAsia" w:ascii="宋体" w:hAnsi="宋体" w:eastAsia="宋体" w:cs="宋体"/>
                      <w:i w:val="0"/>
                      <w:iCs w:val="0"/>
                      <w:color w:val="auto"/>
                      <w:kern w:val="0"/>
                      <w:sz w:val="21"/>
                      <w:szCs w:val="21"/>
                      <w:u w:val="none"/>
                      <w:lang w:val="en-US" w:eastAsia="zh-CN" w:bidi="ar"/>
                    </w:rPr>
                    <w:t>、临时堆土区设置于停车场及绿化区内，施工生产生活区设置于停车场内，故不单独参与土石方计算。</w:t>
                  </w:r>
                </w:p>
              </w:tc>
            </w:tr>
          </w:tbl>
          <w:p>
            <w:pPr>
              <w:bidi w:val="0"/>
              <w:ind w:left="0" w:leftChars="0" w:firstLine="0" w:firstLineChars="0"/>
              <w:jc w:val="center"/>
              <w:rPr>
                <w:color w:val="FF0000"/>
              </w:rPr>
            </w:pPr>
            <w:r>
              <w:rPr>
                <w:color w:val="FF0000"/>
              </w:rPr>
              <w:drawing>
                <wp:inline distT="0" distB="0" distL="114300" distR="114300">
                  <wp:extent cx="4498975" cy="4057015"/>
                  <wp:effectExtent l="0" t="0" r="15875" b="635"/>
                  <wp:docPr id="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pic:cNvPicPr>
                            <a:picLocks noChangeAspect="1"/>
                          </pic:cNvPicPr>
                        </pic:nvPicPr>
                        <pic:blipFill>
                          <a:blip r:embed="rId25"/>
                          <a:stretch>
                            <a:fillRect/>
                          </a:stretch>
                        </pic:blipFill>
                        <pic:spPr>
                          <a:xfrm>
                            <a:off x="0" y="0"/>
                            <a:ext cx="4498975" cy="4057015"/>
                          </a:xfrm>
                          <a:prstGeom prst="rect">
                            <a:avLst/>
                          </a:prstGeom>
                          <a:noFill/>
                          <a:ln>
                            <a:noFill/>
                          </a:ln>
                        </pic:spPr>
                      </pic:pic>
                    </a:graphicData>
                  </a:graphic>
                </wp:inline>
              </w:drawing>
            </w:r>
          </w:p>
          <w:p>
            <w:pPr>
              <w:pStyle w:val="18"/>
              <w:bidi w:val="0"/>
              <w:rPr>
                <w:rFonts w:hint="eastAsia"/>
                <w:color w:val="auto"/>
                <w:lang w:val="en-US" w:eastAsia="zh-CN"/>
              </w:rPr>
            </w:pPr>
            <w:r>
              <w:rPr>
                <w:rFonts w:hint="eastAsia"/>
                <w:color w:val="auto"/>
                <w:lang w:val="en-US" w:eastAsia="zh-CN"/>
              </w:rPr>
              <w:t>图3 土石方调配图</w:t>
            </w:r>
          </w:p>
          <w:p>
            <w:pPr>
              <w:bidi w:val="0"/>
              <w:ind w:left="0" w:leftChars="0" w:firstLine="0" w:firstLineChars="0"/>
              <w:jc w:val="both"/>
              <w:rPr>
                <w:rFonts w:hint="default"/>
                <w:b/>
                <w:bCs/>
                <w:color w:val="auto"/>
                <w:lang w:val="en-US" w:eastAsia="zh-CN"/>
              </w:rPr>
            </w:pPr>
            <w:r>
              <w:rPr>
                <w:rFonts w:hint="eastAsia"/>
                <w:b/>
                <w:bCs/>
                <w:color w:val="auto"/>
                <w:lang w:val="en-US" w:eastAsia="zh-CN"/>
              </w:rPr>
              <w:t>2、施工进度</w:t>
            </w:r>
          </w:p>
          <w:p>
            <w:pPr>
              <w:ind w:firstLine="480"/>
              <w:rPr>
                <w:rFonts w:hint="eastAsia"/>
                <w:color w:val="auto"/>
                <w:lang w:val="en-US" w:eastAsia="zh-CN"/>
              </w:rPr>
            </w:pPr>
            <w:r>
              <w:rPr>
                <w:rFonts w:hint="eastAsia"/>
                <w:color w:val="auto"/>
                <w:highlight w:val="none"/>
                <w:lang w:eastAsia="zh-CN"/>
              </w:rPr>
              <w:t>本项目</w:t>
            </w:r>
            <w:r>
              <w:rPr>
                <w:rFonts w:hint="eastAsia"/>
                <w:color w:val="auto"/>
                <w:highlight w:val="none"/>
                <w:lang w:val="en-US" w:eastAsia="zh-CN"/>
              </w:rPr>
              <w:t>预计施工</w:t>
            </w:r>
            <w:r>
              <w:rPr>
                <w:color w:val="auto"/>
                <w:highlight w:val="none"/>
              </w:rPr>
              <w:t>工期</w:t>
            </w:r>
            <w:r>
              <w:rPr>
                <w:rFonts w:hint="eastAsia"/>
                <w:color w:val="auto"/>
                <w:highlight w:val="none"/>
                <w:lang w:val="en-US" w:eastAsia="zh-CN"/>
              </w:rPr>
              <w:t>1.2</w:t>
            </w:r>
            <w:r>
              <w:rPr>
                <w:color w:val="auto"/>
                <w:highlight w:val="none"/>
              </w:rPr>
              <w:t>年</w:t>
            </w:r>
            <w:r>
              <w:rPr>
                <w:rFonts w:hint="eastAsia"/>
                <w:color w:val="auto"/>
                <w:highlight w:val="none"/>
                <w:lang w:eastAsia="zh-CN"/>
              </w:rPr>
              <w:t>，</w:t>
            </w:r>
            <w:r>
              <w:rPr>
                <w:rFonts w:hint="eastAsia"/>
                <w:color w:val="auto"/>
                <w:highlight w:val="none"/>
              </w:rPr>
              <w:t>由于本项目区每年4~9月为雨季，</w:t>
            </w:r>
            <w:r>
              <w:rPr>
                <w:rFonts w:hint="eastAsia"/>
                <w:color w:val="auto"/>
                <w:highlight w:val="none"/>
                <w:lang w:eastAsia="zh-CN"/>
              </w:rPr>
              <w:t>本项目</w:t>
            </w:r>
            <w:r>
              <w:rPr>
                <w:rFonts w:hint="eastAsia"/>
                <w:color w:val="auto"/>
                <w:highlight w:val="none"/>
              </w:rPr>
              <w:t>工期较为紧张，基坑开挖安排在8~9月，属于雨季末期，施工时</w:t>
            </w:r>
            <w:r>
              <w:rPr>
                <w:rFonts w:hint="eastAsia"/>
                <w:color w:val="auto"/>
                <w:highlight w:val="none"/>
                <w:lang w:eastAsia="zh-CN"/>
              </w:rPr>
              <w:t>采取了</w:t>
            </w:r>
            <w:r>
              <w:rPr>
                <w:rFonts w:hint="eastAsia"/>
                <w:color w:val="auto"/>
                <w:highlight w:val="none"/>
              </w:rPr>
              <w:t>防护。</w:t>
            </w:r>
          </w:p>
          <w:p>
            <w:pPr>
              <w:bidi w:val="0"/>
              <w:ind w:left="0" w:leftChars="0" w:firstLine="0" w:firstLineChars="0"/>
              <w:jc w:val="both"/>
              <w:rPr>
                <w:rFonts w:hint="default"/>
                <w:b/>
                <w:bCs/>
                <w:color w:val="auto"/>
                <w:lang w:val="en-US" w:eastAsia="zh-CN"/>
              </w:rPr>
            </w:pPr>
            <w:r>
              <w:rPr>
                <w:rFonts w:hint="eastAsia"/>
                <w:b/>
                <w:bCs/>
                <w:color w:val="auto"/>
                <w:lang w:val="en-US" w:eastAsia="zh-CN"/>
              </w:rPr>
              <w:t>3、施工人数</w:t>
            </w:r>
          </w:p>
          <w:p>
            <w:pPr>
              <w:bidi w:val="0"/>
              <w:jc w:val="both"/>
              <w:rPr>
                <w:color w:val="auto"/>
              </w:rPr>
            </w:pPr>
            <w:r>
              <w:rPr>
                <w:rFonts w:hint="eastAsia"/>
                <w:color w:val="auto"/>
                <w:lang w:val="en-US" w:eastAsia="zh-CN"/>
              </w:rPr>
              <w:t>本建设项目平均每日施工人数约200人。</w:t>
            </w:r>
          </w:p>
          <w:p>
            <w:pPr>
              <w:bidi w:val="0"/>
              <w:ind w:left="0" w:leftChars="0" w:firstLine="0" w:firstLineChars="0"/>
              <w:jc w:val="both"/>
              <w:rPr>
                <w:rFonts w:hint="default"/>
                <w:b/>
                <w:bCs/>
                <w:color w:val="auto"/>
                <w:lang w:val="en-US" w:eastAsia="zh-CN"/>
              </w:rPr>
            </w:pPr>
            <w:r>
              <w:rPr>
                <w:rFonts w:hint="eastAsia"/>
                <w:b/>
                <w:bCs/>
                <w:color w:val="auto"/>
                <w:lang w:val="en-US" w:eastAsia="zh-CN"/>
              </w:rPr>
              <w:t>4、拆迁安置</w:t>
            </w:r>
          </w:p>
          <w:p>
            <w:pPr>
              <w:ind w:firstLine="480"/>
              <w:rPr>
                <w:rFonts w:hint="default"/>
                <w:lang w:val="en-US" w:eastAsia="zh-CN"/>
              </w:rPr>
            </w:pPr>
            <w:r>
              <w:rPr>
                <w:color w:val="auto"/>
                <w:highlight w:val="none"/>
              </w:rPr>
              <w:t>地块通过政府出让形式获得，本项目占地范围内原地表建筑物及其他附属物由</w:t>
            </w:r>
            <w:r>
              <w:rPr>
                <w:rFonts w:hint="eastAsia"/>
                <w:color w:val="auto"/>
                <w:highlight w:val="none"/>
              </w:rPr>
              <w:t>政府</w:t>
            </w:r>
            <w:r>
              <w:rPr>
                <w:color w:val="auto"/>
                <w:highlight w:val="none"/>
              </w:rPr>
              <w:t>依法依规进行补偿，本项目拆迁补偿方式全部采用货币补偿方式。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lang w:val="en-US" w:eastAsia="zh-CN"/>
              </w:rPr>
            </w:pPr>
            <w:r>
              <w:rPr>
                <w:rFonts w:hint="eastAsia"/>
                <w:lang w:val="en-US" w:eastAsia="zh-CN"/>
              </w:rPr>
              <w:t>其他</w:t>
            </w:r>
          </w:p>
        </w:tc>
        <w:tc>
          <w:tcPr>
            <w:tcW w:w="8859" w:type="dxa"/>
          </w:tcPr>
          <w:p>
            <w:pPr>
              <w:bidi w:val="0"/>
              <w:rPr>
                <w:rFonts w:hint="default"/>
                <w:lang w:val="en-US" w:eastAsia="zh-CN"/>
              </w:rPr>
            </w:pPr>
            <w:r>
              <w:rPr>
                <w:rFonts w:hint="eastAsia"/>
                <w:lang w:val="en-US" w:eastAsia="zh-CN"/>
              </w:rPr>
              <w:t>无</w:t>
            </w:r>
          </w:p>
        </w:tc>
      </w:tr>
    </w:tbl>
    <w:p>
      <w:pPr>
        <w:ind w:left="0" w:leftChars="0" w:firstLine="0" w:firstLineChars="0"/>
        <w:rPr>
          <w:rFonts w:hint="eastAsia"/>
          <w:lang w:val="en-US" w:eastAsia="zh-CN"/>
        </w:rPr>
        <w:sectPr>
          <w:pgSz w:w="11906" w:h="16838"/>
          <w:pgMar w:top="1417" w:right="1417" w:bottom="1417" w:left="1417" w:header="851" w:footer="567" w:gutter="0"/>
          <w:pgNumType w:fmt="decimal"/>
          <w:cols w:space="425" w:num="1"/>
          <w:docGrid w:type="lines" w:linePitch="312" w:charSpace="0"/>
        </w:sectPr>
      </w:pPr>
    </w:p>
    <w:p>
      <w:pPr>
        <w:pStyle w:val="4"/>
        <w:bidi w:val="0"/>
        <w:rPr>
          <w:rFonts w:hint="eastAsia"/>
          <w:lang w:val="en-US" w:eastAsia="zh-CN"/>
        </w:rPr>
      </w:pPr>
      <w:bookmarkStart w:id="5" w:name="_Toc31597"/>
      <w:r>
        <w:rPr>
          <w:rFonts w:hint="eastAsia"/>
          <w:lang w:val="en-US" w:eastAsia="zh-CN"/>
        </w:rPr>
        <w:t>三、生态环境现状、保护目标及评价标准</w:t>
      </w:r>
      <w:bookmarkEnd w:id="5"/>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2"/>
        <w:gridCol w:w="85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9" w:hRule="atLeast"/>
        </w:trPr>
        <w:tc>
          <w:tcPr>
            <w:tcW w:w="70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lang w:val="en-US" w:eastAsia="zh-CN"/>
              </w:rPr>
            </w:pPr>
            <w:r>
              <w:rPr>
                <w:rFonts w:hint="eastAsia"/>
                <w:lang w:val="en-US" w:eastAsia="zh-CN"/>
              </w:rPr>
              <w:t>生态环境现状</w:t>
            </w:r>
          </w:p>
        </w:tc>
        <w:tc>
          <w:tcPr>
            <w:tcW w:w="8586" w:type="dxa"/>
          </w:tcPr>
          <w:p>
            <w:pPr>
              <w:bidi w:val="0"/>
              <w:ind w:left="0" w:leftChars="0" w:firstLine="0" w:firstLineChars="0"/>
              <w:jc w:val="both"/>
              <w:rPr>
                <w:rFonts w:hint="eastAsia"/>
                <w:b/>
                <w:bCs/>
                <w:lang w:val="en-US" w:eastAsia="zh-CN"/>
              </w:rPr>
            </w:pPr>
            <w:r>
              <w:rPr>
                <w:rFonts w:hint="eastAsia"/>
                <w:b/>
                <w:bCs/>
                <w:lang w:val="en-US" w:eastAsia="zh-CN"/>
              </w:rPr>
              <w:t>1、大气环境</w:t>
            </w:r>
          </w:p>
          <w:p>
            <w:pPr>
              <w:bidi w:val="0"/>
              <w:jc w:val="both"/>
              <w:rPr>
                <w:rFonts w:hint="eastAsia"/>
                <w:lang w:val="en-US" w:eastAsia="zh-CN"/>
              </w:rPr>
            </w:pPr>
            <w:r>
              <w:rPr>
                <w:rFonts w:hint="eastAsia"/>
                <w:lang w:val="en-US" w:eastAsia="zh-CN"/>
              </w:rPr>
              <w:t>（1）大气环境功能区</w:t>
            </w:r>
          </w:p>
          <w:p>
            <w:pPr>
              <w:bidi w:val="0"/>
              <w:jc w:val="both"/>
              <w:rPr>
                <w:rFonts w:hint="eastAsia"/>
                <w:lang w:val="en-US" w:eastAsia="zh-CN"/>
              </w:rPr>
            </w:pPr>
            <w:r>
              <w:rPr>
                <w:rFonts w:hint="eastAsia"/>
                <w:lang w:val="en-US" w:eastAsia="zh-CN"/>
              </w:rPr>
              <w:t>根据当地环境空气功能区划，项目所在地环境空气为二类功能区，空气质量标准执行《环境空气质量标准》（GB3095-2012）二级标准及2018年修改单中的二级标准。</w:t>
            </w:r>
          </w:p>
          <w:p>
            <w:pPr>
              <w:bidi w:val="0"/>
              <w:jc w:val="both"/>
              <w:rPr>
                <w:rFonts w:hint="eastAsia"/>
                <w:lang w:val="en-US" w:eastAsia="zh-CN"/>
              </w:rPr>
            </w:pPr>
            <w:r>
              <w:rPr>
                <w:rFonts w:hint="eastAsia"/>
                <w:lang w:val="en-US" w:eastAsia="zh-CN"/>
              </w:rPr>
              <w:t>（2）项目所在区域达标情况判断</w:t>
            </w:r>
          </w:p>
          <w:p>
            <w:pPr>
              <w:bidi w:val="0"/>
              <w:jc w:val="both"/>
            </w:pPr>
            <w:r>
              <w:rPr>
                <w:rFonts w:hint="default"/>
                <w:lang w:val="en-US" w:eastAsia="zh-CN"/>
              </w:rPr>
              <w:t>根据《环境影响评价技术导则</w:t>
            </w:r>
            <w:r>
              <w:rPr>
                <w:rFonts w:hint="eastAsia"/>
                <w:lang w:val="en-US" w:eastAsia="zh-CN"/>
              </w:rPr>
              <w:t xml:space="preserve"> </w:t>
            </w:r>
            <w:r>
              <w:rPr>
                <w:rFonts w:hint="default"/>
                <w:lang w:val="en-US" w:eastAsia="zh-CN"/>
              </w:rPr>
              <w:t>大气环境》（HJ2.2-2018）中“6.2.1.1项目所在区域达标判定，优先采用国家或生态环境主管部门发布的平均基准年环境质量公告或环境质量报告中的数据或结论”</w:t>
            </w:r>
            <w:r>
              <w:rPr>
                <w:rFonts w:hint="eastAsia"/>
                <w:lang w:val="en-US" w:eastAsia="zh-CN"/>
              </w:rPr>
              <w:t>。根据衡阳市生态环境局《关于2022年12月及1-12月全市环境质量状况的通报》中相关数据进行判定，其判定结果如下。</w:t>
            </w:r>
          </w:p>
          <w:p>
            <w:pPr>
              <w:pStyle w:val="18"/>
              <w:bidi w:val="0"/>
              <w:rPr>
                <w:rFonts w:hint="eastAsia"/>
                <w:lang w:val="en-US" w:eastAsia="zh-CN"/>
              </w:rPr>
            </w:pPr>
            <w:r>
              <w:rPr>
                <w:rFonts w:hint="eastAsia"/>
                <w:lang w:val="en-US" w:eastAsia="zh-CN"/>
              </w:rPr>
              <w:drawing>
                <wp:inline distT="0" distB="0" distL="114300" distR="114300">
                  <wp:extent cx="5307965" cy="2836545"/>
                  <wp:effectExtent l="0" t="0" r="6985" b="1905"/>
                  <wp:docPr id="8" name="图片 8" descr="87388c2265a1023681a487f304d35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87388c2265a1023681a487f304d35a6"/>
                          <pic:cNvPicPr>
                            <a:picLocks noChangeAspect="1"/>
                          </pic:cNvPicPr>
                        </pic:nvPicPr>
                        <pic:blipFill>
                          <a:blip r:embed="rId26"/>
                          <a:stretch>
                            <a:fillRect/>
                          </a:stretch>
                        </pic:blipFill>
                        <pic:spPr>
                          <a:xfrm>
                            <a:off x="0" y="0"/>
                            <a:ext cx="5307965" cy="2836545"/>
                          </a:xfrm>
                          <a:prstGeom prst="rect">
                            <a:avLst/>
                          </a:prstGeom>
                        </pic:spPr>
                      </pic:pic>
                    </a:graphicData>
                  </a:graphic>
                </wp:inline>
              </w:drawing>
            </w:r>
          </w:p>
          <w:p>
            <w:pPr>
              <w:pStyle w:val="18"/>
              <w:bidi w:val="0"/>
              <w:rPr>
                <w:rFonts w:hint="default"/>
                <w:lang w:val="en-US" w:eastAsia="zh-CN"/>
              </w:rPr>
            </w:pPr>
            <w:r>
              <w:rPr>
                <w:rFonts w:hint="eastAsia"/>
                <w:lang w:val="en-US" w:eastAsia="zh-CN"/>
              </w:rPr>
              <w:t>图4 2022年12月及1-12月衡阳市城区环境空气污染浓度情况</w:t>
            </w:r>
          </w:p>
          <w:p>
            <w:pPr>
              <w:pStyle w:val="18"/>
              <w:bidi w:val="0"/>
              <w:jc w:val="both"/>
              <w:rPr>
                <w:rFonts w:hint="eastAsia"/>
                <w:lang w:val="en-US" w:eastAsia="zh-CN"/>
              </w:rPr>
            </w:pPr>
          </w:p>
          <w:p>
            <w:pPr>
              <w:pStyle w:val="18"/>
              <w:bidi w:val="0"/>
              <w:rPr>
                <w:rFonts w:hint="default"/>
                <w:lang w:val="en-US" w:eastAsia="zh-CN"/>
              </w:rPr>
            </w:pPr>
            <w:r>
              <w:rPr>
                <w:rFonts w:hint="eastAsia"/>
                <w:lang w:val="en-US" w:eastAsia="zh-CN"/>
              </w:rPr>
              <w:t>表10 区域环境空气质量现状评价表</w:t>
            </w:r>
          </w:p>
          <w:tbl>
            <w:tblPr>
              <w:tblStyle w:val="16"/>
              <w:tblW w:w="833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9"/>
              <w:gridCol w:w="2220"/>
              <w:gridCol w:w="977"/>
              <w:gridCol w:w="1093"/>
              <w:gridCol w:w="1395"/>
              <w:gridCol w:w="1005"/>
              <w:gridCol w:w="7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1" w:hRule="atLeast"/>
              </w:trPr>
              <w:tc>
                <w:tcPr>
                  <w:tcW w:w="515" w:type="pct"/>
                  <w:vAlign w:val="center"/>
                </w:tcPr>
                <w:p>
                  <w:pPr>
                    <w:pStyle w:val="19"/>
                    <w:bidi w:val="0"/>
                    <w:jc w:val="center"/>
                    <w:rPr>
                      <w:rFonts w:hint="eastAsia"/>
                      <w:lang w:val="en-US" w:eastAsia="zh-CN"/>
                    </w:rPr>
                  </w:pPr>
                  <w:r>
                    <w:rPr>
                      <w:rFonts w:hint="eastAsia"/>
                      <w:lang w:val="en-US" w:eastAsia="zh-CN"/>
                    </w:rPr>
                    <w:t>污染物</w:t>
                  </w:r>
                </w:p>
              </w:tc>
              <w:tc>
                <w:tcPr>
                  <w:tcW w:w="1331" w:type="pct"/>
                  <w:vAlign w:val="center"/>
                </w:tcPr>
                <w:p>
                  <w:pPr>
                    <w:pStyle w:val="19"/>
                    <w:bidi w:val="0"/>
                    <w:jc w:val="center"/>
                    <w:rPr>
                      <w:rFonts w:hint="eastAsia"/>
                      <w:lang w:val="en-US" w:eastAsia="zh-CN"/>
                    </w:rPr>
                  </w:pPr>
                  <w:r>
                    <w:rPr>
                      <w:rFonts w:hint="eastAsia"/>
                      <w:lang w:val="en-US" w:eastAsia="zh-CN"/>
                    </w:rPr>
                    <w:t>年评价指标</w:t>
                  </w:r>
                </w:p>
              </w:tc>
              <w:tc>
                <w:tcPr>
                  <w:tcW w:w="585" w:type="pct"/>
                  <w:vAlign w:val="center"/>
                </w:tcPr>
                <w:p>
                  <w:pPr>
                    <w:pStyle w:val="19"/>
                    <w:bidi w:val="0"/>
                    <w:jc w:val="center"/>
                    <w:rPr>
                      <w:rFonts w:hint="default"/>
                      <w:lang w:val="en-US" w:eastAsia="zh-CN"/>
                    </w:rPr>
                  </w:pPr>
                  <w:r>
                    <w:rPr>
                      <w:rFonts w:hint="eastAsia"/>
                      <w:lang w:val="en-US" w:eastAsia="zh-CN"/>
                    </w:rPr>
                    <w:t>单位</w:t>
                  </w:r>
                </w:p>
              </w:tc>
              <w:tc>
                <w:tcPr>
                  <w:tcW w:w="655" w:type="pct"/>
                  <w:vAlign w:val="center"/>
                </w:tcPr>
                <w:p>
                  <w:pPr>
                    <w:pStyle w:val="19"/>
                    <w:bidi w:val="0"/>
                    <w:jc w:val="center"/>
                    <w:rPr>
                      <w:rFonts w:hint="eastAsia"/>
                      <w:lang w:val="en-US" w:eastAsia="zh-CN"/>
                    </w:rPr>
                  </w:pPr>
                  <w:r>
                    <w:rPr>
                      <w:rFonts w:hint="eastAsia"/>
                      <w:lang w:val="en-US" w:eastAsia="zh-CN"/>
                    </w:rPr>
                    <w:t>现状浓度</w:t>
                  </w:r>
                </w:p>
              </w:tc>
              <w:tc>
                <w:tcPr>
                  <w:tcW w:w="836" w:type="pct"/>
                  <w:vAlign w:val="center"/>
                </w:tcPr>
                <w:p>
                  <w:pPr>
                    <w:pStyle w:val="19"/>
                    <w:bidi w:val="0"/>
                    <w:jc w:val="center"/>
                    <w:rPr>
                      <w:rFonts w:hint="eastAsia"/>
                      <w:lang w:val="en-US" w:eastAsia="zh-CN"/>
                    </w:rPr>
                  </w:pPr>
                  <w:r>
                    <w:rPr>
                      <w:rFonts w:hint="eastAsia"/>
                      <w:lang w:val="en-US" w:eastAsia="zh-CN"/>
                    </w:rPr>
                    <w:t>标准值</w:t>
                  </w:r>
                </w:p>
              </w:tc>
              <w:tc>
                <w:tcPr>
                  <w:tcW w:w="602" w:type="pct"/>
                  <w:vAlign w:val="center"/>
                </w:tcPr>
                <w:p>
                  <w:pPr>
                    <w:pStyle w:val="19"/>
                    <w:bidi w:val="0"/>
                    <w:jc w:val="center"/>
                    <w:rPr>
                      <w:rFonts w:hint="eastAsia"/>
                      <w:lang w:val="en-US" w:eastAsia="zh-CN"/>
                    </w:rPr>
                  </w:pPr>
                  <w:r>
                    <w:rPr>
                      <w:rFonts w:hint="eastAsia"/>
                      <w:lang w:val="en-US" w:eastAsia="zh-CN"/>
                    </w:rPr>
                    <w:t>占标率（%）</w:t>
                  </w:r>
                </w:p>
              </w:tc>
              <w:tc>
                <w:tcPr>
                  <w:tcW w:w="472" w:type="pct"/>
                  <w:vAlign w:val="center"/>
                </w:tcPr>
                <w:p>
                  <w:pPr>
                    <w:pStyle w:val="19"/>
                    <w:bidi w:val="0"/>
                    <w:jc w:val="center"/>
                    <w:rPr>
                      <w:rFonts w:hint="eastAsia"/>
                      <w:lang w:val="en-US" w:eastAsia="zh-CN"/>
                    </w:rPr>
                  </w:pPr>
                  <w:r>
                    <w:rPr>
                      <w:rFonts w:hint="eastAsia"/>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515" w:type="pct"/>
                  <w:vAlign w:val="center"/>
                </w:tcPr>
                <w:p>
                  <w:pPr>
                    <w:pStyle w:val="19"/>
                    <w:bidi w:val="0"/>
                    <w:jc w:val="center"/>
                    <w:rPr>
                      <w:rFonts w:hint="default"/>
                      <w:lang w:val="en-US" w:eastAsia="zh-CN"/>
                    </w:rPr>
                  </w:pPr>
                  <w:r>
                    <w:rPr>
                      <w:rFonts w:hint="eastAsia"/>
                      <w:lang w:val="en-US" w:eastAsia="zh-CN"/>
                    </w:rPr>
                    <w:t>SO</w:t>
                  </w:r>
                  <w:r>
                    <w:rPr>
                      <w:rFonts w:hint="eastAsia"/>
                      <w:vertAlign w:val="subscript"/>
                      <w:lang w:val="en-US" w:eastAsia="zh-CN"/>
                    </w:rPr>
                    <w:t>2</w:t>
                  </w:r>
                </w:p>
              </w:tc>
              <w:tc>
                <w:tcPr>
                  <w:tcW w:w="1331" w:type="pct"/>
                  <w:vAlign w:val="center"/>
                </w:tcPr>
                <w:p>
                  <w:pPr>
                    <w:pStyle w:val="19"/>
                    <w:bidi w:val="0"/>
                    <w:jc w:val="center"/>
                    <w:rPr>
                      <w:rFonts w:hint="default"/>
                      <w:lang w:val="en-US" w:eastAsia="zh-CN"/>
                    </w:rPr>
                  </w:pPr>
                  <w:r>
                    <w:rPr>
                      <w:rFonts w:hint="eastAsia"/>
                      <w:lang w:val="en-US" w:eastAsia="zh-CN"/>
                    </w:rPr>
                    <w:t>年平均质量浓度</w:t>
                  </w:r>
                </w:p>
              </w:tc>
              <w:tc>
                <w:tcPr>
                  <w:tcW w:w="585" w:type="pct"/>
                  <w:vAlign w:val="center"/>
                </w:tcPr>
                <w:p>
                  <w:pPr>
                    <w:pStyle w:val="19"/>
                    <w:bidi w:val="0"/>
                    <w:jc w:val="center"/>
                    <w:rPr>
                      <w:rFonts w:hint="eastAsia"/>
                      <w:lang w:val="en-US" w:eastAsia="zh-CN"/>
                    </w:rPr>
                  </w:pPr>
                  <w:r>
                    <w:rPr>
                      <w:rFonts w:hint="default" w:ascii="Times New Roman" w:hAnsi="Times New Roman" w:eastAsia="宋体" w:cs="Times New Roman"/>
                      <w:b w:val="0"/>
                      <w:bCs/>
                      <w:color w:val="auto"/>
                      <w:sz w:val="21"/>
                      <w:szCs w:val="21"/>
                      <w:u w:val="none" w:color="auto"/>
                    </w:rPr>
                    <w:t>µ</w:t>
                  </w:r>
                  <w:r>
                    <w:rPr>
                      <w:rFonts w:hint="default" w:ascii="Times New Roman" w:hAnsi="Times New Roman" w:eastAsia="宋体" w:cs="Times New Roman"/>
                      <w:b w:val="0"/>
                      <w:bCs/>
                      <w:color w:val="auto"/>
                      <w:sz w:val="21"/>
                      <w:szCs w:val="21"/>
                      <w:u w:val="none" w:color="auto"/>
                      <w:lang w:val="en-US" w:eastAsia="zh-CN"/>
                    </w:rPr>
                    <w:t>g</w:t>
                  </w:r>
                  <w:r>
                    <w:rPr>
                      <w:rFonts w:hint="default" w:ascii="Times New Roman" w:hAnsi="Times New Roman" w:eastAsia="宋体" w:cs="Times New Roman"/>
                      <w:color w:val="auto"/>
                      <w:sz w:val="21"/>
                      <w:szCs w:val="21"/>
                      <w:u w:val="none" w:color="auto"/>
                      <w:lang w:val="en-US" w:eastAsia="zh-CN"/>
                    </w:rPr>
                    <w:t>/m</w:t>
                  </w:r>
                  <w:r>
                    <w:rPr>
                      <w:rFonts w:hint="default" w:ascii="Times New Roman" w:hAnsi="Times New Roman" w:eastAsia="宋体" w:cs="Times New Roman"/>
                      <w:color w:val="auto"/>
                      <w:sz w:val="21"/>
                      <w:szCs w:val="21"/>
                      <w:u w:val="none" w:color="auto"/>
                      <w:vertAlign w:val="superscript"/>
                      <w:lang w:val="en-US" w:eastAsia="zh-CN"/>
                    </w:rPr>
                    <w:t>3</w:t>
                  </w:r>
                </w:p>
              </w:tc>
              <w:tc>
                <w:tcPr>
                  <w:tcW w:w="655" w:type="pct"/>
                  <w:vAlign w:val="center"/>
                </w:tcPr>
                <w:p>
                  <w:pPr>
                    <w:pStyle w:val="19"/>
                    <w:bidi w:val="0"/>
                    <w:jc w:val="center"/>
                    <w:rPr>
                      <w:rFonts w:hint="default"/>
                      <w:lang w:val="en-US" w:eastAsia="zh-CN"/>
                    </w:rPr>
                  </w:pPr>
                  <w:r>
                    <w:rPr>
                      <w:rFonts w:hint="eastAsia"/>
                      <w:lang w:val="en-US" w:eastAsia="zh-CN"/>
                    </w:rPr>
                    <w:t>10</w:t>
                  </w:r>
                </w:p>
              </w:tc>
              <w:tc>
                <w:tcPr>
                  <w:tcW w:w="836" w:type="pct"/>
                  <w:vAlign w:val="center"/>
                </w:tcPr>
                <w:p>
                  <w:pPr>
                    <w:pStyle w:val="19"/>
                    <w:bidi w:val="0"/>
                    <w:jc w:val="center"/>
                    <w:rPr>
                      <w:rFonts w:hint="default"/>
                      <w:lang w:val="en-US" w:eastAsia="zh-CN"/>
                    </w:rPr>
                  </w:pPr>
                  <w:r>
                    <w:rPr>
                      <w:rFonts w:hint="eastAsia"/>
                      <w:lang w:val="en-US" w:eastAsia="zh-CN"/>
                    </w:rPr>
                    <w:t>60</w:t>
                  </w:r>
                </w:p>
              </w:tc>
              <w:tc>
                <w:tcPr>
                  <w:tcW w:w="602" w:type="pct"/>
                  <w:vAlign w:val="center"/>
                </w:tcPr>
                <w:p>
                  <w:pPr>
                    <w:pStyle w:val="19"/>
                    <w:bidi w:val="0"/>
                    <w:jc w:val="center"/>
                    <w:rPr>
                      <w:rFonts w:hint="default"/>
                      <w:lang w:val="en-US" w:eastAsia="zh-CN"/>
                    </w:rPr>
                  </w:pPr>
                  <w:r>
                    <w:rPr>
                      <w:rFonts w:hint="eastAsia"/>
                      <w:lang w:val="en-US" w:eastAsia="zh-CN"/>
                    </w:rPr>
                    <w:t>16.67</w:t>
                  </w:r>
                </w:p>
              </w:tc>
              <w:tc>
                <w:tcPr>
                  <w:tcW w:w="472" w:type="pct"/>
                  <w:vAlign w:val="center"/>
                </w:tcPr>
                <w:p>
                  <w:pPr>
                    <w:pStyle w:val="19"/>
                    <w:bidi w:val="0"/>
                    <w:jc w:val="center"/>
                    <w:rPr>
                      <w:rFonts w:hint="eastAsia"/>
                      <w:lang w:val="en-US" w:eastAsia="zh-CN"/>
                    </w:rPr>
                  </w:pPr>
                  <w:r>
                    <w:rPr>
                      <w:rFonts w:hint="eastAsia"/>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515" w:type="pct"/>
                  <w:vAlign w:val="center"/>
                </w:tcPr>
                <w:p>
                  <w:pPr>
                    <w:pStyle w:val="19"/>
                    <w:bidi w:val="0"/>
                    <w:jc w:val="center"/>
                    <w:rPr>
                      <w:rFonts w:hint="default"/>
                      <w:lang w:val="en-US" w:eastAsia="zh-CN"/>
                    </w:rPr>
                  </w:pPr>
                  <w:r>
                    <w:rPr>
                      <w:rFonts w:hint="eastAsia"/>
                      <w:lang w:val="en-US" w:eastAsia="zh-CN"/>
                    </w:rPr>
                    <w:t>NO</w:t>
                  </w:r>
                  <w:r>
                    <w:rPr>
                      <w:rFonts w:hint="eastAsia"/>
                      <w:vertAlign w:val="subscript"/>
                      <w:lang w:val="en-US" w:eastAsia="zh-CN"/>
                    </w:rPr>
                    <w:t>2</w:t>
                  </w:r>
                </w:p>
              </w:tc>
              <w:tc>
                <w:tcPr>
                  <w:tcW w:w="1331" w:type="pct"/>
                  <w:vAlign w:val="center"/>
                </w:tcPr>
                <w:p>
                  <w:pPr>
                    <w:pStyle w:val="19"/>
                    <w:bidi w:val="0"/>
                    <w:jc w:val="center"/>
                  </w:pPr>
                  <w:r>
                    <w:rPr>
                      <w:rFonts w:hint="eastAsia"/>
                      <w:lang w:val="en-US" w:eastAsia="zh-CN"/>
                    </w:rPr>
                    <w:t>年平均质量浓度</w:t>
                  </w:r>
                </w:p>
              </w:tc>
              <w:tc>
                <w:tcPr>
                  <w:tcW w:w="585" w:type="pct"/>
                  <w:vAlign w:val="center"/>
                </w:tcPr>
                <w:p>
                  <w:pPr>
                    <w:pStyle w:val="19"/>
                    <w:bidi w:val="0"/>
                    <w:jc w:val="center"/>
                    <w:rPr>
                      <w:rFonts w:hint="eastAsia"/>
                      <w:lang w:val="en-US" w:eastAsia="zh-CN"/>
                    </w:rPr>
                  </w:pPr>
                  <w:r>
                    <w:rPr>
                      <w:rFonts w:hint="default" w:ascii="Times New Roman" w:hAnsi="Times New Roman" w:eastAsia="宋体" w:cs="Times New Roman"/>
                      <w:b w:val="0"/>
                      <w:bCs/>
                      <w:color w:val="auto"/>
                      <w:sz w:val="21"/>
                      <w:szCs w:val="21"/>
                      <w:u w:val="none" w:color="auto"/>
                    </w:rPr>
                    <w:t>µ</w:t>
                  </w:r>
                  <w:r>
                    <w:rPr>
                      <w:rFonts w:hint="default" w:ascii="Times New Roman" w:hAnsi="Times New Roman" w:eastAsia="宋体" w:cs="Times New Roman"/>
                      <w:b w:val="0"/>
                      <w:bCs/>
                      <w:color w:val="auto"/>
                      <w:sz w:val="21"/>
                      <w:szCs w:val="21"/>
                      <w:u w:val="none" w:color="auto"/>
                      <w:lang w:val="en-US" w:eastAsia="zh-CN"/>
                    </w:rPr>
                    <w:t>g</w:t>
                  </w:r>
                  <w:r>
                    <w:rPr>
                      <w:rFonts w:hint="default" w:ascii="Times New Roman" w:hAnsi="Times New Roman" w:eastAsia="宋体" w:cs="Times New Roman"/>
                      <w:color w:val="auto"/>
                      <w:sz w:val="21"/>
                      <w:szCs w:val="21"/>
                      <w:u w:val="none" w:color="auto"/>
                      <w:lang w:val="en-US" w:eastAsia="zh-CN"/>
                    </w:rPr>
                    <w:t>/m</w:t>
                  </w:r>
                  <w:r>
                    <w:rPr>
                      <w:rFonts w:hint="default" w:ascii="Times New Roman" w:hAnsi="Times New Roman" w:eastAsia="宋体" w:cs="Times New Roman"/>
                      <w:color w:val="auto"/>
                      <w:sz w:val="21"/>
                      <w:szCs w:val="21"/>
                      <w:u w:val="none" w:color="auto"/>
                      <w:vertAlign w:val="superscript"/>
                      <w:lang w:val="en-US" w:eastAsia="zh-CN"/>
                    </w:rPr>
                    <w:t>3</w:t>
                  </w:r>
                </w:p>
              </w:tc>
              <w:tc>
                <w:tcPr>
                  <w:tcW w:w="655" w:type="pct"/>
                  <w:vAlign w:val="center"/>
                </w:tcPr>
                <w:p>
                  <w:pPr>
                    <w:pStyle w:val="19"/>
                    <w:bidi w:val="0"/>
                    <w:jc w:val="center"/>
                    <w:rPr>
                      <w:rFonts w:hint="default"/>
                      <w:lang w:val="en-US" w:eastAsia="zh-CN"/>
                    </w:rPr>
                  </w:pPr>
                  <w:r>
                    <w:rPr>
                      <w:rFonts w:hint="eastAsia"/>
                      <w:lang w:val="en-US" w:eastAsia="zh-CN"/>
                    </w:rPr>
                    <w:t>17</w:t>
                  </w:r>
                </w:p>
              </w:tc>
              <w:tc>
                <w:tcPr>
                  <w:tcW w:w="836" w:type="pct"/>
                  <w:vAlign w:val="center"/>
                </w:tcPr>
                <w:p>
                  <w:pPr>
                    <w:pStyle w:val="19"/>
                    <w:bidi w:val="0"/>
                    <w:jc w:val="center"/>
                    <w:rPr>
                      <w:rFonts w:hint="default"/>
                      <w:lang w:val="en-US" w:eastAsia="zh-CN"/>
                    </w:rPr>
                  </w:pPr>
                  <w:r>
                    <w:rPr>
                      <w:rFonts w:hint="eastAsia"/>
                      <w:lang w:val="en-US" w:eastAsia="zh-CN"/>
                    </w:rPr>
                    <w:t>40</w:t>
                  </w:r>
                </w:p>
              </w:tc>
              <w:tc>
                <w:tcPr>
                  <w:tcW w:w="602" w:type="pct"/>
                  <w:vAlign w:val="center"/>
                </w:tcPr>
                <w:p>
                  <w:pPr>
                    <w:pStyle w:val="19"/>
                    <w:bidi w:val="0"/>
                    <w:jc w:val="center"/>
                    <w:rPr>
                      <w:rFonts w:hint="default"/>
                      <w:lang w:val="en-US" w:eastAsia="zh-CN"/>
                    </w:rPr>
                  </w:pPr>
                  <w:r>
                    <w:rPr>
                      <w:rFonts w:hint="eastAsia"/>
                      <w:lang w:val="en-US" w:eastAsia="zh-CN"/>
                    </w:rPr>
                    <w:t>32.5</w:t>
                  </w:r>
                </w:p>
              </w:tc>
              <w:tc>
                <w:tcPr>
                  <w:tcW w:w="472" w:type="pct"/>
                  <w:vAlign w:val="center"/>
                </w:tcPr>
                <w:p>
                  <w:pPr>
                    <w:pStyle w:val="19"/>
                    <w:bidi w:val="0"/>
                    <w:jc w:val="center"/>
                  </w:pPr>
                  <w:r>
                    <w:rPr>
                      <w:rFonts w:hint="eastAsia"/>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515" w:type="pct"/>
                  <w:vAlign w:val="center"/>
                </w:tcPr>
                <w:p>
                  <w:pPr>
                    <w:pStyle w:val="19"/>
                    <w:bidi w:val="0"/>
                    <w:jc w:val="center"/>
                    <w:rPr>
                      <w:rFonts w:hint="default"/>
                      <w:lang w:val="en-US" w:eastAsia="zh-CN"/>
                    </w:rPr>
                  </w:pPr>
                  <w:r>
                    <w:rPr>
                      <w:rFonts w:hint="eastAsia"/>
                      <w:lang w:val="en-US" w:eastAsia="zh-CN"/>
                    </w:rPr>
                    <w:t>CO</w:t>
                  </w:r>
                </w:p>
              </w:tc>
              <w:tc>
                <w:tcPr>
                  <w:tcW w:w="1331" w:type="pct"/>
                  <w:vAlign w:val="center"/>
                </w:tcPr>
                <w:p>
                  <w:pPr>
                    <w:pStyle w:val="19"/>
                    <w:bidi w:val="0"/>
                    <w:jc w:val="center"/>
                    <w:rPr>
                      <w:rFonts w:hint="default"/>
                      <w:lang w:val="en-US" w:eastAsia="zh-CN"/>
                    </w:rPr>
                  </w:pPr>
                  <w:r>
                    <w:rPr>
                      <w:rFonts w:hint="eastAsia"/>
                      <w:lang w:val="en-US" w:eastAsia="zh-CN"/>
                    </w:rPr>
                    <w:t>24h平均质量浓度</w:t>
                  </w:r>
                </w:p>
              </w:tc>
              <w:tc>
                <w:tcPr>
                  <w:tcW w:w="585" w:type="pct"/>
                  <w:vAlign w:val="center"/>
                </w:tcPr>
                <w:p>
                  <w:pPr>
                    <w:pStyle w:val="19"/>
                    <w:bidi w:val="0"/>
                    <w:jc w:val="center"/>
                    <w:rPr>
                      <w:rFonts w:hint="eastAsia"/>
                      <w:lang w:val="en-US" w:eastAsia="zh-CN"/>
                    </w:rPr>
                  </w:pPr>
                  <w:r>
                    <w:rPr>
                      <w:rFonts w:hint="default" w:ascii="Times New Roman" w:hAnsi="Times New Roman" w:eastAsia="宋体" w:cs="Times New Roman"/>
                      <w:color w:val="auto"/>
                      <w:sz w:val="21"/>
                      <w:szCs w:val="21"/>
                      <w:u w:val="none" w:color="auto"/>
                      <w:lang w:val="en-US" w:eastAsia="zh-CN"/>
                    </w:rPr>
                    <w:t>mg/m</w:t>
                  </w:r>
                  <w:r>
                    <w:rPr>
                      <w:rFonts w:hint="default" w:ascii="Times New Roman" w:hAnsi="Times New Roman" w:eastAsia="宋体" w:cs="Times New Roman"/>
                      <w:color w:val="auto"/>
                      <w:sz w:val="21"/>
                      <w:szCs w:val="21"/>
                      <w:u w:val="none" w:color="auto"/>
                      <w:vertAlign w:val="superscript"/>
                      <w:lang w:val="en-US" w:eastAsia="zh-CN"/>
                    </w:rPr>
                    <w:t>3</w:t>
                  </w:r>
                </w:p>
              </w:tc>
              <w:tc>
                <w:tcPr>
                  <w:tcW w:w="655" w:type="pct"/>
                  <w:vAlign w:val="center"/>
                </w:tcPr>
                <w:p>
                  <w:pPr>
                    <w:pStyle w:val="19"/>
                    <w:bidi w:val="0"/>
                    <w:jc w:val="center"/>
                    <w:rPr>
                      <w:rFonts w:hint="default"/>
                      <w:lang w:val="en-US" w:eastAsia="zh-CN"/>
                    </w:rPr>
                  </w:pPr>
                  <w:r>
                    <w:rPr>
                      <w:rFonts w:hint="eastAsia"/>
                      <w:lang w:val="en-US" w:eastAsia="zh-CN"/>
                    </w:rPr>
                    <w:t>1.0</w:t>
                  </w:r>
                </w:p>
              </w:tc>
              <w:tc>
                <w:tcPr>
                  <w:tcW w:w="836" w:type="pct"/>
                  <w:vAlign w:val="center"/>
                </w:tcPr>
                <w:p>
                  <w:pPr>
                    <w:pStyle w:val="19"/>
                    <w:bidi w:val="0"/>
                    <w:jc w:val="center"/>
                    <w:rPr>
                      <w:rFonts w:hint="default"/>
                      <w:lang w:val="en-US" w:eastAsia="zh-CN"/>
                    </w:rPr>
                  </w:pPr>
                  <w:r>
                    <w:rPr>
                      <w:rFonts w:hint="eastAsia"/>
                      <w:lang w:val="en-US" w:eastAsia="zh-CN"/>
                    </w:rPr>
                    <w:t>4</w:t>
                  </w:r>
                </w:p>
              </w:tc>
              <w:tc>
                <w:tcPr>
                  <w:tcW w:w="602" w:type="pct"/>
                  <w:vAlign w:val="center"/>
                </w:tcPr>
                <w:p>
                  <w:pPr>
                    <w:pStyle w:val="19"/>
                    <w:bidi w:val="0"/>
                    <w:jc w:val="center"/>
                    <w:rPr>
                      <w:rFonts w:hint="default"/>
                      <w:lang w:val="en-US" w:eastAsia="zh-CN"/>
                    </w:rPr>
                  </w:pPr>
                  <w:r>
                    <w:rPr>
                      <w:rFonts w:hint="eastAsia"/>
                      <w:lang w:val="en-US" w:eastAsia="zh-CN"/>
                    </w:rPr>
                    <w:t>25</w:t>
                  </w:r>
                </w:p>
              </w:tc>
              <w:tc>
                <w:tcPr>
                  <w:tcW w:w="472" w:type="pct"/>
                  <w:vAlign w:val="center"/>
                </w:tcPr>
                <w:p>
                  <w:pPr>
                    <w:pStyle w:val="19"/>
                    <w:bidi w:val="0"/>
                    <w:jc w:val="center"/>
                  </w:pPr>
                  <w:r>
                    <w:rPr>
                      <w:rFonts w:hint="eastAsia"/>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515" w:type="pct"/>
                  <w:vAlign w:val="center"/>
                </w:tcPr>
                <w:p>
                  <w:pPr>
                    <w:pStyle w:val="19"/>
                    <w:bidi w:val="0"/>
                    <w:jc w:val="center"/>
                    <w:rPr>
                      <w:rFonts w:hint="default"/>
                      <w:lang w:val="en-US" w:eastAsia="zh-CN"/>
                    </w:rPr>
                  </w:pPr>
                  <w:r>
                    <w:rPr>
                      <w:rFonts w:hint="eastAsia"/>
                      <w:lang w:val="en-US" w:eastAsia="zh-CN"/>
                    </w:rPr>
                    <w:t>O</w:t>
                  </w:r>
                  <w:r>
                    <w:rPr>
                      <w:rFonts w:hint="eastAsia"/>
                      <w:vertAlign w:val="subscript"/>
                      <w:lang w:val="en-US" w:eastAsia="zh-CN"/>
                    </w:rPr>
                    <w:t>3</w:t>
                  </w:r>
                </w:p>
              </w:tc>
              <w:tc>
                <w:tcPr>
                  <w:tcW w:w="1331" w:type="pct"/>
                  <w:vAlign w:val="center"/>
                </w:tcPr>
                <w:p>
                  <w:pPr>
                    <w:pStyle w:val="19"/>
                    <w:bidi w:val="0"/>
                    <w:jc w:val="center"/>
                    <w:rPr>
                      <w:rFonts w:hint="default"/>
                      <w:lang w:val="en-US" w:eastAsia="zh-CN"/>
                    </w:rPr>
                  </w:pPr>
                  <w:r>
                    <w:rPr>
                      <w:rFonts w:hint="eastAsia"/>
                      <w:lang w:val="en-US" w:eastAsia="zh-CN"/>
                    </w:rPr>
                    <w:t>最大8h平均质量浓度</w:t>
                  </w:r>
                </w:p>
              </w:tc>
              <w:tc>
                <w:tcPr>
                  <w:tcW w:w="585" w:type="pct"/>
                  <w:vAlign w:val="center"/>
                </w:tcPr>
                <w:p>
                  <w:pPr>
                    <w:pStyle w:val="19"/>
                    <w:bidi w:val="0"/>
                    <w:jc w:val="center"/>
                    <w:rPr>
                      <w:rFonts w:hint="eastAsia"/>
                      <w:lang w:val="en-US" w:eastAsia="zh-CN"/>
                    </w:rPr>
                  </w:pPr>
                  <w:r>
                    <w:rPr>
                      <w:rFonts w:hint="default" w:ascii="Times New Roman" w:hAnsi="Times New Roman" w:eastAsia="宋体" w:cs="Times New Roman"/>
                      <w:b w:val="0"/>
                      <w:bCs/>
                      <w:color w:val="auto"/>
                      <w:sz w:val="21"/>
                      <w:szCs w:val="21"/>
                      <w:u w:val="none" w:color="auto"/>
                    </w:rPr>
                    <w:t>µ</w:t>
                  </w:r>
                  <w:r>
                    <w:rPr>
                      <w:rFonts w:hint="default" w:ascii="Times New Roman" w:hAnsi="Times New Roman" w:eastAsia="宋体" w:cs="Times New Roman"/>
                      <w:b w:val="0"/>
                      <w:bCs/>
                      <w:color w:val="auto"/>
                      <w:sz w:val="21"/>
                      <w:szCs w:val="21"/>
                      <w:u w:val="none" w:color="auto"/>
                      <w:lang w:val="en-US" w:eastAsia="zh-CN"/>
                    </w:rPr>
                    <w:t>g</w:t>
                  </w:r>
                  <w:r>
                    <w:rPr>
                      <w:rFonts w:hint="default" w:ascii="Times New Roman" w:hAnsi="Times New Roman" w:eastAsia="宋体" w:cs="Times New Roman"/>
                      <w:color w:val="auto"/>
                      <w:sz w:val="21"/>
                      <w:szCs w:val="21"/>
                      <w:u w:val="none" w:color="auto"/>
                      <w:lang w:val="en-US" w:eastAsia="zh-CN"/>
                    </w:rPr>
                    <w:t>/m</w:t>
                  </w:r>
                  <w:r>
                    <w:rPr>
                      <w:rFonts w:hint="default" w:ascii="Times New Roman" w:hAnsi="Times New Roman" w:eastAsia="宋体" w:cs="Times New Roman"/>
                      <w:color w:val="auto"/>
                      <w:sz w:val="21"/>
                      <w:szCs w:val="21"/>
                      <w:u w:val="none" w:color="auto"/>
                      <w:vertAlign w:val="superscript"/>
                      <w:lang w:val="en-US" w:eastAsia="zh-CN"/>
                    </w:rPr>
                    <w:t>3</w:t>
                  </w:r>
                </w:p>
              </w:tc>
              <w:tc>
                <w:tcPr>
                  <w:tcW w:w="655" w:type="pct"/>
                  <w:vAlign w:val="center"/>
                </w:tcPr>
                <w:p>
                  <w:pPr>
                    <w:pStyle w:val="19"/>
                    <w:bidi w:val="0"/>
                    <w:jc w:val="center"/>
                    <w:rPr>
                      <w:rFonts w:hint="default"/>
                      <w:lang w:val="en-US" w:eastAsia="zh-CN"/>
                    </w:rPr>
                  </w:pPr>
                  <w:r>
                    <w:rPr>
                      <w:rFonts w:hint="eastAsia"/>
                      <w:lang w:val="en-US" w:eastAsia="zh-CN"/>
                    </w:rPr>
                    <w:t>151</w:t>
                  </w:r>
                </w:p>
              </w:tc>
              <w:tc>
                <w:tcPr>
                  <w:tcW w:w="836" w:type="pct"/>
                  <w:vAlign w:val="center"/>
                </w:tcPr>
                <w:p>
                  <w:pPr>
                    <w:pStyle w:val="19"/>
                    <w:bidi w:val="0"/>
                    <w:jc w:val="center"/>
                    <w:rPr>
                      <w:rFonts w:hint="default"/>
                      <w:lang w:val="en-US" w:eastAsia="zh-CN"/>
                    </w:rPr>
                  </w:pPr>
                  <w:r>
                    <w:rPr>
                      <w:rFonts w:hint="eastAsia"/>
                      <w:lang w:val="en-US" w:eastAsia="zh-CN"/>
                    </w:rPr>
                    <w:t>160</w:t>
                  </w:r>
                </w:p>
              </w:tc>
              <w:tc>
                <w:tcPr>
                  <w:tcW w:w="602" w:type="pct"/>
                  <w:vAlign w:val="center"/>
                </w:tcPr>
                <w:p>
                  <w:pPr>
                    <w:pStyle w:val="19"/>
                    <w:bidi w:val="0"/>
                    <w:jc w:val="center"/>
                    <w:rPr>
                      <w:rFonts w:hint="default"/>
                      <w:lang w:val="en-US" w:eastAsia="zh-CN"/>
                    </w:rPr>
                  </w:pPr>
                  <w:r>
                    <w:rPr>
                      <w:rFonts w:hint="eastAsia"/>
                      <w:lang w:val="en-US" w:eastAsia="zh-CN"/>
                    </w:rPr>
                    <w:t>94.38</w:t>
                  </w:r>
                </w:p>
              </w:tc>
              <w:tc>
                <w:tcPr>
                  <w:tcW w:w="472" w:type="pct"/>
                  <w:vAlign w:val="center"/>
                </w:tcPr>
                <w:p>
                  <w:pPr>
                    <w:pStyle w:val="19"/>
                    <w:bidi w:val="0"/>
                    <w:jc w:val="center"/>
                  </w:pPr>
                  <w:r>
                    <w:rPr>
                      <w:rFonts w:hint="eastAsia"/>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515" w:type="pct"/>
                  <w:vAlign w:val="center"/>
                </w:tcPr>
                <w:p>
                  <w:pPr>
                    <w:pStyle w:val="19"/>
                    <w:bidi w:val="0"/>
                    <w:jc w:val="center"/>
                    <w:rPr>
                      <w:rFonts w:hint="default"/>
                      <w:lang w:val="en-US" w:eastAsia="zh-CN"/>
                    </w:rPr>
                  </w:pPr>
                  <w:r>
                    <w:rPr>
                      <w:rFonts w:hint="eastAsia"/>
                      <w:lang w:val="en-US" w:eastAsia="zh-CN"/>
                    </w:rPr>
                    <w:t>PM</w:t>
                  </w:r>
                  <w:r>
                    <w:rPr>
                      <w:rFonts w:hint="eastAsia"/>
                      <w:vertAlign w:val="subscript"/>
                      <w:lang w:val="en-US" w:eastAsia="zh-CN"/>
                    </w:rPr>
                    <w:t>10</w:t>
                  </w:r>
                </w:p>
              </w:tc>
              <w:tc>
                <w:tcPr>
                  <w:tcW w:w="1331" w:type="pct"/>
                  <w:vAlign w:val="center"/>
                </w:tcPr>
                <w:p>
                  <w:pPr>
                    <w:pStyle w:val="19"/>
                    <w:bidi w:val="0"/>
                    <w:jc w:val="center"/>
                    <w:rPr>
                      <w:rFonts w:hint="default"/>
                      <w:lang w:val="en-US" w:eastAsia="zh-CN"/>
                    </w:rPr>
                  </w:pPr>
                  <w:r>
                    <w:rPr>
                      <w:rFonts w:hint="eastAsia"/>
                      <w:lang w:val="en-US" w:eastAsia="zh-CN"/>
                    </w:rPr>
                    <w:t>年平均质量浓度</w:t>
                  </w:r>
                </w:p>
              </w:tc>
              <w:tc>
                <w:tcPr>
                  <w:tcW w:w="585" w:type="pct"/>
                  <w:vAlign w:val="center"/>
                </w:tcPr>
                <w:p>
                  <w:pPr>
                    <w:pStyle w:val="19"/>
                    <w:bidi w:val="0"/>
                    <w:jc w:val="center"/>
                    <w:rPr>
                      <w:rFonts w:hint="eastAsia"/>
                      <w:lang w:val="en-US" w:eastAsia="zh-CN"/>
                    </w:rPr>
                  </w:pPr>
                  <w:r>
                    <w:rPr>
                      <w:rFonts w:hint="default" w:ascii="Times New Roman" w:hAnsi="Times New Roman" w:eastAsia="宋体" w:cs="Times New Roman"/>
                      <w:b w:val="0"/>
                      <w:bCs/>
                      <w:color w:val="auto"/>
                      <w:sz w:val="21"/>
                      <w:szCs w:val="21"/>
                      <w:u w:val="none" w:color="auto"/>
                    </w:rPr>
                    <w:t>µ</w:t>
                  </w:r>
                  <w:r>
                    <w:rPr>
                      <w:rFonts w:hint="default" w:ascii="Times New Roman" w:hAnsi="Times New Roman" w:eastAsia="宋体" w:cs="Times New Roman"/>
                      <w:b w:val="0"/>
                      <w:bCs/>
                      <w:color w:val="auto"/>
                      <w:sz w:val="21"/>
                      <w:szCs w:val="21"/>
                      <w:u w:val="none" w:color="auto"/>
                      <w:lang w:val="en-US" w:eastAsia="zh-CN"/>
                    </w:rPr>
                    <w:t>g</w:t>
                  </w:r>
                  <w:r>
                    <w:rPr>
                      <w:rFonts w:hint="default" w:ascii="Times New Roman" w:hAnsi="Times New Roman" w:eastAsia="宋体" w:cs="Times New Roman"/>
                      <w:color w:val="auto"/>
                      <w:sz w:val="21"/>
                      <w:szCs w:val="21"/>
                      <w:u w:val="none" w:color="auto"/>
                      <w:lang w:val="en-US" w:eastAsia="zh-CN"/>
                    </w:rPr>
                    <w:t>/m</w:t>
                  </w:r>
                  <w:r>
                    <w:rPr>
                      <w:rFonts w:hint="default" w:ascii="Times New Roman" w:hAnsi="Times New Roman" w:eastAsia="宋体" w:cs="Times New Roman"/>
                      <w:color w:val="auto"/>
                      <w:sz w:val="21"/>
                      <w:szCs w:val="21"/>
                      <w:u w:val="none" w:color="auto"/>
                      <w:vertAlign w:val="superscript"/>
                      <w:lang w:val="en-US" w:eastAsia="zh-CN"/>
                    </w:rPr>
                    <w:t>3</w:t>
                  </w:r>
                </w:p>
              </w:tc>
              <w:tc>
                <w:tcPr>
                  <w:tcW w:w="655" w:type="pct"/>
                  <w:vAlign w:val="center"/>
                </w:tcPr>
                <w:p>
                  <w:pPr>
                    <w:pStyle w:val="19"/>
                    <w:bidi w:val="0"/>
                    <w:jc w:val="center"/>
                    <w:rPr>
                      <w:rFonts w:hint="default"/>
                      <w:lang w:val="en-US" w:eastAsia="zh-CN"/>
                    </w:rPr>
                  </w:pPr>
                  <w:r>
                    <w:rPr>
                      <w:rFonts w:hint="eastAsia"/>
                      <w:lang w:val="en-US" w:eastAsia="zh-CN"/>
                    </w:rPr>
                    <w:t>52</w:t>
                  </w:r>
                </w:p>
              </w:tc>
              <w:tc>
                <w:tcPr>
                  <w:tcW w:w="836" w:type="pct"/>
                  <w:vAlign w:val="center"/>
                </w:tcPr>
                <w:p>
                  <w:pPr>
                    <w:pStyle w:val="19"/>
                    <w:bidi w:val="0"/>
                    <w:jc w:val="center"/>
                    <w:rPr>
                      <w:rFonts w:hint="default"/>
                      <w:lang w:val="en-US" w:eastAsia="zh-CN"/>
                    </w:rPr>
                  </w:pPr>
                  <w:r>
                    <w:rPr>
                      <w:rFonts w:hint="eastAsia"/>
                      <w:lang w:val="en-US" w:eastAsia="zh-CN"/>
                    </w:rPr>
                    <w:t>70</w:t>
                  </w:r>
                </w:p>
              </w:tc>
              <w:tc>
                <w:tcPr>
                  <w:tcW w:w="602" w:type="pct"/>
                  <w:vAlign w:val="center"/>
                </w:tcPr>
                <w:p>
                  <w:pPr>
                    <w:pStyle w:val="19"/>
                    <w:bidi w:val="0"/>
                    <w:jc w:val="center"/>
                    <w:rPr>
                      <w:rFonts w:hint="default"/>
                      <w:lang w:val="en-US" w:eastAsia="zh-CN"/>
                    </w:rPr>
                  </w:pPr>
                  <w:r>
                    <w:rPr>
                      <w:rFonts w:hint="eastAsia"/>
                      <w:lang w:val="en-US" w:eastAsia="zh-CN"/>
                    </w:rPr>
                    <w:t>74.29</w:t>
                  </w:r>
                </w:p>
              </w:tc>
              <w:tc>
                <w:tcPr>
                  <w:tcW w:w="472" w:type="pct"/>
                  <w:vAlign w:val="center"/>
                </w:tcPr>
                <w:p>
                  <w:pPr>
                    <w:pStyle w:val="19"/>
                    <w:bidi w:val="0"/>
                    <w:jc w:val="center"/>
                  </w:pPr>
                  <w:r>
                    <w:rPr>
                      <w:rFonts w:hint="eastAsia"/>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515" w:type="pct"/>
                  <w:vAlign w:val="center"/>
                </w:tcPr>
                <w:p>
                  <w:pPr>
                    <w:pStyle w:val="19"/>
                    <w:bidi w:val="0"/>
                    <w:jc w:val="center"/>
                    <w:rPr>
                      <w:rFonts w:hint="default"/>
                      <w:lang w:val="en-US" w:eastAsia="zh-CN"/>
                    </w:rPr>
                  </w:pPr>
                  <w:r>
                    <w:rPr>
                      <w:rFonts w:hint="eastAsia"/>
                      <w:lang w:val="en-US" w:eastAsia="zh-CN"/>
                    </w:rPr>
                    <w:t>PM</w:t>
                  </w:r>
                  <w:r>
                    <w:rPr>
                      <w:rFonts w:hint="eastAsia"/>
                      <w:vertAlign w:val="subscript"/>
                      <w:lang w:val="en-US" w:eastAsia="zh-CN"/>
                    </w:rPr>
                    <w:t>2.5</w:t>
                  </w:r>
                </w:p>
              </w:tc>
              <w:tc>
                <w:tcPr>
                  <w:tcW w:w="1331" w:type="pct"/>
                  <w:vAlign w:val="center"/>
                </w:tcPr>
                <w:p>
                  <w:pPr>
                    <w:pStyle w:val="19"/>
                    <w:bidi w:val="0"/>
                    <w:jc w:val="center"/>
                  </w:pPr>
                  <w:r>
                    <w:rPr>
                      <w:rFonts w:hint="eastAsia"/>
                      <w:lang w:val="en-US" w:eastAsia="zh-CN"/>
                    </w:rPr>
                    <w:t>年平均质量浓度</w:t>
                  </w:r>
                </w:p>
              </w:tc>
              <w:tc>
                <w:tcPr>
                  <w:tcW w:w="585" w:type="pct"/>
                  <w:vAlign w:val="center"/>
                </w:tcPr>
                <w:p>
                  <w:pPr>
                    <w:pStyle w:val="19"/>
                    <w:bidi w:val="0"/>
                    <w:jc w:val="center"/>
                    <w:rPr>
                      <w:rFonts w:hint="eastAsia"/>
                      <w:lang w:val="en-US" w:eastAsia="zh-CN"/>
                    </w:rPr>
                  </w:pPr>
                  <w:r>
                    <w:rPr>
                      <w:rFonts w:hint="default" w:ascii="Times New Roman" w:hAnsi="Times New Roman" w:eastAsia="宋体" w:cs="Times New Roman"/>
                      <w:b w:val="0"/>
                      <w:bCs/>
                      <w:color w:val="auto"/>
                      <w:sz w:val="21"/>
                      <w:szCs w:val="21"/>
                      <w:u w:val="none" w:color="auto"/>
                    </w:rPr>
                    <w:t>µ</w:t>
                  </w:r>
                  <w:r>
                    <w:rPr>
                      <w:rFonts w:hint="default" w:ascii="Times New Roman" w:hAnsi="Times New Roman" w:eastAsia="宋体" w:cs="Times New Roman"/>
                      <w:b w:val="0"/>
                      <w:bCs/>
                      <w:color w:val="auto"/>
                      <w:sz w:val="21"/>
                      <w:szCs w:val="21"/>
                      <w:u w:val="none" w:color="auto"/>
                      <w:lang w:val="en-US" w:eastAsia="zh-CN"/>
                    </w:rPr>
                    <w:t>g</w:t>
                  </w:r>
                  <w:r>
                    <w:rPr>
                      <w:rFonts w:hint="default" w:ascii="Times New Roman" w:hAnsi="Times New Roman" w:eastAsia="宋体" w:cs="Times New Roman"/>
                      <w:color w:val="auto"/>
                      <w:sz w:val="21"/>
                      <w:szCs w:val="21"/>
                      <w:u w:val="none" w:color="auto"/>
                      <w:lang w:val="en-US" w:eastAsia="zh-CN"/>
                    </w:rPr>
                    <w:t>/m</w:t>
                  </w:r>
                  <w:r>
                    <w:rPr>
                      <w:rFonts w:hint="default" w:ascii="Times New Roman" w:hAnsi="Times New Roman" w:eastAsia="宋体" w:cs="Times New Roman"/>
                      <w:color w:val="auto"/>
                      <w:sz w:val="21"/>
                      <w:szCs w:val="21"/>
                      <w:u w:val="none" w:color="auto"/>
                      <w:vertAlign w:val="superscript"/>
                      <w:lang w:val="en-US" w:eastAsia="zh-CN"/>
                    </w:rPr>
                    <w:t>3</w:t>
                  </w:r>
                </w:p>
              </w:tc>
              <w:tc>
                <w:tcPr>
                  <w:tcW w:w="655" w:type="pct"/>
                  <w:vAlign w:val="center"/>
                </w:tcPr>
                <w:p>
                  <w:pPr>
                    <w:pStyle w:val="19"/>
                    <w:bidi w:val="0"/>
                    <w:jc w:val="center"/>
                    <w:rPr>
                      <w:rFonts w:hint="default"/>
                      <w:lang w:val="en-US" w:eastAsia="zh-CN"/>
                    </w:rPr>
                  </w:pPr>
                  <w:r>
                    <w:rPr>
                      <w:rFonts w:hint="eastAsia"/>
                      <w:lang w:val="en-US" w:eastAsia="zh-CN"/>
                    </w:rPr>
                    <w:t>33</w:t>
                  </w:r>
                </w:p>
              </w:tc>
              <w:tc>
                <w:tcPr>
                  <w:tcW w:w="836" w:type="pct"/>
                  <w:vAlign w:val="center"/>
                </w:tcPr>
                <w:p>
                  <w:pPr>
                    <w:pStyle w:val="19"/>
                    <w:bidi w:val="0"/>
                    <w:jc w:val="center"/>
                    <w:rPr>
                      <w:rFonts w:hint="default"/>
                      <w:lang w:val="en-US" w:eastAsia="zh-CN"/>
                    </w:rPr>
                  </w:pPr>
                  <w:r>
                    <w:rPr>
                      <w:rFonts w:hint="eastAsia"/>
                      <w:lang w:val="en-US" w:eastAsia="zh-CN"/>
                    </w:rPr>
                    <w:t>35</w:t>
                  </w:r>
                </w:p>
              </w:tc>
              <w:tc>
                <w:tcPr>
                  <w:tcW w:w="602" w:type="pct"/>
                  <w:vAlign w:val="center"/>
                </w:tcPr>
                <w:p>
                  <w:pPr>
                    <w:pStyle w:val="19"/>
                    <w:bidi w:val="0"/>
                    <w:jc w:val="center"/>
                    <w:rPr>
                      <w:rFonts w:hint="default"/>
                      <w:lang w:val="en-US" w:eastAsia="zh-CN"/>
                    </w:rPr>
                  </w:pPr>
                  <w:r>
                    <w:rPr>
                      <w:rFonts w:hint="eastAsia"/>
                      <w:lang w:val="en-US" w:eastAsia="zh-CN"/>
                    </w:rPr>
                    <w:t>97.06</w:t>
                  </w:r>
                </w:p>
              </w:tc>
              <w:tc>
                <w:tcPr>
                  <w:tcW w:w="472" w:type="pct"/>
                  <w:vAlign w:val="center"/>
                </w:tcPr>
                <w:p>
                  <w:pPr>
                    <w:pStyle w:val="19"/>
                    <w:bidi w:val="0"/>
                    <w:jc w:val="center"/>
                  </w:pPr>
                  <w:r>
                    <w:rPr>
                      <w:rFonts w:hint="eastAsia"/>
                      <w:lang w:val="en-US" w:eastAsia="zh-CN"/>
                    </w:rPr>
                    <w:t>达标</w:t>
                  </w:r>
                </w:p>
              </w:tc>
            </w:tr>
          </w:tbl>
          <w:p>
            <w:pPr>
              <w:bidi w:val="0"/>
              <w:jc w:val="both"/>
              <w:rPr>
                <w:rFonts w:hint="eastAsia"/>
                <w:lang w:val="en-US" w:eastAsia="zh-CN"/>
              </w:rPr>
            </w:pPr>
            <w:r>
              <w:rPr>
                <w:rFonts w:hint="eastAsia"/>
                <w:lang w:val="en-US" w:eastAsia="zh-CN"/>
              </w:rPr>
              <w:t>由上表可知，项目所在区域SO</w:t>
            </w:r>
            <w:r>
              <w:rPr>
                <w:rFonts w:hint="eastAsia"/>
                <w:vertAlign w:val="subscript"/>
                <w:lang w:val="en-US" w:eastAsia="zh-CN"/>
              </w:rPr>
              <w:t>2</w:t>
            </w:r>
            <w:r>
              <w:rPr>
                <w:rFonts w:hint="eastAsia"/>
                <w:lang w:val="en-US" w:eastAsia="zh-CN"/>
              </w:rPr>
              <w:t>、NO</w:t>
            </w:r>
            <w:r>
              <w:rPr>
                <w:rFonts w:hint="eastAsia"/>
                <w:vertAlign w:val="subscript"/>
                <w:lang w:val="en-US" w:eastAsia="zh-CN"/>
              </w:rPr>
              <w:t>2</w:t>
            </w:r>
            <w:r>
              <w:rPr>
                <w:rFonts w:hint="eastAsia"/>
                <w:lang w:val="en-US" w:eastAsia="zh-CN"/>
              </w:rPr>
              <w:t>、PM</w:t>
            </w:r>
            <w:r>
              <w:rPr>
                <w:rFonts w:hint="eastAsia"/>
                <w:vertAlign w:val="subscript"/>
                <w:lang w:val="en-US" w:eastAsia="zh-CN"/>
              </w:rPr>
              <w:t>10</w:t>
            </w:r>
            <w:r>
              <w:rPr>
                <w:rFonts w:hint="eastAsia"/>
                <w:lang w:val="en-US" w:eastAsia="zh-CN"/>
              </w:rPr>
              <w:t>、PM</w:t>
            </w:r>
            <w:r>
              <w:rPr>
                <w:rFonts w:hint="eastAsia"/>
                <w:vertAlign w:val="subscript"/>
                <w:lang w:val="en-US" w:eastAsia="zh-CN"/>
              </w:rPr>
              <w:t>2.5</w:t>
            </w:r>
            <w:r>
              <w:rPr>
                <w:rFonts w:hint="eastAsia"/>
                <w:lang w:val="en-US" w:eastAsia="zh-CN"/>
              </w:rPr>
              <w:t>的年平均浓度值达到《环境空气质量标准》（GB3095-2012）及其修改单中的二级标准；CO的第95%位日平均浓度值达到《环境空气质量标准》（GB3095-2012）及其修改单中的二级标准；O</w:t>
            </w:r>
            <w:r>
              <w:rPr>
                <w:rFonts w:hint="eastAsia"/>
                <w:vertAlign w:val="subscript"/>
                <w:lang w:val="en-US" w:eastAsia="zh-CN"/>
              </w:rPr>
              <w:t>3</w:t>
            </w:r>
            <w:r>
              <w:rPr>
                <w:rFonts w:hint="eastAsia"/>
                <w:lang w:val="en-US" w:eastAsia="zh-CN"/>
              </w:rPr>
              <w:t>的第90%位8小时均值达到《环境空气质量标准》（GB3095-2012）及其修改单中的二级标准，项目所在区域为环境空气质量达标区。</w:t>
            </w:r>
          </w:p>
          <w:p>
            <w:pPr>
              <w:bidi w:val="0"/>
              <w:ind w:left="0" w:leftChars="0" w:firstLine="0" w:firstLineChars="0"/>
              <w:jc w:val="both"/>
              <w:rPr>
                <w:rFonts w:hint="eastAsia"/>
                <w:b/>
                <w:bCs/>
                <w:lang w:val="en-US" w:eastAsia="zh-CN"/>
              </w:rPr>
            </w:pPr>
            <w:r>
              <w:rPr>
                <w:rFonts w:hint="eastAsia"/>
                <w:b/>
                <w:bCs/>
                <w:lang w:val="en-US" w:eastAsia="zh-CN"/>
              </w:rPr>
              <w:t>2、地表水环境</w:t>
            </w:r>
          </w:p>
          <w:p>
            <w:pPr>
              <w:bidi w:val="0"/>
              <w:rPr>
                <w:rFonts w:hint="eastAsia"/>
                <w:lang w:val="en-US" w:eastAsia="zh-CN"/>
              </w:rPr>
            </w:pPr>
            <w:r>
              <w:rPr>
                <w:rFonts w:hint="eastAsia"/>
                <w:lang w:val="en-US" w:eastAsia="zh-CN"/>
              </w:rPr>
              <w:t>（1）水环境功能区</w:t>
            </w:r>
          </w:p>
          <w:p>
            <w:pPr>
              <w:bidi w:val="0"/>
              <w:rPr>
                <w:rFonts w:hint="default"/>
                <w:lang w:val="en-US" w:eastAsia="zh-CN"/>
              </w:rPr>
            </w:pPr>
            <w:r>
              <w:rPr>
                <w:rFonts w:hint="eastAsia"/>
                <w:lang w:val="en-US" w:eastAsia="zh-CN"/>
              </w:rPr>
              <w:t>本项目位于衡阳市石鼓区来雁新城范围内，建设项目附近河流为湘江。根据《湖南省主要地表水系水环境功能区划》（DB43/023-2005），湘江—蒸水口至大浦镇师塘村上游6000米水域为工业用水区，水质执行《地表水环境质量标准》（GB3838-2002）</w:t>
            </w:r>
            <w:r>
              <w:rPr>
                <w:rFonts w:hint="default"/>
                <w:lang w:val="en-US" w:eastAsia="zh-CN"/>
              </w:rPr>
              <w:t>Ⅲ</w:t>
            </w:r>
            <w:r>
              <w:rPr>
                <w:rFonts w:hint="eastAsia"/>
                <w:lang w:val="en-US" w:eastAsia="zh-CN"/>
              </w:rPr>
              <w:t>类标准。</w:t>
            </w:r>
          </w:p>
          <w:p>
            <w:pPr>
              <w:bidi w:val="0"/>
              <w:rPr>
                <w:rFonts w:hint="default"/>
                <w:lang w:val="en-US" w:eastAsia="zh-CN"/>
              </w:rPr>
            </w:pPr>
            <w:r>
              <w:rPr>
                <w:rFonts w:hint="eastAsia"/>
                <w:lang w:val="en-US" w:eastAsia="zh-CN"/>
              </w:rPr>
              <w:t>（2）湘江水环境质量达标情况</w:t>
            </w:r>
          </w:p>
          <w:p>
            <w:pPr>
              <w:bidi w:val="0"/>
              <w:rPr>
                <w:rFonts w:hint="eastAsia"/>
                <w:lang w:val="en-US" w:eastAsia="zh-CN"/>
              </w:rPr>
            </w:pPr>
            <w:r>
              <w:rPr>
                <w:rFonts w:hint="default"/>
                <w:lang w:val="en-US" w:eastAsia="zh-CN"/>
              </w:rPr>
              <w:t>本项目周边最近的地表水体为湘江，距离本项目最近的地表水监测断面为鱼石村监测断面，据衡阳市生态环境局发布的《关于202</w:t>
            </w:r>
            <w:r>
              <w:rPr>
                <w:rFonts w:hint="eastAsia"/>
                <w:lang w:val="en-US" w:eastAsia="zh-CN"/>
              </w:rPr>
              <w:t>2</w:t>
            </w:r>
            <w:r>
              <w:rPr>
                <w:rFonts w:hint="default"/>
                <w:lang w:val="en-US" w:eastAsia="zh-CN"/>
              </w:rPr>
              <w:t>年12月及1~12月全市环境质量状况的通报》可知其水质监测情况如下</w:t>
            </w:r>
            <w:r>
              <w:rPr>
                <w:rFonts w:hint="eastAsia"/>
                <w:lang w:val="en-US" w:eastAsia="zh-CN"/>
              </w:rPr>
              <w:t>图</w:t>
            </w:r>
            <w:r>
              <w:rPr>
                <w:rFonts w:hint="default"/>
                <w:lang w:val="en-US" w:eastAsia="zh-CN"/>
              </w:rPr>
              <w:t>所示</w:t>
            </w:r>
            <w:r>
              <w:rPr>
                <w:rFonts w:hint="eastAsia"/>
                <w:lang w:val="en-US" w:eastAsia="zh-CN"/>
              </w:rPr>
              <w:t>。</w:t>
            </w:r>
          </w:p>
          <w:p>
            <w:pPr>
              <w:bidi w:val="0"/>
              <w:ind w:left="0" w:leftChars="0" w:firstLine="0" w:firstLineChars="0"/>
              <w:jc w:val="center"/>
              <w:rPr>
                <w:rFonts w:hint="eastAsia"/>
                <w:lang w:val="en-US" w:eastAsia="zh-CN"/>
              </w:rPr>
            </w:pPr>
            <w:r>
              <w:rPr>
                <w:rFonts w:hint="eastAsia"/>
                <w:lang w:val="en-US" w:eastAsia="zh-CN"/>
              </w:rPr>
              <w:drawing>
                <wp:inline distT="0" distB="0" distL="114300" distR="114300">
                  <wp:extent cx="5258435" cy="2477135"/>
                  <wp:effectExtent l="0" t="0" r="18415" b="18415"/>
                  <wp:docPr id="31" name="图片 31" descr="e55e061424d67cfe0e7630852ebfa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e55e061424d67cfe0e7630852ebfa2c"/>
                          <pic:cNvPicPr>
                            <a:picLocks noChangeAspect="1"/>
                          </pic:cNvPicPr>
                        </pic:nvPicPr>
                        <pic:blipFill>
                          <a:blip r:embed="rId27"/>
                          <a:stretch>
                            <a:fillRect/>
                          </a:stretch>
                        </pic:blipFill>
                        <pic:spPr>
                          <a:xfrm>
                            <a:off x="0" y="0"/>
                            <a:ext cx="5258435" cy="2477135"/>
                          </a:xfrm>
                          <a:prstGeom prst="rect">
                            <a:avLst/>
                          </a:prstGeom>
                        </pic:spPr>
                      </pic:pic>
                    </a:graphicData>
                  </a:graphic>
                </wp:inline>
              </w:drawing>
            </w:r>
          </w:p>
          <w:p>
            <w:pPr>
              <w:pStyle w:val="18"/>
              <w:bidi w:val="0"/>
            </w:pPr>
            <w:r>
              <w:rPr>
                <w:rFonts w:hint="eastAsia"/>
                <w:lang w:val="en-US" w:eastAsia="zh-CN"/>
              </w:rPr>
              <w:t>图5 衡阳市地表水水质状况</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firstLine="480" w:firstLineChars="200"/>
              <w:jc w:val="both"/>
              <w:textAlignment w:val="auto"/>
              <w:rPr>
                <w:rFonts w:hint="default" w:ascii="Times New Roman" w:hAnsi="Times New Roman" w:eastAsia="宋体"/>
                <w:sz w:val="24"/>
                <w:szCs w:val="24"/>
                <w:u w:val="none" w:color="auto"/>
                <w:lang w:val="en-US" w:eastAsia="zh-CN"/>
              </w:rPr>
            </w:pPr>
            <w:r>
              <w:rPr>
                <w:rFonts w:hint="default" w:ascii="Times New Roman" w:hAnsi="Times New Roman" w:eastAsia="宋体"/>
                <w:sz w:val="24"/>
                <w:szCs w:val="24"/>
                <w:u w:val="none" w:color="auto"/>
                <w:lang w:val="en-US" w:eastAsia="zh-CN"/>
              </w:rPr>
              <w:t>由上表</w:t>
            </w:r>
            <w:r>
              <w:rPr>
                <w:rFonts w:hint="eastAsia"/>
                <w:sz w:val="24"/>
                <w:szCs w:val="24"/>
                <w:u w:val="none" w:color="auto"/>
                <w:lang w:val="en-US" w:eastAsia="zh-CN"/>
              </w:rPr>
              <w:t>可知，鱼石村</w:t>
            </w:r>
            <w:r>
              <w:rPr>
                <w:rFonts w:hint="default" w:ascii="Times New Roman" w:hAnsi="Times New Roman" w:eastAsia="宋体" w:cs="Times New Roman"/>
                <w:color w:val="auto"/>
                <w:spacing w:val="0"/>
                <w:position w:val="0"/>
                <w:sz w:val="24"/>
                <w:szCs w:val="24"/>
                <w:highlight w:val="none"/>
                <w:u w:val="none" w:color="auto"/>
                <w:lang w:val="en-US" w:eastAsia="zh-CN"/>
              </w:rPr>
              <w:t>断面水质满足《地表水环境质量标准》（GB3838-2002）</w:t>
            </w:r>
            <w:r>
              <w:rPr>
                <w:rFonts w:hint="default" w:ascii="Times New Roman" w:hAnsi="Times New Roman" w:eastAsia="微软雅黑" w:cs="Times New Roman"/>
                <w:color w:val="auto"/>
                <w:spacing w:val="0"/>
                <w:position w:val="0"/>
                <w:sz w:val="24"/>
                <w:szCs w:val="24"/>
                <w:highlight w:val="none"/>
                <w:u w:val="none" w:color="auto"/>
                <w:lang w:val="en-US" w:eastAsia="zh-CN"/>
              </w:rPr>
              <w:t>Ⅱ</w:t>
            </w:r>
            <w:r>
              <w:rPr>
                <w:rFonts w:hint="default" w:ascii="Times New Roman" w:hAnsi="Times New Roman" w:eastAsia="宋体" w:cs="Times New Roman"/>
                <w:color w:val="auto"/>
                <w:spacing w:val="0"/>
                <w:position w:val="0"/>
                <w:sz w:val="24"/>
                <w:szCs w:val="24"/>
                <w:highlight w:val="none"/>
                <w:u w:val="none" w:color="auto"/>
                <w:lang w:val="en-US" w:eastAsia="zh-CN"/>
              </w:rPr>
              <w:t>类标准的要求，项目所在区域地表水环境质量现状较好</w:t>
            </w:r>
            <w:r>
              <w:rPr>
                <w:rFonts w:hint="default" w:ascii="Times New Roman" w:hAnsi="Times New Roman" w:eastAsia="宋体"/>
                <w:sz w:val="24"/>
                <w:szCs w:val="24"/>
                <w:u w:val="none" w:color="auto"/>
                <w:lang w:val="en-US" w:eastAsia="zh-CN"/>
              </w:rPr>
              <w:t>。</w:t>
            </w:r>
          </w:p>
          <w:p>
            <w:pPr>
              <w:bidi w:val="0"/>
              <w:ind w:left="0" w:leftChars="0" w:firstLine="0" w:firstLineChars="0"/>
              <w:jc w:val="both"/>
              <w:rPr>
                <w:rFonts w:hint="eastAsia"/>
                <w:b/>
                <w:bCs/>
                <w:lang w:val="en-US" w:eastAsia="zh-CN"/>
              </w:rPr>
            </w:pPr>
            <w:r>
              <w:rPr>
                <w:rFonts w:hint="eastAsia"/>
                <w:b/>
                <w:bCs/>
                <w:lang w:val="en-US" w:eastAsia="zh-CN"/>
              </w:rPr>
              <w:t>3、声环境</w:t>
            </w:r>
          </w:p>
          <w:p>
            <w:pPr>
              <w:bidi w:val="0"/>
              <w:rPr>
                <w:rFonts w:hint="eastAsia"/>
                <w:lang w:val="en-US" w:eastAsia="zh-CN"/>
              </w:rPr>
            </w:pPr>
            <w:r>
              <w:rPr>
                <w:rFonts w:hint="eastAsia"/>
                <w:lang w:val="en-US" w:eastAsia="zh-CN"/>
              </w:rPr>
              <w:t>根据现场勘察，项目厂界周边50m范围内无声环境保护目标。</w:t>
            </w:r>
          </w:p>
          <w:p>
            <w:pPr>
              <w:bidi w:val="0"/>
              <w:ind w:left="0" w:leftChars="0" w:firstLine="0" w:firstLineChars="0"/>
              <w:jc w:val="both"/>
              <w:rPr>
                <w:rFonts w:hint="eastAsia"/>
                <w:b/>
                <w:bCs/>
                <w:color w:val="auto"/>
                <w:lang w:val="en-US" w:eastAsia="zh-CN"/>
              </w:rPr>
            </w:pPr>
            <w:r>
              <w:rPr>
                <w:rFonts w:hint="eastAsia"/>
                <w:b/>
                <w:bCs/>
                <w:color w:val="auto"/>
                <w:lang w:val="en-US" w:eastAsia="zh-CN"/>
              </w:rPr>
              <w:t>4、生态环境</w:t>
            </w:r>
          </w:p>
          <w:p>
            <w:pPr>
              <w:bidi w:val="0"/>
              <w:rPr>
                <w:rFonts w:hint="eastAsia"/>
                <w:color w:val="auto"/>
                <w:lang w:val="en-US" w:eastAsia="zh-CN"/>
              </w:rPr>
            </w:pPr>
            <w:r>
              <w:rPr>
                <w:rFonts w:hint="eastAsia"/>
                <w:color w:val="auto"/>
                <w:lang w:val="en-US" w:eastAsia="zh-CN"/>
              </w:rPr>
              <w:t>（1）项目所在区域主体功能区划</w:t>
            </w:r>
          </w:p>
          <w:p>
            <w:pPr>
              <w:bidi w:val="0"/>
              <w:rPr>
                <w:rFonts w:hint="default"/>
                <w:color w:val="auto"/>
                <w:lang w:val="en-US" w:eastAsia="zh-CN"/>
              </w:rPr>
            </w:pPr>
            <w:r>
              <w:rPr>
                <w:rFonts w:hint="eastAsia"/>
                <w:color w:val="auto"/>
                <w:lang w:val="en-US" w:eastAsia="zh-CN"/>
              </w:rPr>
              <w:t>根据《湖南省主体功能区规划》，本项目评价区属于重点开发区域。适度拓展产业空间，扩大人居和生态空间，在优化结构、节约资源、保护环境的基础上，重点支持要素集聚、土地集约、人口集中，推动经济又好又快发展，成为全省经济和人口的密集地区，支撑富民强省和中部崛起的主要区域。</w:t>
            </w:r>
          </w:p>
          <w:p>
            <w:pPr>
              <w:bidi w:val="0"/>
              <w:rPr>
                <w:rFonts w:hint="eastAsia"/>
                <w:color w:val="auto"/>
                <w:lang w:val="en-US" w:eastAsia="zh-CN"/>
              </w:rPr>
            </w:pPr>
            <w:r>
              <w:rPr>
                <w:rFonts w:hint="eastAsia"/>
                <w:color w:val="auto"/>
                <w:lang w:val="en-US" w:eastAsia="zh-CN"/>
              </w:rPr>
              <w:t>（2）项目所在区域生态功能区划</w:t>
            </w:r>
          </w:p>
          <w:p>
            <w:pPr>
              <w:bidi w:val="0"/>
              <w:rPr>
                <w:rFonts w:hint="default"/>
                <w:color w:val="auto"/>
                <w:lang w:val="en-US" w:eastAsia="zh-CN"/>
              </w:rPr>
            </w:pPr>
            <w:r>
              <w:rPr>
                <w:rFonts w:hint="eastAsia"/>
                <w:color w:val="auto"/>
                <w:lang w:val="en-US" w:eastAsia="zh-CN"/>
              </w:rPr>
              <w:t>根据《湖南省生态功能区划研究报告》（湖南省环境保护厅等，2005），评价区属湘中一湘南低山丘陵水土保安与生态文化生态功能区。该区内有湖南省政治、文化、经济中心一长沙区内交通方便、经济发达，城镇化和工业化程度高新技术集中，地貌类型多样，除雪峰山东麓为山地外，其余为丘陵岗地、河谷平原。气候温热，水资源丰富，是湖南重要的农业生产基地之一。除红岩盆地外，丘陵区植被恢复较好，土壤侵蚀模数逐渐下降。矿产品种丰富，蕴藏量大开发条件较好。旅游资源丰富，品种齐全，特别是人文景观资源独具特色国家级景区景点和历史文物较集中。人口密度大，垦殖指数高，水土流失潜在威胁十分严重。碳酸盐岩类和红岩类地区，地表水资源缺乏，夏秋干旱严重。</w:t>
            </w:r>
          </w:p>
          <w:p>
            <w:pPr>
              <w:bidi w:val="0"/>
              <w:rPr>
                <w:rFonts w:hint="eastAsia"/>
                <w:color w:val="auto"/>
                <w:highlight w:val="none"/>
                <w:lang w:val="en-US" w:eastAsia="zh-CN"/>
              </w:rPr>
            </w:pPr>
            <w:r>
              <w:rPr>
                <w:rFonts w:hint="eastAsia"/>
                <w:color w:val="auto"/>
                <w:highlight w:val="none"/>
                <w:lang w:val="en-US" w:eastAsia="zh-CN"/>
              </w:rPr>
              <w:t>（3）土地利用类型</w:t>
            </w:r>
          </w:p>
          <w:p>
            <w:pPr>
              <w:bidi w:val="0"/>
              <w:rPr>
                <w:rFonts w:hint="eastAsia"/>
                <w:color w:val="auto"/>
                <w:lang w:val="en-US" w:eastAsia="zh-CN"/>
              </w:rPr>
            </w:pPr>
            <w:r>
              <w:rPr>
                <w:rFonts w:hint="eastAsia"/>
                <w:color w:val="auto"/>
                <w:lang w:val="en-US" w:eastAsia="zh-CN"/>
              </w:rPr>
              <w:t>根据《衡阳市土地利用总体规划（2006-2020年）》，评价区属中部岗地平原地区。该区包括蒸湘、石鼓、雁峰和珠晖四区，总面积为51803公顷，占全市土地总面积的3.39%，是湘南中心城市和交通物流中心。本区域镇村及工矿用地、交通用地、园地、水域的比例和土地利用效益均高于其他土地利用区，但“三废”污染较严重，洪水对城镇威胁大。</w:t>
            </w:r>
          </w:p>
          <w:p>
            <w:pPr>
              <w:rPr>
                <w:rFonts w:hint="eastAsia"/>
                <w:color w:val="auto"/>
                <w:lang w:val="en-US" w:eastAsia="zh-CN"/>
              </w:rPr>
            </w:pPr>
            <w:r>
              <w:rPr>
                <w:rFonts w:hint="eastAsia"/>
                <w:color w:val="auto"/>
                <w:lang w:val="en-US" w:eastAsia="zh-CN"/>
              </w:rPr>
              <w:t>土地利用方向以促进城市职能由传统加工工业城市逐步向现代化加工工业与物流中心的方向发展，大力培植具有省际或全国意义的主导产业，增强城市经济竞争力，重塑湘南经济中心地位。</w:t>
            </w:r>
          </w:p>
          <w:p>
            <w:pPr>
              <w:bidi w:val="0"/>
              <w:rPr>
                <w:rFonts w:hint="eastAsia"/>
                <w:color w:val="auto"/>
                <w:lang w:val="en-US" w:eastAsia="zh-CN"/>
              </w:rPr>
            </w:pPr>
            <w:r>
              <w:rPr>
                <w:rFonts w:hint="eastAsia"/>
                <w:color w:val="auto"/>
                <w:lang w:val="en-US" w:eastAsia="zh-CN"/>
              </w:rPr>
              <w:t>土地利用原则为合理控制城镇建设用地规模，促进中心城区节约集约利用土地；优化城市内部功能分区，加快中心城区基础设施建设，改善人均生态环境；发展城郊休闲生态农业，积极改善环境，以“三江六岸”和城郊休闲公园为骨架，建设城市生态屏障。</w:t>
            </w:r>
          </w:p>
          <w:p>
            <w:pPr>
              <w:rPr>
                <w:rFonts w:hint="default"/>
                <w:color w:val="auto"/>
                <w:lang w:val="en-US" w:eastAsia="zh-CN"/>
              </w:rPr>
            </w:pPr>
            <w:r>
              <w:rPr>
                <w:rFonts w:hint="eastAsia"/>
                <w:color w:val="auto"/>
                <w:lang w:val="en-US" w:eastAsia="zh-CN"/>
              </w:rPr>
              <w:t>本建设项目总占地面积17.6795hm</w:t>
            </w:r>
            <w:r>
              <w:rPr>
                <w:rFonts w:hint="eastAsia"/>
                <w:color w:val="auto"/>
                <w:vertAlign w:val="superscript"/>
                <w:lang w:val="en-US" w:eastAsia="zh-CN"/>
              </w:rPr>
              <w:t>2</w:t>
            </w:r>
            <w:r>
              <w:rPr>
                <w:rFonts w:hint="eastAsia"/>
                <w:color w:val="auto"/>
                <w:lang w:val="en-US" w:eastAsia="zh-CN"/>
              </w:rPr>
              <w:t>，主要占地类型为园地、水塘和建设用地共3种类型。其中园地9.916hm</w:t>
            </w:r>
            <w:r>
              <w:rPr>
                <w:rFonts w:hint="eastAsia"/>
                <w:color w:val="auto"/>
                <w:vertAlign w:val="superscript"/>
                <w:lang w:val="en-US" w:eastAsia="zh-CN"/>
              </w:rPr>
              <w:t>2</w:t>
            </w:r>
            <w:r>
              <w:rPr>
                <w:rFonts w:hint="eastAsia"/>
                <w:color w:val="auto"/>
                <w:lang w:val="en-US" w:eastAsia="zh-CN"/>
              </w:rPr>
              <w:t>，约占工程占地总面积的56%，水塘3.3727hm</w:t>
            </w:r>
            <w:r>
              <w:rPr>
                <w:rFonts w:hint="eastAsia"/>
                <w:color w:val="auto"/>
                <w:vertAlign w:val="superscript"/>
                <w:lang w:val="en-US" w:eastAsia="zh-CN"/>
              </w:rPr>
              <w:t>2</w:t>
            </w:r>
            <w:r>
              <w:rPr>
                <w:rFonts w:hint="eastAsia"/>
                <w:color w:val="auto"/>
                <w:lang w:val="en-US" w:eastAsia="zh-CN"/>
              </w:rPr>
              <w:t>，约占工程占地总面积的19%，建筑用地4.3852hm</w:t>
            </w:r>
            <w:r>
              <w:rPr>
                <w:rFonts w:hint="eastAsia"/>
                <w:color w:val="auto"/>
                <w:vertAlign w:val="superscript"/>
                <w:lang w:val="en-US" w:eastAsia="zh-CN"/>
              </w:rPr>
              <w:t>2</w:t>
            </w:r>
            <w:r>
              <w:rPr>
                <w:rFonts w:hint="eastAsia"/>
                <w:color w:val="auto"/>
                <w:lang w:val="en-US" w:eastAsia="zh-CN"/>
              </w:rPr>
              <w:t>，约占工程占地总面积的25%。</w:t>
            </w:r>
          </w:p>
          <w:p>
            <w:pPr>
              <w:rPr>
                <w:rFonts w:hint="default"/>
                <w:color w:val="auto"/>
                <w:lang w:val="en-US" w:eastAsia="zh-CN"/>
              </w:rPr>
            </w:pPr>
            <w:r>
              <w:rPr>
                <w:rFonts w:hint="eastAsia"/>
                <w:color w:val="auto"/>
                <w:lang w:val="en-US" w:eastAsia="zh-CN"/>
              </w:rPr>
              <w:t>（4）地形地貌</w:t>
            </w:r>
          </w:p>
          <w:p>
            <w:pPr>
              <w:bidi w:val="0"/>
              <w:rPr>
                <w:rFonts w:hint="default"/>
                <w:color w:val="auto"/>
                <w:lang w:val="en-US" w:eastAsia="zh-CN"/>
              </w:rPr>
            </w:pPr>
            <w:r>
              <w:rPr>
                <w:rFonts w:hint="default"/>
                <w:color w:val="auto"/>
                <w:lang w:val="en-US" w:eastAsia="zh-CN"/>
              </w:rPr>
              <w:t>衡阳市处于湖南省凹形面的轴带部分。周围环绕着古老宕层形成的断续环带的岭脊山地，内镶大面积白垩系和下第三系红层的红色丘陵台地，构成典型的盆地形势。衡阳盆地南高北低。盆地南面地势较高，1000米以上的山中东西连绵数十公里；盆地北面相对偏低，衡山山脉虽较高，但各峰呈峰林状屹立于中间，其东西两侧都有较低的向北通道，其东侧的湘江河谷两岸海拔高度均在100米以下。整个地形由西南向东北复合倾斜，而盆地由四周向中部降低，呈现1000米，800-700米、400-300米、150米四级夷为平面。四周山丘围绕，中部平岗丘交错。东部为罗霄山余脉天光山、四方山、园明坳；南部为南岭余脉塔山、大义山、天门仙、景峰坳；西部为越城岭的延伸熊罴岭、四明山、腾云岭；西北部、北部为大云山、九峰山和南岳衡山。整个地形比降为7.9‰。南部山峰大多海拔600米以上，常宁天堂山最高，海拔1265米。西部山峰多海拔500米以上，祁东腾云岭最高，海拔1044米。东北部除南岳衡山外，一般地面高程在海拔300</w:t>
            </w:r>
            <w:r>
              <w:rPr>
                <w:rFonts w:hint="eastAsia"/>
                <w:color w:val="auto"/>
                <w:lang w:val="en-US" w:eastAsia="zh-CN"/>
              </w:rPr>
              <w:t>~</w:t>
            </w:r>
            <w:r>
              <w:rPr>
                <w:rFonts w:hint="default"/>
                <w:color w:val="auto"/>
                <w:lang w:val="en-US" w:eastAsia="zh-CN"/>
              </w:rPr>
              <w:t>500米。</w:t>
            </w:r>
          </w:p>
          <w:p>
            <w:pPr>
              <w:rPr>
                <w:rFonts w:hint="default"/>
                <w:color w:val="auto"/>
                <w:lang w:val="en-US" w:eastAsia="zh-CN"/>
              </w:rPr>
            </w:pPr>
            <w:r>
              <w:rPr>
                <w:rFonts w:hint="default"/>
                <w:color w:val="auto"/>
                <w:lang w:val="en-US" w:eastAsia="zh-CN"/>
              </w:rPr>
              <w:t>地貌类型以岗丘为主。山地占总面积的21%，丘陵占27%，岗地占27%，平原占21%，水面占4%。中部大面积分布白垩系和第三系红层，面积3550平方公里，构成衡阳盆地的主体。</w:t>
            </w:r>
          </w:p>
          <w:p>
            <w:pPr>
              <w:bidi w:val="0"/>
              <w:rPr>
                <w:rFonts w:hint="default"/>
                <w:color w:val="auto"/>
                <w:lang w:val="en-US" w:eastAsia="zh-CN"/>
              </w:rPr>
            </w:pPr>
            <w:r>
              <w:rPr>
                <w:rFonts w:hint="eastAsia"/>
                <w:color w:val="auto"/>
                <w:lang w:val="en-US" w:eastAsia="zh-CN"/>
              </w:rPr>
              <w:t>（5）动植物资源</w:t>
            </w:r>
          </w:p>
          <w:p>
            <w:pPr>
              <w:bidi w:val="0"/>
              <w:rPr>
                <w:rFonts w:hint="eastAsia"/>
                <w:color w:val="auto"/>
                <w:sz w:val="24"/>
              </w:rPr>
            </w:pPr>
            <w:r>
              <w:rPr>
                <w:rFonts w:hint="eastAsia"/>
                <w:color w:val="auto"/>
                <w:sz w:val="24"/>
              </w:rPr>
              <w:t>衡阳市有兽类和鸟类</w:t>
            </w:r>
            <w:r>
              <w:rPr>
                <w:color w:val="auto"/>
                <w:sz w:val="24"/>
              </w:rPr>
              <w:t>200</w:t>
            </w:r>
            <w:r>
              <w:rPr>
                <w:rFonts w:hint="eastAsia"/>
                <w:color w:val="auto"/>
                <w:sz w:val="24"/>
              </w:rPr>
              <w:t>余种，其中兽类</w:t>
            </w:r>
            <w:r>
              <w:rPr>
                <w:color w:val="auto"/>
                <w:sz w:val="24"/>
              </w:rPr>
              <w:t>30</w:t>
            </w:r>
            <w:r>
              <w:rPr>
                <w:rFonts w:hint="eastAsia"/>
                <w:color w:val="auto"/>
                <w:sz w:val="24"/>
              </w:rPr>
              <w:t>种，鸟类</w:t>
            </w:r>
            <w:r>
              <w:rPr>
                <w:color w:val="auto"/>
                <w:sz w:val="24"/>
              </w:rPr>
              <w:t>17</w:t>
            </w:r>
            <w:r>
              <w:rPr>
                <w:rFonts w:hint="eastAsia"/>
                <w:color w:val="auto"/>
                <w:sz w:val="24"/>
              </w:rPr>
              <w:t>目</w:t>
            </w:r>
            <w:r>
              <w:rPr>
                <w:color w:val="auto"/>
                <w:sz w:val="24"/>
              </w:rPr>
              <w:t>40</w:t>
            </w:r>
            <w:r>
              <w:rPr>
                <w:rFonts w:hint="eastAsia"/>
                <w:color w:val="auto"/>
                <w:sz w:val="24"/>
              </w:rPr>
              <w:t>科</w:t>
            </w:r>
            <w:r>
              <w:rPr>
                <w:color w:val="auto"/>
                <w:sz w:val="24"/>
              </w:rPr>
              <w:t>170</w:t>
            </w:r>
            <w:r>
              <w:rPr>
                <w:rFonts w:hint="eastAsia"/>
                <w:color w:val="auto"/>
                <w:sz w:val="24"/>
              </w:rPr>
              <w:t>种以上。国家一级保护动物有云豹、白鹳、河鹿</w:t>
            </w:r>
            <w:r>
              <w:rPr>
                <w:rFonts w:hint="eastAsia"/>
                <w:color w:val="auto"/>
                <w:sz w:val="24"/>
                <w:lang w:eastAsia="zh-CN"/>
              </w:rPr>
              <w:t>（</w:t>
            </w:r>
            <w:r>
              <w:rPr>
                <w:rFonts w:hint="eastAsia"/>
                <w:color w:val="auto"/>
                <w:sz w:val="24"/>
              </w:rPr>
              <w:t>车獐</w:t>
            </w:r>
            <w:r>
              <w:rPr>
                <w:rFonts w:hint="eastAsia"/>
                <w:color w:val="auto"/>
                <w:sz w:val="24"/>
                <w:lang w:eastAsia="zh-CN"/>
              </w:rPr>
              <w:t>）</w:t>
            </w:r>
            <w:r>
              <w:rPr>
                <w:rFonts w:hint="eastAsia"/>
                <w:color w:val="auto"/>
                <w:sz w:val="24"/>
              </w:rPr>
              <w:t>、中华秋沙鸭。国家二级保护动物有穿山甲、虎纹蛙、水獭、大灵猫、小灵猫、果子狸、水鹿、斑羚、鏖麝、鸳鸯。猛禽类有草峭、猫头鹰、褐林峭、短耳峭、大庐、红脚隼、白鹇、峭鹞、白冠长尾雉、红腹角雉、大鲵等。省重点保护动物有白鹭、环颈雉、竹鸡，白骨顶、珠颈斑鸠、华南虎、山斑鸠、苍鹭、牛背鹭、颅滋、中华竹鼠、银星竹鼠、狐、青鼬、貉、豹猫、蛇、蟾蛙等</w:t>
            </w:r>
            <w:r>
              <w:rPr>
                <w:color w:val="auto"/>
                <w:sz w:val="24"/>
              </w:rPr>
              <w:t>30</w:t>
            </w:r>
            <w:r>
              <w:rPr>
                <w:rFonts w:hint="eastAsia"/>
                <w:color w:val="auto"/>
                <w:sz w:val="24"/>
              </w:rPr>
              <w:t>余种。</w:t>
            </w:r>
          </w:p>
          <w:p>
            <w:pPr>
              <w:bidi w:val="0"/>
              <w:rPr>
                <w:rFonts w:hint="default"/>
                <w:color w:val="auto"/>
                <w:lang w:val="en-US" w:eastAsia="zh-CN"/>
              </w:rPr>
            </w:pPr>
            <w:r>
              <w:rPr>
                <w:rFonts w:hint="eastAsia"/>
                <w:color w:val="auto"/>
                <w:sz w:val="24"/>
              </w:rPr>
              <w:t>衡阳市陆生自然植被以樟科、壳斗科、山茶科、山矾科、冬青科和禾本科刚竹属的植物为主。丘陵坡地区主要自然植被为亚热带常绿阔叶林（次生林）、常绿与落叶阔叶混交林、落叶阔叶林、竹林、低丘针叶林和针阔叶混交林，人工植被有国外松林、杉木林、杨树林、油茶林、柑桔林等等，主要植物种类有：马尾松、国外松（以湿地松为主）、杉木、枫香、樟树、马褂木、酸枣树、油茶、石栎、毛竹、盐肤木、构树、朴树、杜鹃、继木、柃木、假死柴、白茅、冬茅、蕨、五节芒、莎草、狗牙根、蓼、一年篷等，丘陵坡地区植被覆盖率高，森林覆盖率也较高；丘间平地区地表覆盖物以农田植被为主，兼有林带、旱地草丛和河滩草甸植被，主要农作物有水田和旱地作物，林地以田间四旁林、农田防护林带、果园林和宅基地稀疏林、堤岸防护林带为主，丘间平地区植被覆盖率高，但森林覆盖率较低。衡阳市林草覆盖率为</w:t>
            </w:r>
            <w:r>
              <w:rPr>
                <w:color w:val="auto"/>
                <w:sz w:val="24"/>
              </w:rPr>
              <w:t>51.76%</w:t>
            </w:r>
            <w:r>
              <w:rPr>
                <w:rFonts w:hint="eastAsia"/>
                <w:color w:val="auto"/>
                <w:sz w:val="24"/>
                <w:lang w:eastAsia="zh-CN"/>
              </w:rPr>
              <w:t>，</w:t>
            </w:r>
            <w:r>
              <w:rPr>
                <w:rFonts w:hint="eastAsia"/>
                <w:color w:val="auto"/>
                <w:sz w:val="24"/>
              </w:rPr>
              <w:t>湿地松为主。</w:t>
            </w:r>
          </w:p>
          <w:p>
            <w:pPr>
              <w:bidi w:val="0"/>
              <w:rPr>
                <w:rFonts w:hint="default"/>
                <w:color w:val="auto"/>
                <w:lang w:val="en-US" w:eastAsia="zh-CN"/>
              </w:rPr>
            </w:pPr>
            <w:r>
              <w:rPr>
                <w:rFonts w:hint="eastAsia"/>
                <w:color w:val="auto"/>
                <w:lang w:val="en-US" w:eastAsia="zh-CN"/>
              </w:rPr>
              <w:t>（6）生态环境现状评价结论</w:t>
            </w:r>
          </w:p>
          <w:p>
            <w:pPr>
              <w:bidi w:val="0"/>
              <w:rPr>
                <w:rFonts w:hint="default"/>
                <w:lang w:val="en-US" w:eastAsia="zh-CN"/>
              </w:rPr>
            </w:pPr>
            <w:r>
              <w:rPr>
                <w:rFonts w:hint="eastAsia"/>
                <w:color w:val="auto"/>
                <w:lang w:val="en-US" w:eastAsia="zh-CN"/>
              </w:rPr>
              <w:t>根据实地调查及查询相关资料，评价区未发现野生状态的国家级保护动物、植物。此外，建设区范围内没有风景名声、自然景观等环境敏感点。综上，说明本项目区域内生态环境现状质量较好。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lang w:val="en-US" w:eastAsia="zh-CN"/>
              </w:rPr>
            </w:pPr>
            <w:r>
              <w:rPr>
                <w:rFonts w:hint="eastAsia"/>
                <w:lang w:val="en-US" w:eastAsia="zh-CN"/>
              </w:rPr>
              <w:t>与项目有关的原有环境污染和生态破坏问题</w:t>
            </w:r>
          </w:p>
        </w:tc>
        <w:tc>
          <w:tcPr>
            <w:tcW w:w="8586" w:type="dxa"/>
            <w:vAlign w:val="center"/>
          </w:tcPr>
          <w:p>
            <w:pPr>
              <w:bidi w:val="0"/>
              <w:rPr>
                <w:rFonts w:hint="default"/>
                <w:lang w:val="en-US" w:eastAsia="zh-CN"/>
              </w:rPr>
            </w:pPr>
            <w:r>
              <w:rPr>
                <w:rFonts w:hint="default"/>
              </w:rPr>
              <w:t>项目建设性质为新建，因此不存在与项目有关的原有污染情况。本项目进驻后从事的经营活动，对选址环境质量无特殊要求，选址内现状环境质量不会影响本项目的</w:t>
            </w:r>
            <w:r>
              <w:rPr>
                <w:rFonts w:hint="eastAsia"/>
                <w:lang w:val="en-US" w:eastAsia="zh-CN"/>
              </w:rPr>
              <w:t>运营</w:t>
            </w:r>
            <w:r>
              <w:rPr>
                <w:rFonts w:hint="default"/>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2" w:hRule="atLeast"/>
        </w:trPr>
        <w:tc>
          <w:tcPr>
            <w:tcW w:w="70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lang w:val="en-US" w:eastAsia="zh-CN"/>
              </w:rPr>
            </w:pPr>
            <w:r>
              <w:rPr>
                <w:rFonts w:hint="eastAsia"/>
                <w:lang w:val="en-US" w:eastAsia="zh-CN"/>
              </w:rPr>
              <w:t>生态环境保护目标</w:t>
            </w:r>
          </w:p>
        </w:tc>
        <w:tc>
          <w:tcPr>
            <w:tcW w:w="8586" w:type="dxa"/>
          </w:tcPr>
          <w:p>
            <w:pPr>
              <w:bidi w:val="0"/>
              <w:jc w:val="both"/>
              <w:rPr>
                <w:rFonts w:hint="eastAsia"/>
                <w:color w:val="auto"/>
                <w:lang w:val="en-US" w:eastAsia="zh-CN"/>
              </w:rPr>
            </w:pPr>
            <w:r>
              <w:rPr>
                <w:rFonts w:hint="eastAsia"/>
                <w:color w:val="auto"/>
                <w:lang w:val="en-US" w:eastAsia="zh-CN"/>
              </w:rPr>
              <w:t>本项目为衡阳侨城文化旅游度假区一期建设项目，其影响主要为施工期，随着施工期的结束，其产生的影响将大大减少。其项目周边环境敏感点见下表。</w:t>
            </w:r>
          </w:p>
          <w:p>
            <w:pPr>
              <w:pStyle w:val="8"/>
              <w:bidi w:val="0"/>
              <w:rPr>
                <w:rFonts w:hint="default"/>
                <w:color w:val="auto"/>
                <w:lang w:val="en-US" w:eastAsia="zh-CN"/>
              </w:rPr>
            </w:pPr>
            <w:r>
              <w:rPr>
                <w:rFonts w:hint="eastAsia"/>
                <w:color w:val="auto"/>
                <w:lang w:val="en-US" w:eastAsia="zh-CN"/>
              </w:rPr>
              <w:t>1、大气环境保护目标</w:t>
            </w:r>
          </w:p>
          <w:p>
            <w:pPr>
              <w:pStyle w:val="18"/>
              <w:bidi w:val="0"/>
              <w:rPr>
                <w:rFonts w:hint="eastAsia"/>
                <w:color w:val="auto"/>
                <w:lang w:val="en-US" w:eastAsia="zh-CN"/>
              </w:rPr>
            </w:pPr>
            <w:r>
              <w:rPr>
                <w:rFonts w:hint="eastAsia"/>
                <w:color w:val="auto"/>
                <w:lang w:val="en-US" w:eastAsia="zh-CN"/>
              </w:rPr>
              <w:t>表11 大气环境保护目标表</w:t>
            </w:r>
          </w:p>
          <w:tbl>
            <w:tblPr>
              <w:tblStyle w:val="16"/>
              <w:tblW w:w="83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4"/>
              <w:gridCol w:w="1118"/>
              <w:gridCol w:w="1372"/>
              <w:gridCol w:w="1395"/>
              <w:gridCol w:w="698"/>
              <w:gridCol w:w="907"/>
              <w:gridCol w:w="675"/>
              <w:gridCol w:w="735"/>
              <w:gridCol w:w="10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4" w:type="dxa"/>
                  <w:vMerge w:val="restart"/>
                  <w:vAlign w:val="center"/>
                </w:tcPr>
                <w:p>
                  <w:pPr>
                    <w:pStyle w:val="19"/>
                    <w:bidi w:val="0"/>
                    <w:rPr>
                      <w:rFonts w:hint="default"/>
                      <w:color w:val="auto"/>
                      <w:lang w:val="en-US" w:eastAsia="zh-CN"/>
                    </w:rPr>
                  </w:pPr>
                  <w:r>
                    <w:rPr>
                      <w:rFonts w:hint="default"/>
                      <w:color w:val="auto"/>
                      <w:lang w:val="en-US" w:eastAsia="zh-CN"/>
                    </w:rPr>
                    <w:t>敏感要素</w:t>
                  </w:r>
                </w:p>
              </w:tc>
              <w:tc>
                <w:tcPr>
                  <w:tcW w:w="1118" w:type="dxa"/>
                  <w:vMerge w:val="restart"/>
                  <w:vAlign w:val="center"/>
                </w:tcPr>
                <w:p>
                  <w:pPr>
                    <w:pStyle w:val="19"/>
                    <w:bidi w:val="0"/>
                    <w:rPr>
                      <w:rFonts w:hint="default"/>
                      <w:color w:val="auto"/>
                      <w:lang w:val="en-US" w:eastAsia="zh-CN"/>
                    </w:rPr>
                  </w:pPr>
                  <w:r>
                    <w:rPr>
                      <w:rFonts w:hint="default"/>
                      <w:color w:val="auto"/>
                      <w:lang w:val="en-US" w:eastAsia="zh-CN"/>
                    </w:rPr>
                    <w:t>名称</w:t>
                  </w:r>
                </w:p>
              </w:tc>
              <w:tc>
                <w:tcPr>
                  <w:tcW w:w="2767" w:type="dxa"/>
                  <w:gridSpan w:val="2"/>
                  <w:vAlign w:val="center"/>
                </w:tcPr>
                <w:p>
                  <w:pPr>
                    <w:pStyle w:val="19"/>
                    <w:bidi w:val="0"/>
                    <w:rPr>
                      <w:rFonts w:hint="default"/>
                      <w:color w:val="auto"/>
                      <w:lang w:val="en-US" w:eastAsia="zh-CN"/>
                    </w:rPr>
                  </w:pPr>
                  <w:r>
                    <w:rPr>
                      <w:rFonts w:hint="default"/>
                      <w:color w:val="auto"/>
                      <w:lang w:val="en-US" w:eastAsia="zh-CN"/>
                    </w:rPr>
                    <w:t>距厂界最近点坐标</w:t>
                  </w:r>
                </w:p>
              </w:tc>
              <w:tc>
                <w:tcPr>
                  <w:tcW w:w="698" w:type="dxa"/>
                  <w:vMerge w:val="restart"/>
                  <w:vAlign w:val="center"/>
                </w:tcPr>
                <w:p>
                  <w:pPr>
                    <w:pStyle w:val="19"/>
                    <w:bidi w:val="0"/>
                    <w:rPr>
                      <w:rFonts w:hint="default"/>
                      <w:color w:val="auto"/>
                      <w:lang w:val="en-US" w:eastAsia="zh-CN"/>
                    </w:rPr>
                  </w:pPr>
                  <w:r>
                    <w:rPr>
                      <w:rFonts w:hint="default"/>
                      <w:color w:val="auto"/>
                      <w:lang w:val="en-US" w:eastAsia="zh-CN"/>
                    </w:rPr>
                    <w:t>保护对象</w:t>
                  </w:r>
                </w:p>
              </w:tc>
              <w:tc>
                <w:tcPr>
                  <w:tcW w:w="907" w:type="dxa"/>
                  <w:vMerge w:val="restart"/>
                  <w:vAlign w:val="center"/>
                </w:tcPr>
                <w:p>
                  <w:pPr>
                    <w:pStyle w:val="19"/>
                    <w:bidi w:val="0"/>
                    <w:rPr>
                      <w:rFonts w:hint="default"/>
                      <w:color w:val="auto"/>
                      <w:lang w:val="en-US" w:eastAsia="zh-CN"/>
                    </w:rPr>
                  </w:pPr>
                  <w:r>
                    <w:rPr>
                      <w:rFonts w:hint="default"/>
                      <w:color w:val="auto"/>
                      <w:lang w:val="en-US" w:eastAsia="zh-CN"/>
                    </w:rPr>
                    <w:t>保护内容</w:t>
                  </w:r>
                </w:p>
              </w:tc>
              <w:tc>
                <w:tcPr>
                  <w:tcW w:w="675" w:type="dxa"/>
                  <w:vMerge w:val="restart"/>
                  <w:vAlign w:val="center"/>
                </w:tcPr>
                <w:p>
                  <w:pPr>
                    <w:pStyle w:val="19"/>
                    <w:bidi w:val="0"/>
                    <w:rPr>
                      <w:rFonts w:hint="default"/>
                      <w:color w:val="auto"/>
                      <w:lang w:val="en-US" w:eastAsia="zh-CN"/>
                    </w:rPr>
                  </w:pPr>
                  <w:r>
                    <w:rPr>
                      <w:rFonts w:hint="default"/>
                      <w:color w:val="auto"/>
                      <w:lang w:val="en-US" w:eastAsia="zh-CN"/>
                    </w:rPr>
                    <w:t>环境功能区</w:t>
                  </w:r>
                </w:p>
              </w:tc>
              <w:tc>
                <w:tcPr>
                  <w:tcW w:w="735" w:type="dxa"/>
                  <w:vMerge w:val="restart"/>
                  <w:vAlign w:val="center"/>
                </w:tcPr>
                <w:p>
                  <w:pPr>
                    <w:pStyle w:val="19"/>
                    <w:bidi w:val="0"/>
                    <w:rPr>
                      <w:rFonts w:hint="default"/>
                      <w:color w:val="auto"/>
                      <w:lang w:val="en-US" w:eastAsia="zh-CN"/>
                    </w:rPr>
                  </w:pPr>
                  <w:r>
                    <w:rPr>
                      <w:rFonts w:hint="default"/>
                      <w:color w:val="auto"/>
                      <w:lang w:val="en-US" w:eastAsia="zh-CN"/>
                    </w:rPr>
                    <w:t>相对厂址方位</w:t>
                  </w:r>
                </w:p>
              </w:tc>
              <w:tc>
                <w:tcPr>
                  <w:tcW w:w="1046" w:type="dxa"/>
                  <w:vMerge w:val="restart"/>
                  <w:vAlign w:val="center"/>
                </w:tcPr>
                <w:p>
                  <w:pPr>
                    <w:pStyle w:val="19"/>
                    <w:bidi w:val="0"/>
                    <w:rPr>
                      <w:rFonts w:hint="default"/>
                      <w:color w:val="auto"/>
                      <w:lang w:val="en-US" w:eastAsia="zh-CN"/>
                    </w:rPr>
                  </w:pPr>
                  <w:r>
                    <w:rPr>
                      <w:rFonts w:hint="default"/>
                      <w:color w:val="auto"/>
                      <w:lang w:val="en-US" w:eastAsia="zh-CN"/>
                    </w:rPr>
                    <w:t>相对厂界距离范围</w:t>
                  </w:r>
                  <w:r>
                    <w:rPr>
                      <w:rFonts w:hint="eastAsia"/>
                      <w:color w:val="auto"/>
                      <w:lang w:val="en-US" w:eastAsia="zh-CN"/>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424" w:type="dxa"/>
                  <w:vMerge w:val="continue"/>
                  <w:vAlign w:val="center"/>
                </w:tcPr>
                <w:p>
                  <w:pPr>
                    <w:pStyle w:val="19"/>
                    <w:bidi w:val="0"/>
                    <w:rPr>
                      <w:rFonts w:hint="default"/>
                      <w:color w:val="auto"/>
                    </w:rPr>
                  </w:pPr>
                </w:p>
              </w:tc>
              <w:tc>
                <w:tcPr>
                  <w:tcW w:w="1118" w:type="dxa"/>
                  <w:vMerge w:val="continue"/>
                  <w:vAlign w:val="center"/>
                </w:tcPr>
                <w:p>
                  <w:pPr>
                    <w:pStyle w:val="19"/>
                    <w:bidi w:val="0"/>
                    <w:rPr>
                      <w:rFonts w:hint="default"/>
                      <w:color w:val="auto"/>
                    </w:rPr>
                  </w:pPr>
                </w:p>
              </w:tc>
              <w:tc>
                <w:tcPr>
                  <w:tcW w:w="1372" w:type="dxa"/>
                  <w:vAlign w:val="center"/>
                </w:tcPr>
                <w:p>
                  <w:pPr>
                    <w:pStyle w:val="19"/>
                    <w:bidi w:val="0"/>
                    <w:rPr>
                      <w:rFonts w:hint="default"/>
                      <w:color w:val="auto"/>
                      <w:lang w:val="en-US" w:eastAsia="zh-CN"/>
                    </w:rPr>
                  </w:pPr>
                  <w:r>
                    <w:rPr>
                      <w:rFonts w:hint="default"/>
                      <w:color w:val="auto"/>
                      <w:lang w:val="en-US" w:eastAsia="zh-CN"/>
                    </w:rPr>
                    <w:t>经度</w:t>
                  </w:r>
                </w:p>
              </w:tc>
              <w:tc>
                <w:tcPr>
                  <w:tcW w:w="1395" w:type="dxa"/>
                  <w:vAlign w:val="center"/>
                </w:tcPr>
                <w:p>
                  <w:pPr>
                    <w:pStyle w:val="19"/>
                    <w:bidi w:val="0"/>
                    <w:rPr>
                      <w:rFonts w:hint="default"/>
                      <w:color w:val="auto"/>
                      <w:lang w:val="en-US" w:eastAsia="zh-CN"/>
                    </w:rPr>
                  </w:pPr>
                  <w:r>
                    <w:rPr>
                      <w:rFonts w:hint="default"/>
                      <w:color w:val="auto"/>
                      <w:lang w:val="en-US" w:eastAsia="zh-CN"/>
                    </w:rPr>
                    <w:t>纬度</w:t>
                  </w:r>
                </w:p>
              </w:tc>
              <w:tc>
                <w:tcPr>
                  <w:tcW w:w="698" w:type="dxa"/>
                  <w:vMerge w:val="continue"/>
                  <w:vAlign w:val="center"/>
                </w:tcPr>
                <w:p>
                  <w:pPr>
                    <w:pStyle w:val="19"/>
                    <w:bidi w:val="0"/>
                    <w:rPr>
                      <w:rFonts w:hint="default"/>
                      <w:color w:val="auto"/>
                      <w:lang w:val="en-US" w:eastAsia="zh-CN"/>
                    </w:rPr>
                  </w:pPr>
                </w:p>
              </w:tc>
              <w:tc>
                <w:tcPr>
                  <w:tcW w:w="907" w:type="dxa"/>
                  <w:vMerge w:val="continue"/>
                  <w:vAlign w:val="center"/>
                </w:tcPr>
                <w:p>
                  <w:pPr>
                    <w:pStyle w:val="19"/>
                    <w:bidi w:val="0"/>
                    <w:rPr>
                      <w:rFonts w:hint="default"/>
                      <w:color w:val="auto"/>
                      <w:lang w:val="en-US" w:eastAsia="zh-CN"/>
                    </w:rPr>
                  </w:pPr>
                </w:p>
              </w:tc>
              <w:tc>
                <w:tcPr>
                  <w:tcW w:w="675" w:type="dxa"/>
                  <w:vMerge w:val="continue"/>
                  <w:vAlign w:val="center"/>
                </w:tcPr>
                <w:p>
                  <w:pPr>
                    <w:pStyle w:val="19"/>
                    <w:bidi w:val="0"/>
                    <w:rPr>
                      <w:rFonts w:hint="default"/>
                      <w:color w:val="auto"/>
                      <w:lang w:val="en-US" w:eastAsia="zh-CN"/>
                    </w:rPr>
                  </w:pPr>
                </w:p>
              </w:tc>
              <w:tc>
                <w:tcPr>
                  <w:tcW w:w="735" w:type="dxa"/>
                  <w:vMerge w:val="continue"/>
                  <w:vAlign w:val="center"/>
                </w:tcPr>
                <w:p>
                  <w:pPr>
                    <w:pStyle w:val="19"/>
                    <w:bidi w:val="0"/>
                    <w:rPr>
                      <w:rFonts w:hint="default"/>
                      <w:color w:val="auto"/>
                      <w:lang w:val="en-US" w:eastAsia="zh-CN"/>
                    </w:rPr>
                  </w:pPr>
                </w:p>
              </w:tc>
              <w:tc>
                <w:tcPr>
                  <w:tcW w:w="1046" w:type="dxa"/>
                  <w:vMerge w:val="continue"/>
                  <w:vAlign w:val="center"/>
                </w:tcPr>
                <w:p>
                  <w:pPr>
                    <w:pStyle w:val="19"/>
                    <w:bidi w:val="0"/>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trPr>
              <w:tc>
                <w:tcPr>
                  <w:tcW w:w="424" w:type="dxa"/>
                  <w:vMerge w:val="restart"/>
                  <w:vAlign w:val="center"/>
                </w:tcPr>
                <w:p>
                  <w:pPr>
                    <w:pStyle w:val="19"/>
                    <w:bidi w:val="0"/>
                    <w:rPr>
                      <w:rFonts w:hint="default"/>
                      <w:color w:val="auto"/>
                      <w:lang w:val="en-US" w:eastAsia="zh-CN"/>
                    </w:rPr>
                  </w:pPr>
                  <w:r>
                    <w:rPr>
                      <w:rFonts w:hint="default"/>
                      <w:color w:val="auto"/>
                      <w:lang w:val="en-US" w:eastAsia="zh-CN"/>
                    </w:rPr>
                    <w:t>大气环境</w:t>
                  </w:r>
                </w:p>
              </w:tc>
              <w:tc>
                <w:tcPr>
                  <w:tcW w:w="1118" w:type="dxa"/>
                  <w:vAlign w:val="center"/>
                </w:tcPr>
                <w:p>
                  <w:pPr>
                    <w:pStyle w:val="19"/>
                    <w:bidi w:val="0"/>
                    <w:rPr>
                      <w:rFonts w:hint="default"/>
                      <w:color w:val="auto"/>
                      <w:lang w:val="en-US" w:eastAsia="zh-CN"/>
                    </w:rPr>
                  </w:pPr>
                  <w:r>
                    <w:rPr>
                      <w:rFonts w:hint="eastAsia"/>
                      <w:color w:val="auto"/>
                      <w:lang w:val="en-US" w:eastAsia="zh-CN"/>
                    </w:rPr>
                    <w:t>江霞向阳安置小区</w:t>
                  </w:r>
                </w:p>
              </w:tc>
              <w:tc>
                <w:tcPr>
                  <w:tcW w:w="1372" w:type="dxa"/>
                  <w:vAlign w:val="center"/>
                </w:tcPr>
                <w:p>
                  <w:pPr>
                    <w:pStyle w:val="19"/>
                    <w:bidi w:val="0"/>
                    <w:rPr>
                      <w:rFonts w:hint="default"/>
                      <w:color w:val="auto"/>
                      <w:lang w:val="en-US" w:eastAsia="zh-CN"/>
                    </w:rPr>
                  </w:pPr>
                  <w:r>
                    <w:rPr>
                      <w:rFonts w:hint="eastAsia"/>
                      <w:color w:val="auto"/>
                    </w:rPr>
                    <w:t>112.6</w:t>
                  </w:r>
                  <w:r>
                    <w:rPr>
                      <w:rFonts w:hint="eastAsia"/>
                      <w:color w:val="auto"/>
                      <w:lang w:val="en-US" w:eastAsia="zh-CN"/>
                    </w:rPr>
                    <w:t>47520</w:t>
                  </w:r>
                  <w:r>
                    <w:rPr>
                      <w:rFonts w:hint="default"/>
                      <w:color w:val="auto"/>
                      <w:lang w:val="en-US" w:eastAsia="zh-CN"/>
                    </w:rPr>
                    <w:t>°</w:t>
                  </w:r>
                </w:p>
              </w:tc>
              <w:tc>
                <w:tcPr>
                  <w:tcW w:w="1395" w:type="dxa"/>
                  <w:vAlign w:val="center"/>
                </w:tcPr>
                <w:p>
                  <w:pPr>
                    <w:pStyle w:val="19"/>
                    <w:bidi w:val="0"/>
                    <w:rPr>
                      <w:rFonts w:hint="default"/>
                      <w:color w:val="auto"/>
                      <w:lang w:val="en-US" w:eastAsia="zh-CN"/>
                    </w:rPr>
                  </w:pPr>
                  <w:r>
                    <w:rPr>
                      <w:rFonts w:hint="eastAsia"/>
                      <w:color w:val="auto"/>
                    </w:rPr>
                    <w:t>26.</w:t>
                  </w:r>
                  <w:r>
                    <w:rPr>
                      <w:rFonts w:hint="eastAsia"/>
                      <w:color w:val="auto"/>
                      <w:lang w:val="en-US" w:eastAsia="zh-CN"/>
                    </w:rPr>
                    <w:t>949860</w:t>
                  </w:r>
                  <w:r>
                    <w:rPr>
                      <w:rFonts w:hint="default"/>
                      <w:color w:val="auto"/>
                      <w:lang w:val="en-US" w:eastAsia="zh-CN"/>
                    </w:rPr>
                    <w:t>°</w:t>
                  </w:r>
                </w:p>
              </w:tc>
              <w:tc>
                <w:tcPr>
                  <w:tcW w:w="698" w:type="dxa"/>
                  <w:vAlign w:val="center"/>
                </w:tcPr>
                <w:p>
                  <w:pPr>
                    <w:pStyle w:val="19"/>
                    <w:bidi w:val="0"/>
                    <w:rPr>
                      <w:rFonts w:hint="default"/>
                      <w:color w:val="auto"/>
                      <w:lang w:val="en-US" w:eastAsia="zh-CN"/>
                    </w:rPr>
                  </w:pPr>
                  <w:r>
                    <w:rPr>
                      <w:rFonts w:hint="eastAsia"/>
                      <w:color w:val="auto"/>
                      <w:lang w:val="en-US" w:eastAsia="zh-CN"/>
                    </w:rPr>
                    <w:t>居民</w:t>
                  </w:r>
                </w:p>
              </w:tc>
              <w:tc>
                <w:tcPr>
                  <w:tcW w:w="907" w:type="dxa"/>
                  <w:vAlign w:val="center"/>
                </w:tcPr>
                <w:p>
                  <w:pPr>
                    <w:pStyle w:val="19"/>
                    <w:bidi w:val="0"/>
                    <w:rPr>
                      <w:rFonts w:hint="default"/>
                      <w:color w:val="auto"/>
                      <w:lang w:val="en-US" w:eastAsia="zh-CN"/>
                    </w:rPr>
                  </w:pPr>
                  <w:r>
                    <w:rPr>
                      <w:rFonts w:hint="eastAsia"/>
                      <w:color w:val="auto"/>
                      <w:lang w:val="en-US" w:eastAsia="zh-CN"/>
                    </w:rPr>
                    <w:t>约600人</w:t>
                  </w:r>
                </w:p>
              </w:tc>
              <w:tc>
                <w:tcPr>
                  <w:tcW w:w="675" w:type="dxa"/>
                  <w:vMerge w:val="restart"/>
                  <w:vAlign w:val="center"/>
                </w:tcPr>
                <w:p>
                  <w:pPr>
                    <w:pStyle w:val="19"/>
                    <w:bidi w:val="0"/>
                    <w:rPr>
                      <w:rFonts w:hint="default"/>
                      <w:color w:val="auto"/>
                      <w:lang w:val="en-US" w:eastAsia="zh-CN"/>
                    </w:rPr>
                  </w:pPr>
                  <w:r>
                    <w:rPr>
                      <w:rFonts w:hint="eastAsia"/>
                      <w:color w:val="auto"/>
                      <w:lang w:val="en-US" w:eastAsia="zh-CN"/>
                    </w:rPr>
                    <w:t>环境空气质量二级标准</w:t>
                  </w:r>
                </w:p>
              </w:tc>
              <w:tc>
                <w:tcPr>
                  <w:tcW w:w="735" w:type="dxa"/>
                  <w:vAlign w:val="center"/>
                </w:tcPr>
                <w:p>
                  <w:pPr>
                    <w:pStyle w:val="19"/>
                    <w:bidi w:val="0"/>
                    <w:rPr>
                      <w:rFonts w:hint="default"/>
                      <w:color w:val="auto"/>
                      <w:lang w:val="en-US" w:eastAsia="zh-CN"/>
                    </w:rPr>
                  </w:pPr>
                  <w:r>
                    <w:rPr>
                      <w:rFonts w:hint="eastAsia"/>
                      <w:color w:val="auto"/>
                      <w:lang w:val="en-US" w:eastAsia="zh-CN"/>
                    </w:rPr>
                    <w:t>南</w:t>
                  </w:r>
                </w:p>
              </w:tc>
              <w:tc>
                <w:tcPr>
                  <w:tcW w:w="1046" w:type="dxa"/>
                  <w:vAlign w:val="center"/>
                </w:tcPr>
                <w:p>
                  <w:pPr>
                    <w:pStyle w:val="19"/>
                    <w:bidi w:val="0"/>
                    <w:rPr>
                      <w:rFonts w:hint="default"/>
                      <w:color w:val="auto"/>
                      <w:lang w:val="en-US" w:eastAsia="zh-CN"/>
                    </w:rPr>
                  </w:pPr>
                  <w:r>
                    <w:rPr>
                      <w:rFonts w:hint="eastAsia"/>
                      <w:color w:val="auto"/>
                      <w:lang w:val="en-US" w:eastAsia="zh-CN"/>
                    </w:rPr>
                    <w:t>240~355m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6" w:hRule="atLeast"/>
              </w:trPr>
              <w:tc>
                <w:tcPr>
                  <w:tcW w:w="424" w:type="dxa"/>
                  <w:vMerge w:val="continue"/>
                  <w:vAlign w:val="center"/>
                </w:tcPr>
                <w:p>
                  <w:pPr>
                    <w:pStyle w:val="19"/>
                    <w:bidi w:val="0"/>
                    <w:rPr>
                      <w:rFonts w:hint="default"/>
                      <w:color w:val="auto"/>
                      <w:lang w:val="en-US" w:eastAsia="zh-CN"/>
                    </w:rPr>
                  </w:pPr>
                </w:p>
              </w:tc>
              <w:tc>
                <w:tcPr>
                  <w:tcW w:w="1118" w:type="dxa"/>
                  <w:vAlign w:val="center"/>
                </w:tcPr>
                <w:p>
                  <w:pPr>
                    <w:pStyle w:val="19"/>
                    <w:bidi w:val="0"/>
                    <w:rPr>
                      <w:rFonts w:hint="default"/>
                      <w:color w:val="auto"/>
                      <w:lang w:val="en-US" w:eastAsia="zh-CN"/>
                    </w:rPr>
                  </w:pPr>
                  <w:r>
                    <w:rPr>
                      <w:rFonts w:hint="eastAsia"/>
                      <w:color w:val="auto"/>
                      <w:lang w:val="en-US" w:eastAsia="zh-CN"/>
                    </w:rPr>
                    <w:t>江霞小学</w:t>
                  </w:r>
                </w:p>
              </w:tc>
              <w:tc>
                <w:tcPr>
                  <w:tcW w:w="1372" w:type="dxa"/>
                  <w:vAlign w:val="center"/>
                </w:tcPr>
                <w:p>
                  <w:pPr>
                    <w:pStyle w:val="19"/>
                    <w:bidi w:val="0"/>
                    <w:rPr>
                      <w:rFonts w:hint="default"/>
                      <w:color w:val="auto"/>
                      <w:lang w:val="en-US" w:eastAsia="zh-CN"/>
                    </w:rPr>
                  </w:pPr>
                  <w:r>
                    <w:rPr>
                      <w:rFonts w:hint="eastAsia"/>
                      <w:color w:val="auto"/>
                      <w:lang w:val="en-US" w:eastAsia="zh-CN"/>
                    </w:rPr>
                    <w:t>112.646157</w:t>
                  </w:r>
                  <w:r>
                    <w:rPr>
                      <w:rFonts w:hint="default"/>
                      <w:color w:val="auto"/>
                      <w:lang w:val="en-US" w:eastAsia="zh-CN"/>
                    </w:rPr>
                    <w:t>°</w:t>
                  </w:r>
                </w:p>
              </w:tc>
              <w:tc>
                <w:tcPr>
                  <w:tcW w:w="1395" w:type="dxa"/>
                  <w:vAlign w:val="center"/>
                </w:tcPr>
                <w:p>
                  <w:pPr>
                    <w:pStyle w:val="19"/>
                    <w:bidi w:val="0"/>
                    <w:rPr>
                      <w:rFonts w:hint="default"/>
                      <w:color w:val="auto"/>
                      <w:lang w:val="en-US" w:eastAsia="zh-CN"/>
                    </w:rPr>
                  </w:pPr>
                  <w:r>
                    <w:rPr>
                      <w:rFonts w:hint="eastAsia"/>
                      <w:color w:val="auto"/>
                      <w:lang w:val="en-US" w:eastAsia="zh-CN"/>
                    </w:rPr>
                    <w:t>26.948683</w:t>
                  </w:r>
                  <w:r>
                    <w:rPr>
                      <w:rFonts w:hint="default"/>
                      <w:color w:val="auto"/>
                      <w:lang w:val="en-US" w:eastAsia="zh-CN"/>
                    </w:rPr>
                    <w:t>°</w:t>
                  </w:r>
                </w:p>
              </w:tc>
              <w:tc>
                <w:tcPr>
                  <w:tcW w:w="698" w:type="dxa"/>
                  <w:vAlign w:val="center"/>
                </w:tcPr>
                <w:p>
                  <w:pPr>
                    <w:pStyle w:val="19"/>
                    <w:bidi w:val="0"/>
                    <w:rPr>
                      <w:rFonts w:hint="default"/>
                      <w:color w:val="auto"/>
                      <w:lang w:val="en-US" w:eastAsia="zh-CN"/>
                    </w:rPr>
                  </w:pPr>
                  <w:r>
                    <w:rPr>
                      <w:rFonts w:hint="eastAsia"/>
                      <w:color w:val="auto"/>
                      <w:lang w:val="en-US" w:eastAsia="zh-CN"/>
                    </w:rPr>
                    <w:t>师生</w:t>
                  </w:r>
                </w:p>
              </w:tc>
              <w:tc>
                <w:tcPr>
                  <w:tcW w:w="907" w:type="dxa"/>
                  <w:vAlign w:val="center"/>
                </w:tcPr>
                <w:p>
                  <w:pPr>
                    <w:pStyle w:val="19"/>
                    <w:bidi w:val="0"/>
                    <w:rPr>
                      <w:rFonts w:hint="default"/>
                      <w:color w:val="auto"/>
                      <w:lang w:val="en-US" w:eastAsia="zh-CN"/>
                    </w:rPr>
                  </w:pPr>
                  <w:r>
                    <w:rPr>
                      <w:rFonts w:hint="eastAsia"/>
                      <w:color w:val="auto"/>
                      <w:lang w:val="en-US" w:eastAsia="zh-CN"/>
                    </w:rPr>
                    <w:t>约1000人</w:t>
                  </w:r>
                </w:p>
              </w:tc>
              <w:tc>
                <w:tcPr>
                  <w:tcW w:w="675" w:type="dxa"/>
                  <w:vMerge w:val="continue"/>
                  <w:vAlign w:val="center"/>
                </w:tcPr>
                <w:p>
                  <w:pPr>
                    <w:pStyle w:val="19"/>
                    <w:bidi w:val="0"/>
                    <w:rPr>
                      <w:rFonts w:hint="default"/>
                      <w:color w:val="auto"/>
                      <w:lang w:val="en-US" w:eastAsia="zh-CN"/>
                    </w:rPr>
                  </w:pPr>
                </w:p>
              </w:tc>
              <w:tc>
                <w:tcPr>
                  <w:tcW w:w="735" w:type="dxa"/>
                  <w:vAlign w:val="center"/>
                </w:tcPr>
                <w:p>
                  <w:pPr>
                    <w:pStyle w:val="19"/>
                    <w:bidi w:val="0"/>
                    <w:rPr>
                      <w:rFonts w:hint="default"/>
                      <w:color w:val="auto"/>
                      <w:lang w:val="en-US" w:eastAsia="zh-CN"/>
                    </w:rPr>
                  </w:pPr>
                  <w:r>
                    <w:rPr>
                      <w:rFonts w:hint="eastAsia"/>
                      <w:color w:val="auto"/>
                      <w:lang w:val="en-US" w:eastAsia="zh-CN"/>
                    </w:rPr>
                    <w:t>南</w:t>
                  </w:r>
                </w:p>
              </w:tc>
              <w:tc>
                <w:tcPr>
                  <w:tcW w:w="1046" w:type="dxa"/>
                  <w:vAlign w:val="center"/>
                </w:tcPr>
                <w:p>
                  <w:pPr>
                    <w:pStyle w:val="19"/>
                    <w:bidi w:val="0"/>
                    <w:rPr>
                      <w:rFonts w:hint="default"/>
                      <w:color w:val="auto"/>
                      <w:lang w:val="en-US" w:eastAsia="zh-CN"/>
                    </w:rPr>
                  </w:pPr>
                  <w:r>
                    <w:rPr>
                      <w:rFonts w:hint="eastAsia"/>
                      <w:color w:val="auto"/>
                      <w:lang w:val="en-US" w:eastAsia="zh-CN"/>
                    </w:rPr>
                    <w:t>375~500m</w:t>
                  </w:r>
                </w:p>
              </w:tc>
            </w:tr>
          </w:tbl>
          <w:p>
            <w:pPr>
              <w:pStyle w:val="8"/>
              <w:bidi w:val="0"/>
              <w:rPr>
                <w:rFonts w:hint="eastAsia"/>
                <w:color w:val="auto"/>
                <w:lang w:val="en-US" w:eastAsia="zh-CN"/>
              </w:rPr>
            </w:pPr>
            <w:r>
              <w:rPr>
                <w:rFonts w:hint="eastAsia"/>
                <w:color w:val="auto"/>
                <w:lang w:val="en-US" w:eastAsia="zh-CN"/>
              </w:rPr>
              <w:t>2、地下水保护目标</w:t>
            </w:r>
          </w:p>
          <w:p>
            <w:pPr>
              <w:bidi w:val="0"/>
              <w:rPr>
                <w:rFonts w:hint="eastAsia"/>
                <w:color w:val="auto"/>
                <w:lang w:val="en-US" w:eastAsia="zh-CN"/>
              </w:rPr>
            </w:pPr>
            <w:r>
              <w:rPr>
                <w:rFonts w:hint="eastAsia"/>
                <w:color w:val="auto"/>
                <w:lang w:val="en-US" w:eastAsia="zh-CN"/>
              </w:rPr>
              <w:t>本项目厂界外500m范围内无地下水集中式饮用水水源和热水、矿泉水、温泉等特殊地下水资源。</w:t>
            </w:r>
          </w:p>
          <w:p>
            <w:pPr>
              <w:pStyle w:val="8"/>
              <w:numPr>
                <w:ilvl w:val="0"/>
                <w:numId w:val="2"/>
              </w:numPr>
              <w:bidi w:val="0"/>
              <w:rPr>
                <w:rFonts w:hint="default"/>
                <w:color w:val="auto"/>
                <w:lang w:val="en-US" w:eastAsia="zh-CN"/>
              </w:rPr>
            </w:pPr>
            <w:r>
              <w:rPr>
                <w:rFonts w:hint="eastAsia"/>
                <w:color w:val="auto"/>
                <w:lang w:val="en-US" w:eastAsia="zh-CN"/>
              </w:rPr>
              <w:t>地表水环境</w:t>
            </w:r>
          </w:p>
          <w:p>
            <w:pPr>
              <w:pStyle w:val="18"/>
              <w:bidi w:val="0"/>
              <w:rPr>
                <w:rFonts w:hint="default"/>
                <w:color w:val="auto"/>
                <w:lang w:val="en-US" w:eastAsia="zh-CN"/>
              </w:rPr>
            </w:pPr>
            <w:r>
              <w:rPr>
                <w:rFonts w:hint="eastAsia"/>
                <w:color w:val="auto"/>
                <w:lang w:val="en-US" w:eastAsia="zh-CN"/>
              </w:rPr>
              <w:t>表12 地表水环境保护目标一览表</w:t>
            </w:r>
          </w:p>
          <w:tbl>
            <w:tblPr>
              <w:tblStyle w:val="16"/>
              <w:tblW w:w="83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9"/>
              <w:gridCol w:w="2445"/>
              <w:gridCol w:w="1290"/>
              <w:gridCol w:w="1335"/>
              <w:gridCol w:w="960"/>
              <w:gridCol w:w="12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1069" w:type="dxa"/>
                  <w:vAlign w:val="center"/>
                </w:tcPr>
                <w:p>
                  <w:pPr>
                    <w:pStyle w:val="19"/>
                    <w:bidi w:val="0"/>
                    <w:ind w:firstLine="0" w:firstLineChars="0"/>
                    <w:jc w:val="center"/>
                    <w:rPr>
                      <w:rFonts w:hint="eastAsia"/>
                      <w:color w:val="auto"/>
                      <w:vertAlign w:val="baseline"/>
                      <w:lang w:val="en-US" w:eastAsia="zh-CN"/>
                    </w:rPr>
                  </w:pPr>
                  <w:r>
                    <w:rPr>
                      <w:rFonts w:hint="default"/>
                      <w:color w:val="auto"/>
                      <w:lang w:val="en-US" w:eastAsia="zh-CN"/>
                    </w:rPr>
                    <w:t>敏感要素</w:t>
                  </w:r>
                </w:p>
              </w:tc>
              <w:tc>
                <w:tcPr>
                  <w:tcW w:w="2445" w:type="dxa"/>
                  <w:vAlign w:val="center"/>
                </w:tcPr>
                <w:p>
                  <w:pPr>
                    <w:pStyle w:val="19"/>
                    <w:bidi w:val="0"/>
                    <w:ind w:firstLine="0" w:firstLineChars="0"/>
                    <w:jc w:val="center"/>
                    <w:rPr>
                      <w:rFonts w:hint="eastAsia"/>
                      <w:color w:val="auto"/>
                      <w:vertAlign w:val="baseline"/>
                      <w:lang w:val="en-US" w:eastAsia="zh-CN"/>
                    </w:rPr>
                  </w:pPr>
                  <w:r>
                    <w:rPr>
                      <w:rFonts w:hint="default"/>
                      <w:color w:val="auto"/>
                      <w:lang w:val="en-US" w:eastAsia="zh-CN"/>
                    </w:rPr>
                    <w:t>名称</w:t>
                  </w:r>
                </w:p>
              </w:tc>
              <w:tc>
                <w:tcPr>
                  <w:tcW w:w="1290" w:type="dxa"/>
                  <w:vAlign w:val="center"/>
                </w:tcPr>
                <w:p>
                  <w:pPr>
                    <w:pStyle w:val="19"/>
                    <w:bidi w:val="0"/>
                    <w:ind w:firstLine="0" w:firstLineChars="0"/>
                    <w:jc w:val="center"/>
                    <w:rPr>
                      <w:rFonts w:hint="default"/>
                      <w:color w:val="auto"/>
                      <w:vertAlign w:val="baseline"/>
                      <w:lang w:eastAsia="zh-CN"/>
                    </w:rPr>
                  </w:pPr>
                  <w:r>
                    <w:rPr>
                      <w:rFonts w:hint="default"/>
                      <w:color w:val="auto"/>
                      <w:lang w:eastAsia="zh-CN"/>
                    </w:rPr>
                    <w:t>保护对象</w:t>
                  </w:r>
                </w:p>
              </w:tc>
              <w:tc>
                <w:tcPr>
                  <w:tcW w:w="1335" w:type="dxa"/>
                  <w:vAlign w:val="center"/>
                </w:tcPr>
                <w:p>
                  <w:pPr>
                    <w:pStyle w:val="19"/>
                    <w:bidi w:val="0"/>
                    <w:ind w:firstLine="0" w:firstLineChars="0"/>
                    <w:jc w:val="center"/>
                    <w:rPr>
                      <w:rFonts w:hint="eastAsia"/>
                      <w:color w:val="auto"/>
                      <w:vertAlign w:val="baseline"/>
                      <w:lang w:val="en-US" w:eastAsia="zh-CN"/>
                    </w:rPr>
                  </w:pPr>
                  <w:r>
                    <w:rPr>
                      <w:rFonts w:hint="default"/>
                      <w:color w:val="auto"/>
                      <w:lang w:val="en-US" w:eastAsia="zh-CN"/>
                    </w:rPr>
                    <w:t>环境功能区</w:t>
                  </w:r>
                </w:p>
              </w:tc>
              <w:tc>
                <w:tcPr>
                  <w:tcW w:w="960" w:type="dxa"/>
                  <w:vAlign w:val="center"/>
                </w:tcPr>
                <w:p>
                  <w:pPr>
                    <w:pStyle w:val="19"/>
                    <w:bidi w:val="0"/>
                    <w:ind w:firstLine="0" w:firstLineChars="0"/>
                    <w:jc w:val="center"/>
                    <w:rPr>
                      <w:rFonts w:hint="eastAsia"/>
                      <w:color w:val="auto"/>
                      <w:vertAlign w:val="baseline"/>
                      <w:lang w:val="en-US" w:eastAsia="zh-CN"/>
                    </w:rPr>
                  </w:pPr>
                  <w:r>
                    <w:rPr>
                      <w:rFonts w:hint="default"/>
                      <w:color w:val="auto"/>
                      <w:lang w:val="en-US" w:eastAsia="zh-CN"/>
                    </w:rPr>
                    <w:t>相对厂址方位</w:t>
                  </w:r>
                </w:p>
              </w:tc>
              <w:tc>
                <w:tcPr>
                  <w:tcW w:w="1271" w:type="dxa"/>
                  <w:vAlign w:val="center"/>
                </w:tcPr>
                <w:p>
                  <w:pPr>
                    <w:pStyle w:val="19"/>
                    <w:bidi w:val="0"/>
                    <w:ind w:firstLine="0" w:firstLineChars="0"/>
                    <w:jc w:val="center"/>
                    <w:rPr>
                      <w:rFonts w:hint="eastAsia"/>
                      <w:color w:val="auto"/>
                      <w:vertAlign w:val="baseline"/>
                      <w:lang w:val="en-US" w:eastAsia="zh-CN"/>
                    </w:rPr>
                  </w:pPr>
                  <w:r>
                    <w:rPr>
                      <w:rFonts w:hint="default"/>
                      <w:color w:val="auto"/>
                      <w:lang w:val="en-US" w:eastAsia="zh-CN"/>
                    </w:rPr>
                    <w:t>相对厂界距离范围</w:t>
                  </w:r>
                  <w:r>
                    <w:rPr>
                      <w:rFonts w:hint="eastAsia"/>
                      <w:color w:val="auto"/>
                      <w:lang w:val="en-US" w:eastAsia="zh-CN"/>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9" w:type="dxa"/>
                  <w:vAlign w:val="center"/>
                </w:tcPr>
                <w:p>
                  <w:pPr>
                    <w:pStyle w:val="19"/>
                    <w:bidi w:val="0"/>
                    <w:rPr>
                      <w:rFonts w:hint="eastAsia"/>
                      <w:color w:val="auto"/>
                      <w:vertAlign w:val="baseline"/>
                      <w:lang w:val="en-US" w:eastAsia="zh-CN"/>
                    </w:rPr>
                  </w:pPr>
                  <w:r>
                    <w:rPr>
                      <w:rFonts w:hint="eastAsia"/>
                      <w:color w:val="auto"/>
                      <w:lang w:val="en-US" w:eastAsia="zh-CN"/>
                    </w:rPr>
                    <w:t>地表水环境</w:t>
                  </w:r>
                </w:p>
              </w:tc>
              <w:tc>
                <w:tcPr>
                  <w:tcW w:w="2445" w:type="dxa"/>
                  <w:vAlign w:val="center"/>
                </w:tcPr>
                <w:p>
                  <w:pPr>
                    <w:pStyle w:val="19"/>
                    <w:bidi w:val="0"/>
                    <w:ind w:firstLine="0" w:firstLineChars="0"/>
                    <w:rPr>
                      <w:rFonts w:hint="eastAsia"/>
                      <w:color w:val="auto"/>
                      <w:vertAlign w:val="baseline"/>
                      <w:lang w:val="en-US" w:eastAsia="zh-CN"/>
                    </w:rPr>
                  </w:pPr>
                  <w:r>
                    <w:rPr>
                      <w:rFonts w:hint="eastAsia"/>
                      <w:color w:val="auto"/>
                      <w:lang w:val="en-US" w:eastAsia="zh-CN"/>
                    </w:rPr>
                    <w:t>湘江（蒸水口至大浦镇狮塘村上游600米）</w:t>
                  </w:r>
                </w:p>
              </w:tc>
              <w:tc>
                <w:tcPr>
                  <w:tcW w:w="1290" w:type="dxa"/>
                  <w:vAlign w:val="center"/>
                </w:tcPr>
                <w:p>
                  <w:pPr>
                    <w:pStyle w:val="19"/>
                    <w:bidi w:val="0"/>
                    <w:rPr>
                      <w:rFonts w:hint="default"/>
                      <w:color w:val="auto"/>
                      <w:lang w:eastAsia="zh-CN"/>
                    </w:rPr>
                  </w:pPr>
                  <w:r>
                    <w:rPr>
                      <w:rFonts w:hint="default"/>
                      <w:color w:val="auto"/>
                      <w:lang w:eastAsia="zh-CN"/>
                    </w:rPr>
                    <w:t>大河</w:t>
                  </w:r>
                </w:p>
              </w:tc>
              <w:tc>
                <w:tcPr>
                  <w:tcW w:w="1335" w:type="dxa"/>
                  <w:vAlign w:val="center"/>
                </w:tcPr>
                <w:p>
                  <w:pPr>
                    <w:pStyle w:val="19"/>
                    <w:bidi w:val="0"/>
                    <w:rPr>
                      <w:rFonts w:hint="eastAsia"/>
                      <w:color w:val="auto"/>
                      <w:lang w:val="en-US" w:eastAsia="zh-CN"/>
                    </w:rPr>
                  </w:pPr>
                  <w:r>
                    <w:rPr>
                      <w:rFonts w:hint="eastAsia"/>
                      <w:color w:val="auto"/>
                      <w:lang w:val="en-US" w:eastAsia="zh-CN"/>
                    </w:rPr>
                    <w:t>地表水环境质量</w:t>
                  </w:r>
                  <w:r>
                    <w:rPr>
                      <w:rFonts w:hint="default"/>
                      <w:color w:val="auto"/>
                      <w:lang w:val="en-US" w:eastAsia="zh-CN"/>
                    </w:rPr>
                    <w:t>Ⅲ</w:t>
                  </w:r>
                  <w:r>
                    <w:rPr>
                      <w:rFonts w:hint="eastAsia"/>
                      <w:color w:val="auto"/>
                      <w:lang w:val="en-US" w:eastAsia="zh-CN"/>
                    </w:rPr>
                    <w:t>类</w:t>
                  </w:r>
                </w:p>
              </w:tc>
              <w:tc>
                <w:tcPr>
                  <w:tcW w:w="960" w:type="dxa"/>
                  <w:vAlign w:val="center"/>
                </w:tcPr>
                <w:p>
                  <w:pPr>
                    <w:pStyle w:val="19"/>
                    <w:bidi w:val="0"/>
                    <w:ind w:firstLine="0" w:firstLineChars="0"/>
                    <w:rPr>
                      <w:rFonts w:hint="eastAsia"/>
                      <w:color w:val="auto"/>
                      <w:vertAlign w:val="baseline"/>
                      <w:lang w:val="en-US" w:eastAsia="zh-CN"/>
                    </w:rPr>
                  </w:pPr>
                  <w:r>
                    <w:rPr>
                      <w:rFonts w:hint="eastAsia"/>
                      <w:color w:val="auto"/>
                      <w:lang w:val="en-US" w:eastAsia="zh-CN"/>
                    </w:rPr>
                    <w:t>东</w:t>
                  </w:r>
                </w:p>
              </w:tc>
              <w:tc>
                <w:tcPr>
                  <w:tcW w:w="1271" w:type="dxa"/>
                  <w:vAlign w:val="center"/>
                </w:tcPr>
                <w:p>
                  <w:pPr>
                    <w:pStyle w:val="19"/>
                    <w:bidi w:val="0"/>
                    <w:ind w:firstLine="0" w:firstLineChars="0"/>
                    <w:rPr>
                      <w:rFonts w:hint="eastAsia"/>
                      <w:color w:val="auto"/>
                      <w:vertAlign w:val="baseline"/>
                      <w:lang w:val="en-US" w:eastAsia="zh-CN"/>
                    </w:rPr>
                  </w:pPr>
                  <w:r>
                    <w:rPr>
                      <w:rFonts w:hint="eastAsia"/>
                      <w:color w:val="auto"/>
                      <w:lang w:val="en-US" w:eastAsia="zh-CN"/>
                    </w:rPr>
                    <w:t>150m</w:t>
                  </w:r>
                </w:p>
              </w:tc>
            </w:tr>
          </w:tbl>
          <w:p>
            <w:pPr>
              <w:pStyle w:val="8"/>
              <w:numPr>
                <w:ilvl w:val="0"/>
                <w:numId w:val="2"/>
              </w:numPr>
              <w:bidi w:val="0"/>
              <w:rPr>
                <w:rFonts w:hint="default"/>
                <w:color w:val="auto"/>
                <w:lang w:eastAsia="zh-CN"/>
              </w:rPr>
            </w:pPr>
            <w:r>
              <w:rPr>
                <w:rFonts w:hint="default"/>
                <w:color w:val="auto"/>
                <w:lang w:eastAsia="zh-CN"/>
              </w:rPr>
              <w:t>声环境保护目标</w:t>
            </w:r>
          </w:p>
          <w:p>
            <w:pPr>
              <w:bidi w:val="0"/>
              <w:rPr>
                <w:rFonts w:hint="default"/>
                <w:color w:val="auto"/>
                <w:lang w:eastAsia="zh-CN"/>
              </w:rPr>
            </w:pPr>
            <w:r>
              <w:rPr>
                <w:rFonts w:hint="eastAsia"/>
                <w:color w:val="auto"/>
                <w:lang w:val="en-US" w:eastAsia="zh-CN"/>
              </w:rPr>
              <w:t>项目厂界外50米</w:t>
            </w:r>
            <w:r>
              <w:rPr>
                <w:rFonts w:hint="default"/>
                <w:color w:val="auto"/>
                <w:lang w:eastAsia="zh-CN"/>
              </w:rPr>
              <w:t>范围内</w:t>
            </w:r>
            <w:r>
              <w:rPr>
                <w:rFonts w:hint="eastAsia"/>
                <w:color w:val="auto"/>
                <w:lang w:val="en-US" w:eastAsia="zh-CN"/>
              </w:rPr>
              <w:t>无声环境保护目标</w:t>
            </w:r>
            <w:r>
              <w:rPr>
                <w:rFonts w:hint="default"/>
                <w:color w:val="auto"/>
                <w:lang w:eastAsia="zh-CN"/>
              </w:rPr>
              <w:t>。</w:t>
            </w:r>
          </w:p>
          <w:p>
            <w:pPr>
              <w:pStyle w:val="8"/>
              <w:bidi w:val="0"/>
              <w:rPr>
                <w:rFonts w:hint="default"/>
                <w:color w:val="auto"/>
                <w:lang w:val="en-US" w:eastAsia="zh-CN"/>
              </w:rPr>
            </w:pPr>
            <w:r>
              <w:rPr>
                <w:rFonts w:hint="eastAsia"/>
                <w:color w:val="auto"/>
                <w:lang w:val="en-US" w:eastAsia="zh-CN"/>
              </w:rPr>
              <w:t>5、生态环境目标</w:t>
            </w:r>
          </w:p>
          <w:p>
            <w:pPr>
              <w:pStyle w:val="18"/>
              <w:bidi w:val="0"/>
              <w:rPr>
                <w:rFonts w:hint="eastAsia"/>
                <w:color w:val="auto"/>
                <w:lang w:val="en-US" w:eastAsia="zh-CN"/>
              </w:rPr>
            </w:pPr>
            <w:r>
              <w:rPr>
                <w:rFonts w:hint="eastAsia"/>
                <w:color w:val="auto"/>
                <w:lang w:val="en-US" w:eastAsia="zh-CN"/>
              </w:rPr>
              <w:t>表13 生态环境保护目标一览表</w:t>
            </w:r>
          </w:p>
          <w:tbl>
            <w:tblPr>
              <w:tblStyle w:val="16"/>
              <w:tblW w:w="83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4"/>
              <w:gridCol w:w="1095"/>
              <w:gridCol w:w="1710"/>
              <w:gridCol w:w="1080"/>
              <w:gridCol w:w="1785"/>
              <w:gridCol w:w="20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694" w:type="dxa"/>
                  <w:vAlign w:val="center"/>
                </w:tcPr>
                <w:p>
                  <w:pPr>
                    <w:pStyle w:val="19"/>
                    <w:bidi w:val="0"/>
                    <w:jc w:val="center"/>
                    <w:rPr>
                      <w:rFonts w:hint="default"/>
                      <w:color w:val="auto"/>
                      <w:lang w:val="en-US" w:eastAsia="zh-CN"/>
                    </w:rPr>
                  </w:pPr>
                  <w:r>
                    <w:rPr>
                      <w:rFonts w:hint="eastAsia"/>
                      <w:color w:val="auto"/>
                      <w:lang w:val="en-US" w:eastAsia="zh-CN"/>
                    </w:rPr>
                    <w:t>环境要素</w:t>
                  </w:r>
                </w:p>
              </w:tc>
              <w:tc>
                <w:tcPr>
                  <w:tcW w:w="1095" w:type="dxa"/>
                  <w:vAlign w:val="center"/>
                </w:tcPr>
                <w:p>
                  <w:pPr>
                    <w:pStyle w:val="19"/>
                    <w:bidi w:val="0"/>
                    <w:jc w:val="center"/>
                    <w:rPr>
                      <w:rFonts w:hint="default"/>
                      <w:color w:val="auto"/>
                      <w:lang w:val="en-US" w:eastAsia="zh-CN"/>
                    </w:rPr>
                  </w:pPr>
                  <w:r>
                    <w:rPr>
                      <w:rFonts w:hint="eastAsia"/>
                      <w:color w:val="auto"/>
                      <w:lang w:val="en-US" w:eastAsia="zh-CN"/>
                    </w:rPr>
                    <w:t>敏感保护目标</w:t>
                  </w:r>
                </w:p>
              </w:tc>
              <w:tc>
                <w:tcPr>
                  <w:tcW w:w="1710" w:type="dxa"/>
                  <w:vAlign w:val="center"/>
                </w:tcPr>
                <w:p>
                  <w:pPr>
                    <w:pStyle w:val="19"/>
                    <w:bidi w:val="0"/>
                    <w:jc w:val="center"/>
                    <w:rPr>
                      <w:rFonts w:hint="default"/>
                      <w:color w:val="auto"/>
                      <w:lang w:val="en-US" w:eastAsia="zh-CN"/>
                    </w:rPr>
                  </w:pPr>
                  <w:r>
                    <w:rPr>
                      <w:rFonts w:hint="eastAsia"/>
                      <w:color w:val="auto"/>
                      <w:lang w:val="en-US" w:eastAsia="zh-CN"/>
                    </w:rPr>
                    <w:t>规模及特征</w:t>
                  </w:r>
                </w:p>
              </w:tc>
              <w:tc>
                <w:tcPr>
                  <w:tcW w:w="1080" w:type="dxa"/>
                  <w:vAlign w:val="center"/>
                </w:tcPr>
                <w:p>
                  <w:pPr>
                    <w:pStyle w:val="19"/>
                    <w:bidi w:val="0"/>
                    <w:jc w:val="center"/>
                    <w:rPr>
                      <w:rFonts w:hint="default"/>
                      <w:color w:val="auto"/>
                      <w:lang w:val="en-US" w:eastAsia="zh-CN"/>
                    </w:rPr>
                  </w:pPr>
                  <w:r>
                    <w:rPr>
                      <w:rFonts w:hint="eastAsia"/>
                      <w:color w:val="auto"/>
                      <w:lang w:val="en-US" w:eastAsia="zh-CN"/>
                    </w:rPr>
                    <w:t>与工程关系及特性</w:t>
                  </w:r>
                </w:p>
              </w:tc>
              <w:tc>
                <w:tcPr>
                  <w:tcW w:w="1785" w:type="dxa"/>
                  <w:vAlign w:val="center"/>
                </w:tcPr>
                <w:p>
                  <w:pPr>
                    <w:pStyle w:val="19"/>
                    <w:bidi w:val="0"/>
                    <w:jc w:val="center"/>
                    <w:rPr>
                      <w:rFonts w:hint="default"/>
                      <w:color w:val="auto"/>
                      <w:lang w:val="en-US" w:eastAsia="zh-CN"/>
                    </w:rPr>
                  </w:pPr>
                  <w:r>
                    <w:rPr>
                      <w:rFonts w:hint="eastAsia"/>
                      <w:color w:val="auto"/>
                      <w:lang w:val="en-US" w:eastAsia="zh-CN"/>
                    </w:rPr>
                    <w:t>影响源和时段</w:t>
                  </w:r>
                </w:p>
              </w:tc>
              <w:tc>
                <w:tcPr>
                  <w:tcW w:w="2006" w:type="dxa"/>
                  <w:vAlign w:val="center"/>
                </w:tcPr>
                <w:p>
                  <w:pPr>
                    <w:pStyle w:val="19"/>
                    <w:bidi w:val="0"/>
                    <w:jc w:val="center"/>
                    <w:rPr>
                      <w:rFonts w:hint="default"/>
                      <w:color w:val="auto"/>
                      <w:lang w:val="en-US" w:eastAsia="zh-CN"/>
                    </w:rPr>
                  </w:pPr>
                  <w:r>
                    <w:rPr>
                      <w:rFonts w:hint="eastAsia"/>
                      <w:color w:val="auto"/>
                      <w:lang w:val="en-US" w:eastAsia="zh-CN"/>
                    </w:rPr>
                    <w:t>保护要求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4" w:type="dxa"/>
                  <w:vMerge w:val="restart"/>
                  <w:vAlign w:val="center"/>
                </w:tcPr>
                <w:p>
                  <w:pPr>
                    <w:pStyle w:val="19"/>
                    <w:bidi w:val="0"/>
                    <w:jc w:val="center"/>
                    <w:rPr>
                      <w:rFonts w:hint="default"/>
                      <w:color w:val="auto"/>
                      <w:lang w:val="en-US" w:eastAsia="zh-CN"/>
                    </w:rPr>
                  </w:pPr>
                  <w:r>
                    <w:rPr>
                      <w:rFonts w:hint="eastAsia"/>
                      <w:color w:val="auto"/>
                      <w:lang w:val="en-US" w:eastAsia="zh-CN"/>
                    </w:rPr>
                    <w:t>生态环境</w:t>
                  </w:r>
                </w:p>
              </w:tc>
              <w:tc>
                <w:tcPr>
                  <w:tcW w:w="1095" w:type="dxa"/>
                  <w:vAlign w:val="center"/>
                </w:tcPr>
                <w:p>
                  <w:pPr>
                    <w:pStyle w:val="19"/>
                    <w:bidi w:val="0"/>
                    <w:jc w:val="center"/>
                    <w:rPr>
                      <w:rFonts w:hint="default"/>
                      <w:color w:val="auto"/>
                      <w:lang w:val="en-US" w:eastAsia="zh-CN"/>
                    </w:rPr>
                  </w:pPr>
                  <w:r>
                    <w:rPr>
                      <w:rFonts w:hint="eastAsia"/>
                      <w:color w:val="auto"/>
                      <w:lang w:val="en-US" w:eastAsia="zh-CN"/>
                    </w:rPr>
                    <w:t>土地资源</w:t>
                  </w:r>
                </w:p>
              </w:tc>
              <w:tc>
                <w:tcPr>
                  <w:tcW w:w="1710" w:type="dxa"/>
                  <w:vAlign w:val="center"/>
                </w:tcPr>
                <w:p>
                  <w:pPr>
                    <w:pStyle w:val="19"/>
                    <w:bidi w:val="0"/>
                    <w:jc w:val="center"/>
                    <w:rPr>
                      <w:rFonts w:hint="default"/>
                      <w:color w:val="auto"/>
                      <w:lang w:val="en-US" w:eastAsia="zh-CN"/>
                    </w:rPr>
                  </w:pPr>
                  <w:r>
                    <w:rPr>
                      <w:rFonts w:hint="eastAsia"/>
                      <w:color w:val="auto"/>
                      <w:lang w:val="en-US" w:eastAsia="zh-CN"/>
                    </w:rPr>
                    <w:t>临时占地</w:t>
                  </w:r>
                  <w:r>
                    <w:rPr>
                      <w:rFonts w:hint="eastAsia" w:ascii="Times New Roman" w:hAnsi="Times New Roman" w:eastAsia="宋体" w:cs="Times New Roman"/>
                      <w:i w:val="0"/>
                      <w:iCs w:val="0"/>
                      <w:color w:val="auto"/>
                      <w:kern w:val="0"/>
                      <w:sz w:val="21"/>
                      <w:szCs w:val="21"/>
                      <w:highlight w:val="none"/>
                      <w:u w:val="none"/>
                      <w:lang w:val="en-US" w:eastAsia="zh-CN" w:bidi="ar"/>
                    </w:rPr>
                    <w:t>3</w:t>
                  </w:r>
                  <w:r>
                    <w:rPr>
                      <w:rFonts w:hint="eastAsia" w:eastAsia="宋体" w:cs="Times New Roman"/>
                      <w:i w:val="0"/>
                      <w:iCs w:val="0"/>
                      <w:color w:val="auto"/>
                      <w:kern w:val="0"/>
                      <w:sz w:val="21"/>
                      <w:szCs w:val="21"/>
                      <w:highlight w:val="none"/>
                      <w:u w:val="none"/>
                      <w:lang w:val="en-US" w:eastAsia="zh-CN" w:bidi="ar"/>
                    </w:rPr>
                    <w:t>hm</w:t>
                  </w:r>
                  <w:r>
                    <w:rPr>
                      <w:rFonts w:hint="eastAsia" w:eastAsia="宋体" w:cs="Times New Roman"/>
                      <w:i w:val="0"/>
                      <w:iCs w:val="0"/>
                      <w:color w:val="auto"/>
                      <w:kern w:val="0"/>
                      <w:sz w:val="21"/>
                      <w:szCs w:val="21"/>
                      <w:highlight w:val="none"/>
                      <w:u w:val="none"/>
                      <w:vertAlign w:val="superscript"/>
                      <w:lang w:val="en-US" w:eastAsia="zh-CN" w:bidi="ar"/>
                    </w:rPr>
                    <w:t>2</w:t>
                  </w:r>
                </w:p>
              </w:tc>
              <w:tc>
                <w:tcPr>
                  <w:tcW w:w="1080" w:type="dxa"/>
                  <w:vAlign w:val="center"/>
                </w:tcPr>
                <w:p>
                  <w:pPr>
                    <w:pStyle w:val="19"/>
                    <w:bidi w:val="0"/>
                    <w:jc w:val="center"/>
                    <w:rPr>
                      <w:rFonts w:hint="default"/>
                      <w:color w:val="auto"/>
                      <w:lang w:val="en-US" w:eastAsia="zh-CN"/>
                    </w:rPr>
                  </w:pPr>
                  <w:r>
                    <w:rPr>
                      <w:rFonts w:hint="eastAsia"/>
                      <w:color w:val="auto"/>
                      <w:lang w:val="en-US" w:eastAsia="zh-CN"/>
                    </w:rPr>
                    <w:t>工程占地</w:t>
                  </w:r>
                </w:p>
              </w:tc>
              <w:tc>
                <w:tcPr>
                  <w:tcW w:w="1785" w:type="dxa"/>
                  <w:vAlign w:val="center"/>
                </w:tcPr>
                <w:p>
                  <w:pPr>
                    <w:pStyle w:val="19"/>
                    <w:bidi w:val="0"/>
                    <w:jc w:val="center"/>
                    <w:rPr>
                      <w:rFonts w:hint="default"/>
                      <w:color w:val="auto"/>
                      <w:lang w:val="en-US" w:eastAsia="zh-CN"/>
                    </w:rPr>
                  </w:pPr>
                  <w:r>
                    <w:rPr>
                      <w:rFonts w:hint="eastAsia"/>
                      <w:color w:val="auto"/>
                      <w:lang w:val="en-US" w:eastAsia="zh-CN"/>
                    </w:rPr>
                    <w:t>施工期和营运期</w:t>
                  </w:r>
                </w:p>
              </w:tc>
              <w:tc>
                <w:tcPr>
                  <w:tcW w:w="2006" w:type="dxa"/>
                  <w:vAlign w:val="center"/>
                </w:tcPr>
                <w:p>
                  <w:pPr>
                    <w:pStyle w:val="19"/>
                    <w:bidi w:val="0"/>
                    <w:jc w:val="center"/>
                    <w:rPr>
                      <w:rFonts w:hint="default"/>
                      <w:color w:val="auto"/>
                      <w:lang w:val="en-US" w:eastAsia="zh-CN"/>
                    </w:rPr>
                  </w:pPr>
                  <w:r>
                    <w:rPr>
                      <w:rFonts w:hint="eastAsia"/>
                      <w:color w:val="auto"/>
                      <w:lang w:val="en-US" w:eastAsia="zh-CN"/>
                    </w:rPr>
                    <w:t>合理利用土地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4" w:type="dxa"/>
                  <w:vMerge w:val="continue"/>
                  <w:vAlign w:val="center"/>
                </w:tcPr>
                <w:p>
                  <w:pPr>
                    <w:pStyle w:val="19"/>
                    <w:bidi w:val="0"/>
                    <w:jc w:val="center"/>
                    <w:rPr>
                      <w:rFonts w:hint="default"/>
                      <w:color w:val="auto"/>
                      <w:lang w:val="en-US" w:eastAsia="zh-CN"/>
                    </w:rPr>
                  </w:pPr>
                </w:p>
              </w:tc>
              <w:tc>
                <w:tcPr>
                  <w:tcW w:w="1095" w:type="dxa"/>
                  <w:vAlign w:val="center"/>
                </w:tcPr>
                <w:p>
                  <w:pPr>
                    <w:pStyle w:val="19"/>
                    <w:bidi w:val="0"/>
                    <w:jc w:val="center"/>
                    <w:rPr>
                      <w:rFonts w:hint="default"/>
                      <w:color w:val="auto"/>
                      <w:lang w:val="en-US" w:eastAsia="zh-CN"/>
                    </w:rPr>
                  </w:pPr>
                  <w:r>
                    <w:rPr>
                      <w:rFonts w:hint="eastAsia"/>
                      <w:color w:val="auto"/>
                      <w:lang w:val="en-US" w:eastAsia="zh-CN"/>
                    </w:rPr>
                    <w:t>基本农田</w:t>
                  </w:r>
                </w:p>
              </w:tc>
              <w:tc>
                <w:tcPr>
                  <w:tcW w:w="1710" w:type="dxa"/>
                  <w:vAlign w:val="center"/>
                </w:tcPr>
                <w:p>
                  <w:pPr>
                    <w:pStyle w:val="19"/>
                    <w:bidi w:val="0"/>
                    <w:jc w:val="center"/>
                    <w:rPr>
                      <w:rFonts w:hint="default"/>
                      <w:color w:val="auto"/>
                      <w:lang w:val="en-US" w:eastAsia="zh-CN"/>
                    </w:rPr>
                  </w:pPr>
                  <w:r>
                    <w:rPr>
                      <w:rFonts w:hint="eastAsia"/>
                      <w:color w:val="auto"/>
                      <w:lang w:val="en-US" w:eastAsia="zh-CN"/>
                    </w:rPr>
                    <w:t>不占用基本农田</w:t>
                  </w:r>
                </w:p>
              </w:tc>
              <w:tc>
                <w:tcPr>
                  <w:tcW w:w="1080" w:type="dxa"/>
                  <w:vAlign w:val="center"/>
                </w:tcPr>
                <w:p>
                  <w:pPr>
                    <w:pStyle w:val="19"/>
                    <w:bidi w:val="0"/>
                    <w:ind w:firstLine="0" w:firstLineChars="0"/>
                    <w:jc w:val="center"/>
                    <w:rPr>
                      <w:rFonts w:hint="default"/>
                      <w:color w:val="auto"/>
                      <w:lang w:val="en-US" w:eastAsia="zh-CN"/>
                    </w:rPr>
                  </w:pPr>
                  <w:r>
                    <w:rPr>
                      <w:rFonts w:hint="eastAsia"/>
                      <w:color w:val="auto"/>
                      <w:lang w:val="en-US" w:eastAsia="zh-CN"/>
                    </w:rPr>
                    <w:t>工程占地</w:t>
                  </w:r>
                </w:p>
              </w:tc>
              <w:tc>
                <w:tcPr>
                  <w:tcW w:w="1785" w:type="dxa"/>
                  <w:vAlign w:val="center"/>
                </w:tcPr>
                <w:p>
                  <w:pPr>
                    <w:pStyle w:val="19"/>
                    <w:bidi w:val="0"/>
                    <w:ind w:firstLine="0" w:firstLineChars="0"/>
                    <w:jc w:val="center"/>
                    <w:rPr>
                      <w:rFonts w:hint="default"/>
                      <w:color w:val="auto"/>
                      <w:lang w:val="en-US" w:eastAsia="zh-CN"/>
                    </w:rPr>
                  </w:pPr>
                  <w:r>
                    <w:rPr>
                      <w:rFonts w:hint="eastAsia"/>
                      <w:color w:val="auto"/>
                      <w:lang w:val="en-US" w:eastAsia="zh-CN"/>
                    </w:rPr>
                    <w:t>施工期和营运期</w:t>
                  </w:r>
                </w:p>
              </w:tc>
              <w:tc>
                <w:tcPr>
                  <w:tcW w:w="2006" w:type="dxa"/>
                  <w:vAlign w:val="center"/>
                </w:tcPr>
                <w:p>
                  <w:pPr>
                    <w:pStyle w:val="19"/>
                    <w:bidi w:val="0"/>
                    <w:ind w:firstLine="0" w:firstLineChars="0"/>
                    <w:jc w:val="center"/>
                    <w:rPr>
                      <w:rFonts w:hint="default"/>
                      <w:color w:val="auto"/>
                      <w:lang w:val="en-US" w:eastAsia="zh-CN"/>
                    </w:rPr>
                  </w:pPr>
                  <w:r>
                    <w:rPr>
                      <w:rFonts w:hint="eastAsia"/>
                      <w:color w:val="auto"/>
                      <w:lang w:val="en-US" w:eastAsia="zh-CN"/>
                    </w:rPr>
                    <w:t>禁止占用基本农田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4" w:type="dxa"/>
                  <w:vMerge w:val="continue"/>
                  <w:vAlign w:val="center"/>
                </w:tcPr>
                <w:p>
                  <w:pPr>
                    <w:pStyle w:val="19"/>
                    <w:bidi w:val="0"/>
                    <w:jc w:val="center"/>
                    <w:rPr>
                      <w:rFonts w:hint="default"/>
                      <w:color w:val="auto"/>
                      <w:lang w:val="en-US" w:eastAsia="zh-CN"/>
                    </w:rPr>
                  </w:pPr>
                </w:p>
              </w:tc>
              <w:tc>
                <w:tcPr>
                  <w:tcW w:w="1095" w:type="dxa"/>
                  <w:vAlign w:val="center"/>
                </w:tcPr>
                <w:p>
                  <w:pPr>
                    <w:pStyle w:val="19"/>
                    <w:bidi w:val="0"/>
                    <w:jc w:val="center"/>
                    <w:rPr>
                      <w:rFonts w:hint="default"/>
                      <w:color w:val="auto"/>
                      <w:lang w:val="en-US" w:eastAsia="zh-CN"/>
                    </w:rPr>
                  </w:pPr>
                  <w:r>
                    <w:rPr>
                      <w:rFonts w:hint="eastAsia"/>
                      <w:color w:val="auto"/>
                      <w:lang w:val="en-US" w:eastAsia="zh-CN"/>
                    </w:rPr>
                    <w:t>动物资源</w:t>
                  </w:r>
                </w:p>
              </w:tc>
              <w:tc>
                <w:tcPr>
                  <w:tcW w:w="1710" w:type="dxa"/>
                  <w:vAlign w:val="center"/>
                </w:tcPr>
                <w:p>
                  <w:pPr>
                    <w:pStyle w:val="19"/>
                    <w:bidi w:val="0"/>
                    <w:jc w:val="center"/>
                    <w:rPr>
                      <w:rFonts w:hint="default"/>
                      <w:color w:val="auto"/>
                      <w:lang w:val="en-US" w:eastAsia="zh-CN"/>
                    </w:rPr>
                  </w:pPr>
                  <w:r>
                    <w:rPr>
                      <w:rFonts w:hint="eastAsia"/>
                      <w:color w:val="auto"/>
                      <w:lang w:val="en-US" w:eastAsia="zh-CN"/>
                    </w:rPr>
                    <w:t>工程施工范围内</w:t>
                  </w:r>
                </w:p>
              </w:tc>
              <w:tc>
                <w:tcPr>
                  <w:tcW w:w="1080" w:type="dxa"/>
                  <w:vAlign w:val="center"/>
                </w:tcPr>
                <w:p>
                  <w:pPr>
                    <w:pStyle w:val="19"/>
                    <w:bidi w:val="0"/>
                    <w:jc w:val="center"/>
                    <w:rPr>
                      <w:rFonts w:hint="default"/>
                      <w:color w:val="auto"/>
                      <w:lang w:val="en-US" w:eastAsia="zh-CN"/>
                    </w:rPr>
                  </w:pPr>
                  <w:r>
                    <w:rPr>
                      <w:rFonts w:hint="eastAsia"/>
                      <w:color w:val="auto"/>
                      <w:lang w:val="en-US" w:eastAsia="zh-CN"/>
                    </w:rPr>
                    <w:t>/</w:t>
                  </w:r>
                </w:p>
              </w:tc>
              <w:tc>
                <w:tcPr>
                  <w:tcW w:w="1785" w:type="dxa"/>
                  <w:vAlign w:val="center"/>
                </w:tcPr>
                <w:p>
                  <w:pPr>
                    <w:pStyle w:val="19"/>
                    <w:bidi w:val="0"/>
                    <w:jc w:val="center"/>
                    <w:rPr>
                      <w:rFonts w:hint="default"/>
                      <w:color w:val="auto"/>
                      <w:lang w:val="en-US" w:eastAsia="zh-CN"/>
                    </w:rPr>
                  </w:pPr>
                  <w:r>
                    <w:rPr>
                      <w:rFonts w:hint="eastAsia"/>
                      <w:color w:val="auto"/>
                      <w:lang w:val="en-US" w:eastAsia="zh-CN"/>
                    </w:rPr>
                    <w:t>施工期</w:t>
                  </w:r>
                </w:p>
              </w:tc>
              <w:tc>
                <w:tcPr>
                  <w:tcW w:w="2006" w:type="dxa"/>
                  <w:vAlign w:val="center"/>
                </w:tcPr>
                <w:p>
                  <w:pPr>
                    <w:pStyle w:val="19"/>
                    <w:bidi w:val="0"/>
                    <w:jc w:val="center"/>
                    <w:rPr>
                      <w:rFonts w:hint="default"/>
                      <w:color w:val="auto"/>
                      <w:lang w:val="en-US" w:eastAsia="zh-CN"/>
                    </w:rPr>
                  </w:pPr>
                  <w:r>
                    <w:rPr>
                      <w:rFonts w:hint="eastAsia"/>
                      <w:color w:val="auto"/>
                      <w:lang w:val="en-US" w:eastAsia="zh-CN"/>
                    </w:rPr>
                    <w:t>减少影响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4" w:type="dxa"/>
                  <w:vMerge w:val="continue"/>
                  <w:vAlign w:val="center"/>
                </w:tcPr>
                <w:p>
                  <w:pPr>
                    <w:pStyle w:val="19"/>
                    <w:bidi w:val="0"/>
                    <w:jc w:val="center"/>
                    <w:rPr>
                      <w:rFonts w:hint="default"/>
                      <w:color w:val="auto"/>
                      <w:lang w:val="en-US" w:eastAsia="zh-CN"/>
                    </w:rPr>
                  </w:pPr>
                </w:p>
              </w:tc>
              <w:tc>
                <w:tcPr>
                  <w:tcW w:w="1095" w:type="dxa"/>
                  <w:vAlign w:val="center"/>
                </w:tcPr>
                <w:p>
                  <w:pPr>
                    <w:pStyle w:val="19"/>
                    <w:bidi w:val="0"/>
                    <w:jc w:val="center"/>
                    <w:rPr>
                      <w:rFonts w:hint="default"/>
                      <w:color w:val="auto"/>
                      <w:lang w:val="en-US" w:eastAsia="zh-CN"/>
                    </w:rPr>
                  </w:pPr>
                  <w:r>
                    <w:rPr>
                      <w:rFonts w:hint="eastAsia"/>
                      <w:color w:val="auto"/>
                      <w:lang w:val="en-US" w:eastAsia="zh-CN"/>
                    </w:rPr>
                    <w:t>植物资源</w:t>
                  </w:r>
                </w:p>
              </w:tc>
              <w:tc>
                <w:tcPr>
                  <w:tcW w:w="1710" w:type="dxa"/>
                  <w:vAlign w:val="center"/>
                </w:tcPr>
                <w:p>
                  <w:pPr>
                    <w:pStyle w:val="19"/>
                    <w:bidi w:val="0"/>
                    <w:jc w:val="center"/>
                    <w:rPr>
                      <w:rFonts w:hint="default"/>
                      <w:color w:val="auto"/>
                      <w:lang w:val="en-US" w:eastAsia="zh-CN"/>
                    </w:rPr>
                  </w:pPr>
                  <w:r>
                    <w:rPr>
                      <w:rFonts w:hint="eastAsia"/>
                      <w:color w:val="auto"/>
                      <w:lang w:val="en-US" w:eastAsia="zh-CN"/>
                    </w:rPr>
                    <w:t>工程施工范围内</w:t>
                  </w:r>
                </w:p>
              </w:tc>
              <w:tc>
                <w:tcPr>
                  <w:tcW w:w="1080" w:type="dxa"/>
                  <w:vAlign w:val="center"/>
                </w:tcPr>
                <w:p>
                  <w:pPr>
                    <w:pStyle w:val="19"/>
                    <w:bidi w:val="0"/>
                    <w:jc w:val="center"/>
                    <w:rPr>
                      <w:rFonts w:hint="default"/>
                      <w:color w:val="auto"/>
                      <w:lang w:val="en-US" w:eastAsia="zh-CN"/>
                    </w:rPr>
                  </w:pPr>
                  <w:r>
                    <w:rPr>
                      <w:rFonts w:hint="eastAsia"/>
                      <w:color w:val="auto"/>
                      <w:lang w:val="en-US" w:eastAsia="zh-CN"/>
                    </w:rPr>
                    <w:t>工程破坏地表植被</w:t>
                  </w:r>
                </w:p>
              </w:tc>
              <w:tc>
                <w:tcPr>
                  <w:tcW w:w="1785" w:type="dxa"/>
                  <w:vAlign w:val="center"/>
                </w:tcPr>
                <w:p>
                  <w:pPr>
                    <w:pStyle w:val="19"/>
                    <w:bidi w:val="0"/>
                    <w:jc w:val="center"/>
                    <w:rPr>
                      <w:rFonts w:hint="default"/>
                      <w:color w:val="auto"/>
                      <w:lang w:val="en-US" w:eastAsia="zh-CN"/>
                    </w:rPr>
                  </w:pPr>
                  <w:r>
                    <w:rPr>
                      <w:rFonts w:hint="eastAsia"/>
                      <w:color w:val="auto"/>
                      <w:lang w:val="en-US" w:eastAsia="zh-CN"/>
                    </w:rPr>
                    <w:t>施工期</w:t>
                  </w:r>
                </w:p>
              </w:tc>
              <w:tc>
                <w:tcPr>
                  <w:tcW w:w="2006" w:type="dxa"/>
                  <w:vAlign w:val="center"/>
                </w:tcPr>
                <w:p>
                  <w:pPr>
                    <w:pStyle w:val="19"/>
                    <w:bidi w:val="0"/>
                    <w:jc w:val="center"/>
                    <w:rPr>
                      <w:rFonts w:hint="default"/>
                      <w:color w:val="auto"/>
                      <w:lang w:val="en-US" w:eastAsia="zh-CN"/>
                    </w:rPr>
                  </w:pPr>
                  <w:r>
                    <w:rPr>
                      <w:rFonts w:hint="eastAsia"/>
                      <w:color w:val="auto"/>
                      <w:lang w:val="en-US" w:eastAsia="zh-CN"/>
                    </w:rPr>
                    <w:t>减少破坏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4" w:type="dxa"/>
                  <w:vMerge w:val="continue"/>
                  <w:vAlign w:val="center"/>
                </w:tcPr>
                <w:p>
                  <w:pPr>
                    <w:pStyle w:val="19"/>
                    <w:bidi w:val="0"/>
                    <w:jc w:val="center"/>
                    <w:rPr>
                      <w:rFonts w:hint="default"/>
                      <w:color w:val="auto"/>
                      <w:lang w:val="en-US" w:eastAsia="zh-CN"/>
                    </w:rPr>
                  </w:pPr>
                </w:p>
              </w:tc>
              <w:tc>
                <w:tcPr>
                  <w:tcW w:w="1095" w:type="dxa"/>
                  <w:vAlign w:val="center"/>
                </w:tcPr>
                <w:p>
                  <w:pPr>
                    <w:pStyle w:val="19"/>
                    <w:bidi w:val="0"/>
                    <w:jc w:val="center"/>
                    <w:rPr>
                      <w:rFonts w:hint="default"/>
                      <w:color w:val="auto"/>
                      <w:lang w:val="en-US" w:eastAsia="zh-CN"/>
                    </w:rPr>
                  </w:pPr>
                  <w:r>
                    <w:rPr>
                      <w:rFonts w:hint="eastAsia"/>
                      <w:color w:val="auto"/>
                      <w:lang w:val="en-US" w:eastAsia="zh-CN"/>
                    </w:rPr>
                    <w:t>生态景观</w:t>
                  </w:r>
                </w:p>
              </w:tc>
              <w:tc>
                <w:tcPr>
                  <w:tcW w:w="1710" w:type="dxa"/>
                  <w:vAlign w:val="center"/>
                </w:tcPr>
                <w:p>
                  <w:pPr>
                    <w:pStyle w:val="19"/>
                    <w:bidi w:val="0"/>
                    <w:jc w:val="center"/>
                    <w:rPr>
                      <w:rFonts w:hint="default"/>
                      <w:color w:val="auto"/>
                      <w:lang w:val="en-US" w:eastAsia="zh-CN"/>
                    </w:rPr>
                  </w:pPr>
                  <w:r>
                    <w:rPr>
                      <w:rFonts w:hint="eastAsia" w:cs="Times New Roman"/>
                      <w:color w:val="auto"/>
                      <w:lang w:val="en-US" w:eastAsia="zh-CN"/>
                    </w:rPr>
                    <w:t>项目选址区域以及外围200m范围内植被</w:t>
                  </w:r>
                </w:p>
              </w:tc>
              <w:tc>
                <w:tcPr>
                  <w:tcW w:w="1080" w:type="dxa"/>
                  <w:vAlign w:val="center"/>
                </w:tcPr>
                <w:p>
                  <w:pPr>
                    <w:pStyle w:val="19"/>
                    <w:bidi w:val="0"/>
                    <w:jc w:val="center"/>
                    <w:rPr>
                      <w:rFonts w:hint="default"/>
                      <w:color w:val="auto"/>
                      <w:lang w:val="en-US" w:eastAsia="zh-CN"/>
                    </w:rPr>
                  </w:pPr>
                  <w:r>
                    <w:rPr>
                      <w:rFonts w:hint="eastAsia"/>
                      <w:color w:val="auto"/>
                      <w:lang w:val="en-US" w:eastAsia="zh-CN"/>
                    </w:rPr>
                    <w:t>/</w:t>
                  </w:r>
                </w:p>
              </w:tc>
              <w:tc>
                <w:tcPr>
                  <w:tcW w:w="1785" w:type="dxa"/>
                  <w:vAlign w:val="center"/>
                </w:tcPr>
                <w:p>
                  <w:pPr>
                    <w:pStyle w:val="19"/>
                    <w:bidi w:val="0"/>
                    <w:jc w:val="center"/>
                    <w:rPr>
                      <w:rFonts w:hint="default"/>
                      <w:color w:val="auto"/>
                      <w:lang w:val="en-US" w:eastAsia="zh-CN"/>
                    </w:rPr>
                  </w:pPr>
                  <w:r>
                    <w:rPr>
                      <w:rFonts w:hint="eastAsia"/>
                      <w:color w:val="auto"/>
                      <w:lang w:val="en-US" w:eastAsia="zh-CN"/>
                    </w:rPr>
                    <w:t>施工期</w:t>
                  </w:r>
                </w:p>
              </w:tc>
              <w:tc>
                <w:tcPr>
                  <w:tcW w:w="2006" w:type="dxa"/>
                  <w:vAlign w:val="center"/>
                </w:tcPr>
                <w:p>
                  <w:pPr>
                    <w:pStyle w:val="19"/>
                    <w:bidi w:val="0"/>
                    <w:jc w:val="center"/>
                    <w:rPr>
                      <w:rFonts w:hint="default"/>
                      <w:color w:val="auto"/>
                      <w:lang w:val="en-US" w:eastAsia="zh-CN"/>
                    </w:rPr>
                  </w:pPr>
                  <w:r>
                    <w:rPr>
                      <w:rFonts w:hint="eastAsia"/>
                      <w:color w:val="auto"/>
                      <w:lang w:val="en-US" w:eastAsia="zh-CN"/>
                    </w:rPr>
                    <w:t>保持与周边景观协调一致</w:t>
                  </w:r>
                </w:p>
              </w:tc>
            </w:tr>
          </w:tbl>
          <w:p>
            <w:pPr>
              <w:pStyle w:val="18"/>
              <w:bidi w:val="0"/>
              <w:jc w:val="both"/>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5" w:hRule="atLeast"/>
        </w:trPr>
        <w:tc>
          <w:tcPr>
            <w:tcW w:w="70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lang w:val="en-US" w:eastAsia="zh-CN"/>
              </w:rPr>
            </w:pPr>
            <w:r>
              <w:rPr>
                <w:rFonts w:hint="eastAsia"/>
                <w:lang w:val="en-US" w:eastAsia="zh-CN"/>
              </w:rPr>
              <w:t>评价标准</w:t>
            </w:r>
          </w:p>
        </w:tc>
        <w:tc>
          <w:tcPr>
            <w:tcW w:w="8586" w:type="dxa"/>
          </w:tcPr>
          <w:p>
            <w:pPr>
              <w:bidi w:val="0"/>
              <w:ind w:left="0" w:leftChars="0" w:firstLine="0" w:firstLineChars="0"/>
              <w:jc w:val="both"/>
              <w:rPr>
                <w:rFonts w:hint="eastAsia"/>
                <w:b/>
                <w:bCs/>
                <w:lang w:val="en-US" w:eastAsia="zh-CN"/>
              </w:rPr>
            </w:pPr>
            <w:r>
              <w:rPr>
                <w:rFonts w:hint="eastAsia"/>
                <w:b/>
                <w:bCs/>
                <w:lang w:val="en-US" w:eastAsia="zh-CN"/>
              </w:rPr>
              <w:t>1、环境质量标准</w:t>
            </w:r>
          </w:p>
          <w:p>
            <w:pPr>
              <w:bidi w:val="0"/>
              <w:jc w:val="both"/>
              <w:rPr>
                <w:rFonts w:hint="eastAsia"/>
                <w:lang w:val="en-US" w:eastAsia="zh-CN"/>
              </w:rPr>
            </w:pPr>
            <w:r>
              <w:rPr>
                <w:rFonts w:hint="eastAsia"/>
                <w:lang w:val="en-US" w:eastAsia="zh-CN"/>
              </w:rPr>
              <w:t>（1）环境空气质量标准</w:t>
            </w:r>
          </w:p>
          <w:p>
            <w:pPr>
              <w:bidi w:val="0"/>
              <w:jc w:val="both"/>
              <w:rPr>
                <w:rFonts w:hint="eastAsia"/>
                <w:lang w:val="en-US" w:eastAsia="zh-CN"/>
              </w:rPr>
            </w:pPr>
            <w:r>
              <w:rPr>
                <w:rFonts w:hint="eastAsia"/>
                <w:lang w:val="en-US" w:eastAsia="zh-CN"/>
              </w:rPr>
              <w:t>项目所在地执行《环境空气质量标准》（GB3095-2012）及其修改单中二级标准。</w:t>
            </w:r>
          </w:p>
          <w:p>
            <w:pPr>
              <w:pStyle w:val="18"/>
              <w:bidi w:val="0"/>
              <w:rPr>
                <w:rFonts w:hint="eastAsia"/>
                <w:lang w:val="en-US" w:eastAsia="zh-CN"/>
              </w:rPr>
            </w:pPr>
            <w:r>
              <w:rPr>
                <w:rFonts w:hint="eastAsia"/>
                <w:lang w:val="en-US" w:eastAsia="zh-CN"/>
              </w:rPr>
              <w:t>表14 环境空气质量标准（单位：</w:t>
            </w:r>
            <w:r>
              <w:t>µg/</w:t>
            </w:r>
            <w:r>
              <w:rPr>
                <w:rFonts w:hint="eastAsia"/>
                <w:lang w:eastAsia="zh-CN"/>
              </w:rPr>
              <w:t>m</w:t>
            </w:r>
            <w:r>
              <w:rPr>
                <w:rFonts w:hint="eastAsia"/>
                <w:vertAlign w:val="superscript"/>
                <w:lang w:val="en-US" w:eastAsia="zh-CN"/>
              </w:rPr>
              <w:t>3</w:t>
            </w:r>
            <w:r>
              <w:rPr>
                <w:rFonts w:hint="eastAsia"/>
                <w:lang w:val="en-US" w:eastAsia="zh-CN"/>
              </w:rPr>
              <w:t>）</w:t>
            </w:r>
          </w:p>
          <w:tbl>
            <w:tblPr>
              <w:tblStyle w:val="16"/>
              <w:tblW w:w="83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0"/>
              <w:gridCol w:w="1921"/>
              <w:gridCol w:w="2632"/>
              <w:gridCol w:w="25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vAlign w:val="center"/>
                </w:tcPr>
                <w:p>
                  <w:pPr>
                    <w:pStyle w:val="19"/>
                    <w:bidi w:val="0"/>
                    <w:jc w:val="center"/>
                    <w:rPr>
                      <w:rFonts w:hint="default"/>
                      <w:lang w:val="en-US" w:eastAsia="zh-CN"/>
                    </w:rPr>
                  </w:pPr>
                  <w:r>
                    <w:rPr>
                      <w:rFonts w:hint="eastAsia"/>
                      <w:lang w:val="en-US" w:eastAsia="zh-CN"/>
                    </w:rPr>
                    <w:t>污染物名称</w:t>
                  </w:r>
                </w:p>
              </w:tc>
              <w:tc>
                <w:tcPr>
                  <w:tcW w:w="1921" w:type="dxa"/>
                  <w:vAlign w:val="center"/>
                </w:tcPr>
                <w:p>
                  <w:pPr>
                    <w:pStyle w:val="19"/>
                    <w:bidi w:val="0"/>
                    <w:jc w:val="center"/>
                    <w:rPr>
                      <w:rFonts w:hint="default"/>
                      <w:lang w:val="en-US" w:eastAsia="zh-CN"/>
                    </w:rPr>
                  </w:pPr>
                  <w:r>
                    <w:rPr>
                      <w:rFonts w:hint="eastAsia"/>
                      <w:lang w:val="en-US" w:eastAsia="zh-CN"/>
                    </w:rPr>
                    <w:t>取值时段</w:t>
                  </w:r>
                </w:p>
              </w:tc>
              <w:tc>
                <w:tcPr>
                  <w:tcW w:w="2632" w:type="dxa"/>
                  <w:vAlign w:val="center"/>
                </w:tcPr>
                <w:p>
                  <w:pPr>
                    <w:pStyle w:val="19"/>
                    <w:bidi w:val="0"/>
                    <w:jc w:val="center"/>
                    <w:rPr>
                      <w:rFonts w:hint="default"/>
                      <w:lang w:val="en-US" w:eastAsia="zh-CN"/>
                    </w:rPr>
                  </w:pPr>
                  <w:r>
                    <w:rPr>
                      <w:rFonts w:hint="eastAsia"/>
                      <w:lang w:val="en-US" w:eastAsia="zh-CN"/>
                    </w:rPr>
                    <w:t>标准浓度限值（标准状态）</w:t>
                  </w:r>
                </w:p>
              </w:tc>
              <w:tc>
                <w:tcPr>
                  <w:tcW w:w="2507" w:type="dxa"/>
                  <w:vAlign w:val="center"/>
                </w:tcPr>
                <w:p>
                  <w:pPr>
                    <w:pStyle w:val="19"/>
                    <w:bidi w:val="0"/>
                    <w:jc w:val="center"/>
                    <w:rPr>
                      <w:rFonts w:hint="default"/>
                      <w:lang w:val="en-US" w:eastAsia="zh-CN"/>
                    </w:rPr>
                  </w:pPr>
                  <w:r>
                    <w:rPr>
                      <w:rFonts w:hint="eastAsia"/>
                      <w:lang w:val="en-US"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vMerge w:val="restart"/>
                  <w:vAlign w:val="center"/>
                </w:tcPr>
                <w:p>
                  <w:pPr>
                    <w:pStyle w:val="19"/>
                    <w:bidi w:val="0"/>
                    <w:jc w:val="center"/>
                    <w:rPr>
                      <w:rFonts w:hint="default"/>
                      <w:lang w:val="en-US" w:eastAsia="zh-CN"/>
                    </w:rPr>
                  </w:pPr>
                  <w:r>
                    <w:rPr>
                      <w:rFonts w:hint="eastAsia"/>
                      <w:lang w:val="en-US" w:eastAsia="zh-CN"/>
                    </w:rPr>
                    <w:t>SO</w:t>
                  </w:r>
                  <w:r>
                    <w:rPr>
                      <w:rFonts w:hint="eastAsia"/>
                      <w:vertAlign w:val="subscript"/>
                      <w:lang w:val="en-US" w:eastAsia="zh-CN"/>
                    </w:rPr>
                    <w:t>2</w:t>
                  </w:r>
                </w:p>
              </w:tc>
              <w:tc>
                <w:tcPr>
                  <w:tcW w:w="1921" w:type="dxa"/>
                  <w:vAlign w:val="center"/>
                </w:tcPr>
                <w:p>
                  <w:pPr>
                    <w:pStyle w:val="19"/>
                    <w:bidi w:val="0"/>
                    <w:jc w:val="center"/>
                    <w:rPr>
                      <w:rFonts w:hint="default"/>
                      <w:lang w:val="en-US" w:eastAsia="zh-CN"/>
                    </w:rPr>
                  </w:pPr>
                  <w:r>
                    <w:rPr>
                      <w:rFonts w:hint="eastAsia"/>
                      <w:lang w:val="en-US" w:eastAsia="zh-CN"/>
                    </w:rPr>
                    <w:t>年平均</w:t>
                  </w:r>
                </w:p>
              </w:tc>
              <w:tc>
                <w:tcPr>
                  <w:tcW w:w="2632" w:type="dxa"/>
                  <w:vAlign w:val="center"/>
                </w:tcPr>
                <w:p>
                  <w:pPr>
                    <w:pStyle w:val="19"/>
                    <w:bidi w:val="0"/>
                    <w:jc w:val="center"/>
                    <w:rPr>
                      <w:rFonts w:hint="default"/>
                      <w:lang w:val="en-US" w:eastAsia="zh-CN"/>
                    </w:rPr>
                  </w:pPr>
                  <w:r>
                    <w:rPr>
                      <w:rFonts w:hint="eastAsia"/>
                      <w:lang w:val="en-US" w:eastAsia="zh-CN"/>
                    </w:rPr>
                    <w:t>60</w:t>
                  </w:r>
                </w:p>
              </w:tc>
              <w:tc>
                <w:tcPr>
                  <w:tcW w:w="2507" w:type="dxa"/>
                  <w:vMerge w:val="restart"/>
                  <w:vAlign w:val="center"/>
                </w:tcPr>
                <w:p>
                  <w:pPr>
                    <w:pStyle w:val="19"/>
                    <w:bidi w:val="0"/>
                    <w:jc w:val="center"/>
                    <w:rPr>
                      <w:rFonts w:hint="default"/>
                      <w:lang w:val="en-US" w:eastAsia="zh-CN"/>
                    </w:rPr>
                  </w:pPr>
                  <w:r>
                    <w:rPr>
                      <w:rFonts w:hint="eastAsia"/>
                      <w:lang w:val="en-US" w:eastAsia="zh-CN"/>
                    </w:rPr>
                    <w:t>《环境空气质量标准》（GB3095-2012）及其修改单中的二级标准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vMerge w:val="continue"/>
                  <w:vAlign w:val="center"/>
                </w:tcPr>
                <w:p>
                  <w:pPr>
                    <w:pStyle w:val="19"/>
                    <w:bidi w:val="0"/>
                    <w:jc w:val="center"/>
                    <w:rPr>
                      <w:rFonts w:hint="default"/>
                      <w:lang w:val="en-US" w:eastAsia="zh-CN"/>
                    </w:rPr>
                  </w:pPr>
                </w:p>
              </w:tc>
              <w:tc>
                <w:tcPr>
                  <w:tcW w:w="1921" w:type="dxa"/>
                  <w:vAlign w:val="center"/>
                </w:tcPr>
                <w:p>
                  <w:pPr>
                    <w:pStyle w:val="19"/>
                    <w:bidi w:val="0"/>
                    <w:jc w:val="center"/>
                    <w:rPr>
                      <w:rFonts w:hint="default"/>
                      <w:lang w:val="en-US" w:eastAsia="zh-CN"/>
                    </w:rPr>
                  </w:pPr>
                  <w:r>
                    <w:rPr>
                      <w:rFonts w:hint="eastAsia"/>
                      <w:lang w:val="en-US" w:eastAsia="zh-CN"/>
                    </w:rPr>
                    <w:t>日平均</w:t>
                  </w:r>
                </w:p>
              </w:tc>
              <w:tc>
                <w:tcPr>
                  <w:tcW w:w="2632" w:type="dxa"/>
                  <w:vAlign w:val="center"/>
                </w:tcPr>
                <w:p>
                  <w:pPr>
                    <w:pStyle w:val="19"/>
                    <w:bidi w:val="0"/>
                    <w:jc w:val="center"/>
                    <w:rPr>
                      <w:rFonts w:hint="default"/>
                      <w:lang w:val="en-US" w:eastAsia="zh-CN"/>
                    </w:rPr>
                  </w:pPr>
                  <w:r>
                    <w:rPr>
                      <w:rFonts w:hint="eastAsia"/>
                      <w:lang w:val="en-US" w:eastAsia="zh-CN"/>
                    </w:rPr>
                    <w:t>150</w:t>
                  </w:r>
                </w:p>
              </w:tc>
              <w:tc>
                <w:tcPr>
                  <w:tcW w:w="2507" w:type="dxa"/>
                  <w:vMerge w:val="continue"/>
                  <w:vAlign w:val="center"/>
                </w:tcPr>
                <w:p>
                  <w:pPr>
                    <w:pStyle w:val="19"/>
                    <w:bidi w:val="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vMerge w:val="continue"/>
                  <w:vAlign w:val="center"/>
                </w:tcPr>
                <w:p>
                  <w:pPr>
                    <w:pStyle w:val="19"/>
                    <w:bidi w:val="0"/>
                    <w:jc w:val="center"/>
                    <w:rPr>
                      <w:rFonts w:hint="default"/>
                      <w:lang w:val="en-US" w:eastAsia="zh-CN"/>
                    </w:rPr>
                  </w:pPr>
                </w:p>
              </w:tc>
              <w:tc>
                <w:tcPr>
                  <w:tcW w:w="1921" w:type="dxa"/>
                  <w:vAlign w:val="center"/>
                </w:tcPr>
                <w:p>
                  <w:pPr>
                    <w:pStyle w:val="19"/>
                    <w:bidi w:val="0"/>
                    <w:jc w:val="center"/>
                    <w:rPr>
                      <w:rFonts w:hint="default"/>
                      <w:lang w:val="en-US" w:eastAsia="zh-CN"/>
                    </w:rPr>
                  </w:pPr>
                  <w:r>
                    <w:rPr>
                      <w:rFonts w:hint="eastAsia"/>
                      <w:lang w:val="en-US" w:eastAsia="zh-CN"/>
                    </w:rPr>
                    <w:t>1小时平均</w:t>
                  </w:r>
                </w:p>
              </w:tc>
              <w:tc>
                <w:tcPr>
                  <w:tcW w:w="2632" w:type="dxa"/>
                  <w:vAlign w:val="center"/>
                </w:tcPr>
                <w:p>
                  <w:pPr>
                    <w:pStyle w:val="19"/>
                    <w:bidi w:val="0"/>
                    <w:jc w:val="center"/>
                    <w:rPr>
                      <w:rFonts w:hint="default"/>
                      <w:lang w:val="en-US" w:eastAsia="zh-CN"/>
                    </w:rPr>
                  </w:pPr>
                  <w:r>
                    <w:rPr>
                      <w:rFonts w:hint="eastAsia"/>
                      <w:lang w:val="en-US" w:eastAsia="zh-CN"/>
                    </w:rPr>
                    <w:t>500</w:t>
                  </w:r>
                </w:p>
              </w:tc>
              <w:tc>
                <w:tcPr>
                  <w:tcW w:w="2507" w:type="dxa"/>
                  <w:vMerge w:val="continue"/>
                  <w:vAlign w:val="center"/>
                </w:tcPr>
                <w:p>
                  <w:pPr>
                    <w:pStyle w:val="19"/>
                    <w:bidi w:val="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vMerge w:val="restart"/>
                  <w:vAlign w:val="center"/>
                </w:tcPr>
                <w:p>
                  <w:pPr>
                    <w:pStyle w:val="19"/>
                    <w:bidi w:val="0"/>
                    <w:jc w:val="center"/>
                    <w:rPr>
                      <w:rFonts w:hint="default"/>
                      <w:lang w:val="en-US" w:eastAsia="zh-CN"/>
                    </w:rPr>
                  </w:pPr>
                  <w:r>
                    <w:rPr>
                      <w:rFonts w:hint="eastAsia"/>
                      <w:lang w:val="en-US" w:eastAsia="zh-CN"/>
                    </w:rPr>
                    <w:t>NO</w:t>
                  </w:r>
                  <w:r>
                    <w:rPr>
                      <w:rFonts w:hint="eastAsia"/>
                      <w:vertAlign w:val="subscript"/>
                      <w:lang w:val="en-US" w:eastAsia="zh-CN"/>
                    </w:rPr>
                    <w:t>2</w:t>
                  </w:r>
                </w:p>
              </w:tc>
              <w:tc>
                <w:tcPr>
                  <w:tcW w:w="1921" w:type="dxa"/>
                  <w:vAlign w:val="center"/>
                </w:tcPr>
                <w:p>
                  <w:pPr>
                    <w:pStyle w:val="19"/>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年平均</w:t>
                  </w:r>
                </w:p>
              </w:tc>
              <w:tc>
                <w:tcPr>
                  <w:tcW w:w="2632" w:type="dxa"/>
                  <w:vAlign w:val="center"/>
                </w:tcPr>
                <w:p>
                  <w:pPr>
                    <w:pStyle w:val="19"/>
                    <w:bidi w:val="0"/>
                    <w:jc w:val="center"/>
                    <w:rPr>
                      <w:rFonts w:hint="default"/>
                      <w:lang w:val="en-US" w:eastAsia="zh-CN"/>
                    </w:rPr>
                  </w:pPr>
                  <w:r>
                    <w:rPr>
                      <w:rFonts w:hint="eastAsia"/>
                      <w:lang w:val="en-US" w:eastAsia="zh-CN"/>
                    </w:rPr>
                    <w:t>40</w:t>
                  </w:r>
                </w:p>
              </w:tc>
              <w:tc>
                <w:tcPr>
                  <w:tcW w:w="2507" w:type="dxa"/>
                  <w:vMerge w:val="continue"/>
                  <w:vAlign w:val="center"/>
                </w:tcPr>
                <w:p>
                  <w:pPr>
                    <w:pStyle w:val="19"/>
                    <w:bidi w:val="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vMerge w:val="continue"/>
                  <w:vAlign w:val="center"/>
                </w:tcPr>
                <w:p>
                  <w:pPr>
                    <w:pStyle w:val="19"/>
                    <w:bidi w:val="0"/>
                    <w:jc w:val="center"/>
                    <w:rPr>
                      <w:rFonts w:hint="default"/>
                      <w:lang w:val="en-US" w:eastAsia="zh-CN"/>
                    </w:rPr>
                  </w:pPr>
                </w:p>
              </w:tc>
              <w:tc>
                <w:tcPr>
                  <w:tcW w:w="1921" w:type="dxa"/>
                  <w:vAlign w:val="center"/>
                </w:tcPr>
                <w:p>
                  <w:pPr>
                    <w:pStyle w:val="19"/>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日平均</w:t>
                  </w:r>
                </w:p>
              </w:tc>
              <w:tc>
                <w:tcPr>
                  <w:tcW w:w="2632" w:type="dxa"/>
                  <w:vAlign w:val="center"/>
                </w:tcPr>
                <w:p>
                  <w:pPr>
                    <w:pStyle w:val="19"/>
                    <w:bidi w:val="0"/>
                    <w:jc w:val="center"/>
                    <w:rPr>
                      <w:rFonts w:hint="default"/>
                      <w:lang w:val="en-US" w:eastAsia="zh-CN"/>
                    </w:rPr>
                  </w:pPr>
                  <w:r>
                    <w:rPr>
                      <w:rFonts w:hint="eastAsia"/>
                      <w:lang w:val="en-US" w:eastAsia="zh-CN"/>
                    </w:rPr>
                    <w:t>80</w:t>
                  </w:r>
                </w:p>
              </w:tc>
              <w:tc>
                <w:tcPr>
                  <w:tcW w:w="2507" w:type="dxa"/>
                  <w:vMerge w:val="continue"/>
                  <w:vAlign w:val="center"/>
                </w:tcPr>
                <w:p>
                  <w:pPr>
                    <w:pStyle w:val="19"/>
                    <w:bidi w:val="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vMerge w:val="continue"/>
                  <w:vAlign w:val="center"/>
                </w:tcPr>
                <w:p>
                  <w:pPr>
                    <w:pStyle w:val="19"/>
                    <w:bidi w:val="0"/>
                    <w:jc w:val="center"/>
                    <w:rPr>
                      <w:rFonts w:hint="default"/>
                      <w:lang w:val="en-US" w:eastAsia="zh-CN"/>
                    </w:rPr>
                  </w:pPr>
                </w:p>
              </w:tc>
              <w:tc>
                <w:tcPr>
                  <w:tcW w:w="1921" w:type="dxa"/>
                  <w:vAlign w:val="center"/>
                </w:tcPr>
                <w:p>
                  <w:pPr>
                    <w:pStyle w:val="19"/>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1小时平均</w:t>
                  </w:r>
                </w:p>
              </w:tc>
              <w:tc>
                <w:tcPr>
                  <w:tcW w:w="2632" w:type="dxa"/>
                  <w:vAlign w:val="center"/>
                </w:tcPr>
                <w:p>
                  <w:pPr>
                    <w:pStyle w:val="19"/>
                    <w:bidi w:val="0"/>
                    <w:jc w:val="center"/>
                    <w:rPr>
                      <w:rFonts w:hint="default"/>
                      <w:lang w:val="en-US" w:eastAsia="zh-CN"/>
                    </w:rPr>
                  </w:pPr>
                  <w:r>
                    <w:rPr>
                      <w:rFonts w:hint="eastAsia"/>
                      <w:lang w:val="en-US" w:eastAsia="zh-CN"/>
                    </w:rPr>
                    <w:t>200</w:t>
                  </w:r>
                </w:p>
              </w:tc>
              <w:tc>
                <w:tcPr>
                  <w:tcW w:w="2507" w:type="dxa"/>
                  <w:vMerge w:val="continue"/>
                  <w:vAlign w:val="center"/>
                </w:tcPr>
                <w:p>
                  <w:pPr>
                    <w:pStyle w:val="19"/>
                    <w:bidi w:val="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vMerge w:val="restart"/>
                  <w:vAlign w:val="center"/>
                </w:tcPr>
                <w:p>
                  <w:pPr>
                    <w:pStyle w:val="19"/>
                    <w:bidi w:val="0"/>
                    <w:jc w:val="center"/>
                    <w:rPr>
                      <w:rFonts w:hint="default"/>
                      <w:lang w:val="en-US" w:eastAsia="zh-CN"/>
                    </w:rPr>
                  </w:pPr>
                  <w:r>
                    <w:rPr>
                      <w:rFonts w:hint="eastAsia"/>
                      <w:lang w:val="en-US" w:eastAsia="zh-CN"/>
                    </w:rPr>
                    <w:t>PM</w:t>
                  </w:r>
                  <w:r>
                    <w:rPr>
                      <w:rFonts w:hint="eastAsia"/>
                      <w:vertAlign w:val="subscript"/>
                      <w:lang w:val="en-US" w:eastAsia="zh-CN"/>
                    </w:rPr>
                    <w:t>10</w:t>
                  </w:r>
                </w:p>
              </w:tc>
              <w:tc>
                <w:tcPr>
                  <w:tcW w:w="1921" w:type="dxa"/>
                  <w:vAlign w:val="center"/>
                </w:tcPr>
                <w:p>
                  <w:pPr>
                    <w:pStyle w:val="19"/>
                    <w:bidi w:val="0"/>
                    <w:jc w:val="center"/>
                    <w:rPr>
                      <w:rFonts w:hint="default"/>
                      <w:lang w:val="en-US" w:eastAsia="zh-CN"/>
                    </w:rPr>
                  </w:pPr>
                  <w:r>
                    <w:rPr>
                      <w:rFonts w:hint="eastAsia"/>
                      <w:lang w:val="en-US" w:eastAsia="zh-CN"/>
                    </w:rPr>
                    <w:t>年平均</w:t>
                  </w:r>
                </w:p>
              </w:tc>
              <w:tc>
                <w:tcPr>
                  <w:tcW w:w="2632" w:type="dxa"/>
                  <w:vAlign w:val="center"/>
                </w:tcPr>
                <w:p>
                  <w:pPr>
                    <w:pStyle w:val="19"/>
                    <w:bidi w:val="0"/>
                    <w:jc w:val="center"/>
                    <w:rPr>
                      <w:rFonts w:hint="default"/>
                      <w:lang w:val="en-US" w:eastAsia="zh-CN"/>
                    </w:rPr>
                  </w:pPr>
                  <w:r>
                    <w:rPr>
                      <w:rFonts w:hint="eastAsia"/>
                      <w:lang w:val="en-US" w:eastAsia="zh-CN"/>
                    </w:rPr>
                    <w:t>70</w:t>
                  </w:r>
                </w:p>
              </w:tc>
              <w:tc>
                <w:tcPr>
                  <w:tcW w:w="2507" w:type="dxa"/>
                  <w:vMerge w:val="continue"/>
                  <w:vAlign w:val="center"/>
                </w:tcPr>
                <w:p>
                  <w:pPr>
                    <w:pStyle w:val="19"/>
                    <w:bidi w:val="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vMerge w:val="continue"/>
                  <w:vAlign w:val="center"/>
                </w:tcPr>
                <w:p>
                  <w:pPr>
                    <w:pStyle w:val="19"/>
                    <w:bidi w:val="0"/>
                    <w:jc w:val="center"/>
                    <w:rPr>
                      <w:rFonts w:hint="default"/>
                      <w:lang w:val="en-US" w:eastAsia="zh-CN"/>
                    </w:rPr>
                  </w:pPr>
                </w:p>
              </w:tc>
              <w:tc>
                <w:tcPr>
                  <w:tcW w:w="1921" w:type="dxa"/>
                  <w:vAlign w:val="center"/>
                </w:tcPr>
                <w:p>
                  <w:pPr>
                    <w:pStyle w:val="19"/>
                    <w:bidi w:val="0"/>
                    <w:jc w:val="center"/>
                    <w:rPr>
                      <w:rFonts w:hint="default"/>
                      <w:lang w:val="en-US" w:eastAsia="zh-CN"/>
                    </w:rPr>
                  </w:pPr>
                  <w:r>
                    <w:rPr>
                      <w:rFonts w:hint="eastAsia"/>
                      <w:lang w:val="en-US" w:eastAsia="zh-CN"/>
                    </w:rPr>
                    <w:t>日平均</w:t>
                  </w:r>
                </w:p>
              </w:tc>
              <w:tc>
                <w:tcPr>
                  <w:tcW w:w="2632" w:type="dxa"/>
                  <w:vAlign w:val="center"/>
                </w:tcPr>
                <w:p>
                  <w:pPr>
                    <w:pStyle w:val="19"/>
                    <w:bidi w:val="0"/>
                    <w:jc w:val="center"/>
                    <w:rPr>
                      <w:rFonts w:hint="default"/>
                      <w:lang w:val="en-US" w:eastAsia="zh-CN"/>
                    </w:rPr>
                  </w:pPr>
                  <w:r>
                    <w:rPr>
                      <w:rFonts w:hint="eastAsia"/>
                      <w:lang w:val="en-US" w:eastAsia="zh-CN"/>
                    </w:rPr>
                    <w:t>150</w:t>
                  </w:r>
                </w:p>
              </w:tc>
              <w:tc>
                <w:tcPr>
                  <w:tcW w:w="2507" w:type="dxa"/>
                  <w:vMerge w:val="continue"/>
                  <w:vAlign w:val="center"/>
                </w:tcPr>
                <w:p>
                  <w:pPr>
                    <w:pStyle w:val="19"/>
                    <w:bidi w:val="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vMerge w:val="restart"/>
                  <w:vAlign w:val="center"/>
                </w:tcPr>
                <w:p>
                  <w:pPr>
                    <w:pStyle w:val="19"/>
                    <w:bidi w:val="0"/>
                    <w:jc w:val="center"/>
                    <w:rPr>
                      <w:rFonts w:hint="default"/>
                      <w:lang w:val="en-US" w:eastAsia="zh-CN"/>
                    </w:rPr>
                  </w:pPr>
                  <w:r>
                    <w:rPr>
                      <w:rFonts w:hint="eastAsia"/>
                      <w:lang w:val="en-US" w:eastAsia="zh-CN"/>
                    </w:rPr>
                    <w:t>PM</w:t>
                  </w:r>
                  <w:r>
                    <w:rPr>
                      <w:rFonts w:hint="eastAsia"/>
                      <w:vertAlign w:val="subscript"/>
                      <w:lang w:val="en-US" w:eastAsia="zh-CN"/>
                    </w:rPr>
                    <w:t>2.5</w:t>
                  </w:r>
                </w:p>
              </w:tc>
              <w:tc>
                <w:tcPr>
                  <w:tcW w:w="1921" w:type="dxa"/>
                  <w:vAlign w:val="center"/>
                </w:tcPr>
                <w:p>
                  <w:pPr>
                    <w:pStyle w:val="19"/>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年平均</w:t>
                  </w:r>
                </w:p>
              </w:tc>
              <w:tc>
                <w:tcPr>
                  <w:tcW w:w="2632" w:type="dxa"/>
                  <w:vAlign w:val="center"/>
                </w:tcPr>
                <w:p>
                  <w:pPr>
                    <w:pStyle w:val="19"/>
                    <w:bidi w:val="0"/>
                    <w:jc w:val="center"/>
                    <w:rPr>
                      <w:rFonts w:hint="default"/>
                      <w:lang w:val="en-US" w:eastAsia="zh-CN"/>
                    </w:rPr>
                  </w:pPr>
                  <w:r>
                    <w:rPr>
                      <w:rFonts w:hint="eastAsia"/>
                      <w:lang w:val="en-US" w:eastAsia="zh-CN"/>
                    </w:rPr>
                    <w:t>35</w:t>
                  </w:r>
                </w:p>
              </w:tc>
              <w:tc>
                <w:tcPr>
                  <w:tcW w:w="2507" w:type="dxa"/>
                  <w:vMerge w:val="continue"/>
                  <w:vAlign w:val="center"/>
                </w:tcPr>
                <w:p>
                  <w:pPr>
                    <w:pStyle w:val="19"/>
                    <w:bidi w:val="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vMerge w:val="continue"/>
                  <w:vAlign w:val="center"/>
                </w:tcPr>
                <w:p>
                  <w:pPr>
                    <w:pStyle w:val="19"/>
                    <w:bidi w:val="0"/>
                    <w:jc w:val="center"/>
                    <w:rPr>
                      <w:rFonts w:hint="default"/>
                      <w:lang w:val="en-US" w:eastAsia="zh-CN"/>
                    </w:rPr>
                  </w:pPr>
                </w:p>
              </w:tc>
              <w:tc>
                <w:tcPr>
                  <w:tcW w:w="1921" w:type="dxa"/>
                  <w:vAlign w:val="center"/>
                </w:tcPr>
                <w:p>
                  <w:pPr>
                    <w:pStyle w:val="19"/>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日平均</w:t>
                  </w:r>
                </w:p>
              </w:tc>
              <w:tc>
                <w:tcPr>
                  <w:tcW w:w="2632" w:type="dxa"/>
                  <w:vAlign w:val="center"/>
                </w:tcPr>
                <w:p>
                  <w:pPr>
                    <w:pStyle w:val="19"/>
                    <w:bidi w:val="0"/>
                    <w:jc w:val="center"/>
                    <w:rPr>
                      <w:rFonts w:hint="default"/>
                      <w:lang w:val="en-US" w:eastAsia="zh-CN"/>
                    </w:rPr>
                  </w:pPr>
                  <w:r>
                    <w:rPr>
                      <w:rFonts w:hint="eastAsia"/>
                      <w:lang w:val="en-US" w:eastAsia="zh-CN"/>
                    </w:rPr>
                    <w:t>75</w:t>
                  </w:r>
                </w:p>
              </w:tc>
              <w:tc>
                <w:tcPr>
                  <w:tcW w:w="2507" w:type="dxa"/>
                  <w:vMerge w:val="continue"/>
                  <w:vAlign w:val="center"/>
                </w:tcPr>
                <w:p>
                  <w:pPr>
                    <w:pStyle w:val="19"/>
                    <w:bidi w:val="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vMerge w:val="restart"/>
                  <w:vAlign w:val="center"/>
                </w:tcPr>
                <w:p>
                  <w:pPr>
                    <w:pStyle w:val="19"/>
                    <w:bidi w:val="0"/>
                    <w:jc w:val="center"/>
                    <w:rPr>
                      <w:rFonts w:hint="default"/>
                      <w:lang w:val="en-US" w:eastAsia="zh-CN"/>
                    </w:rPr>
                  </w:pPr>
                  <w:r>
                    <w:rPr>
                      <w:rFonts w:hint="eastAsia"/>
                      <w:lang w:val="en-US" w:eastAsia="zh-CN"/>
                    </w:rPr>
                    <w:t>CO</w:t>
                  </w:r>
                </w:p>
              </w:tc>
              <w:tc>
                <w:tcPr>
                  <w:tcW w:w="1921" w:type="dxa"/>
                  <w:vAlign w:val="center"/>
                </w:tcPr>
                <w:p>
                  <w:pPr>
                    <w:pStyle w:val="19"/>
                    <w:bidi w:val="0"/>
                    <w:jc w:val="center"/>
                    <w:rPr>
                      <w:rFonts w:hint="default"/>
                      <w:lang w:val="en-US" w:eastAsia="zh-CN"/>
                    </w:rPr>
                  </w:pPr>
                  <w:r>
                    <w:rPr>
                      <w:rFonts w:hint="eastAsia"/>
                      <w:lang w:val="en-US" w:eastAsia="zh-CN"/>
                    </w:rPr>
                    <w:t>日平均</w:t>
                  </w:r>
                </w:p>
              </w:tc>
              <w:tc>
                <w:tcPr>
                  <w:tcW w:w="2632" w:type="dxa"/>
                  <w:vAlign w:val="center"/>
                </w:tcPr>
                <w:p>
                  <w:pPr>
                    <w:pStyle w:val="19"/>
                    <w:bidi w:val="0"/>
                    <w:jc w:val="center"/>
                    <w:rPr>
                      <w:rFonts w:hint="default"/>
                      <w:lang w:val="en-US" w:eastAsia="zh-CN"/>
                    </w:rPr>
                  </w:pPr>
                  <w:r>
                    <w:rPr>
                      <w:rFonts w:hint="eastAsia"/>
                      <w:lang w:val="en-US" w:eastAsia="zh-CN"/>
                    </w:rPr>
                    <w:t>4000</w:t>
                  </w:r>
                </w:p>
              </w:tc>
              <w:tc>
                <w:tcPr>
                  <w:tcW w:w="2507" w:type="dxa"/>
                  <w:vMerge w:val="continue"/>
                  <w:vAlign w:val="center"/>
                </w:tcPr>
                <w:p>
                  <w:pPr>
                    <w:pStyle w:val="19"/>
                    <w:bidi w:val="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vMerge w:val="continue"/>
                  <w:vAlign w:val="center"/>
                </w:tcPr>
                <w:p>
                  <w:pPr>
                    <w:pStyle w:val="19"/>
                    <w:bidi w:val="0"/>
                    <w:jc w:val="center"/>
                    <w:rPr>
                      <w:rFonts w:hint="default"/>
                      <w:lang w:val="en-US" w:eastAsia="zh-CN"/>
                    </w:rPr>
                  </w:pPr>
                </w:p>
              </w:tc>
              <w:tc>
                <w:tcPr>
                  <w:tcW w:w="1921" w:type="dxa"/>
                  <w:vAlign w:val="center"/>
                </w:tcPr>
                <w:p>
                  <w:pPr>
                    <w:pStyle w:val="19"/>
                    <w:bidi w:val="0"/>
                    <w:jc w:val="center"/>
                    <w:rPr>
                      <w:rFonts w:hint="default"/>
                      <w:lang w:val="en-US" w:eastAsia="zh-CN"/>
                    </w:rPr>
                  </w:pPr>
                  <w:r>
                    <w:rPr>
                      <w:rFonts w:hint="eastAsia"/>
                      <w:lang w:val="en-US" w:eastAsia="zh-CN"/>
                    </w:rPr>
                    <w:t>1小时平均</w:t>
                  </w:r>
                </w:p>
              </w:tc>
              <w:tc>
                <w:tcPr>
                  <w:tcW w:w="2632" w:type="dxa"/>
                  <w:vAlign w:val="center"/>
                </w:tcPr>
                <w:p>
                  <w:pPr>
                    <w:pStyle w:val="19"/>
                    <w:bidi w:val="0"/>
                    <w:jc w:val="center"/>
                    <w:rPr>
                      <w:rFonts w:hint="default"/>
                      <w:lang w:val="en-US" w:eastAsia="zh-CN"/>
                    </w:rPr>
                  </w:pPr>
                  <w:r>
                    <w:rPr>
                      <w:rFonts w:hint="eastAsia"/>
                      <w:lang w:val="en-US" w:eastAsia="zh-CN"/>
                    </w:rPr>
                    <w:t>10000</w:t>
                  </w:r>
                </w:p>
              </w:tc>
              <w:tc>
                <w:tcPr>
                  <w:tcW w:w="2507" w:type="dxa"/>
                  <w:vMerge w:val="continue"/>
                  <w:vAlign w:val="center"/>
                </w:tcPr>
                <w:p>
                  <w:pPr>
                    <w:pStyle w:val="19"/>
                    <w:bidi w:val="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vMerge w:val="restart"/>
                  <w:vAlign w:val="center"/>
                </w:tcPr>
                <w:p>
                  <w:pPr>
                    <w:pStyle w:val="19"/>
                    <w:bidi w:val="0"/>
                    <w:jc w:val="center"/>
                    <w:rPr>
                      <w:rFonts w:hint="default"/>
                      <w:lang w:val="en-US" w:eastAsia="zh-CN"/>
                    </w:rPr>
                  </w:pPr>
                  <w:r>
                    <w:rPr>
                      <w:rFonts w:hint="eastAsia"/>
                      <w:lang w:val="en-US" w:eastAsia="zh-CN"/>
                    </w:rPr>
                    <w:t>O</w:t>
                  </w:r>
                  <w:r>
                    <w:rPr>
                      <w:rFonts w:hint="eastAsia"/>
                      <w:vertAlign w:val="subscript"/>
                      <w:lang w:val="en-US" w:eastAsia="zh-CN"/>
                    </w:rPr>
                    <w:t>3</w:t>
                  </w:r>
                </w:p>
              </w:tc>
              <w:tc>
                <w:tcPr>
                  <w:tcW w:w="1921" w:type="dxa"/>
                  <w:vAlign w:val="center"/>
                </w:tcPr>
                <w:p>
                  <w:pPr>
                    <w:pStyle w:val="19"/>
                    <w:bidi w:val="0"/>
                    <w:jc w:val="center"/>
                    <w:rPr>
                      <w:rFonts w:hint="default"/>
                      <w:lang w:val="en-US" w:eastAsia="zh-CN"/>
                    </w:rPr>
                  </w:pPr>
                  <w:r>
                    <w:rPr>
                      <w:rFonts w:hint="eastAsia"/>
                      <w:lang w:val="en-US" w:eastAsia="zh-CN"/>
                    </w:rPr>
                    <w:t>日最大8小时平均</w:t>
                  </w:r>
                </w:p>
              </w:tc>
              <w:tc>
                <w:tcPr>
                  <w:tcW w:w="2632" w:type="dxa"/>
                  <w:vAlign w:val="center"/>
                </w:tcPr>
                <w:p>
                  <w:pPr>
                    <w:pStyle w:val="19"/>
                    <w:bidi w:val="0"/>
                    <w:jc w:val="center"/>
                    <w:rPr>
                      <w:rFonts w:hint="default"/>
                      <w:lang w:val="en-US" w:eastAsia="zh-CN"/>
                    </w:rPr>
                  </w:pPr>
                  <w:r>
                    <w:rPr>
                      <w:rFonts w:hint="eastAsia"/>
                      <w:lang w:val="en-US" w:eastAsia="zh-CN"/>
                    </w:rPr>
                    <w:t>160</w:t>
                  </w:r>
                </w:p>
              </w:tc>
              <w:tc>
                <w:tcPr>
                  <w:tcW w:w="2507" w:type="dxa"/>
                  <w:vMerge w:val="continue"/>
                  <w:vAlign w:val="center"/>
                </w:tcPr>
                <w:p>
                  <w:pPr>
                    <w:pStyle w:val="19"/>
                    <w:bidi w:val="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vMerge w:val="continue"/>
                  <w:vAlign w:val="center"/>
                </w:tcPr>
                <w:p>
                  <w:pPr>
                    <w:pStyle w:val="19"/>
                    <w:bidi w:val="0"/>
                    <w:jc w:val="center"/>
                    <w:rPr>
                      <w:rFonts w:hint="default"/>
                      <w:lang w:val="en-US" w:eastAsia="zh-CN"/>
                    </w:rPr>
                  </w:pPr>
                </w:p>
              </w:tc>
              <w:tc>
                <w:tcPr>
                  <w:tcW w:w="1921" w:type="dxa"/>
                  <w:vAlign w:val="center"/>
                </w:tcPr>
                <w:p>
                  <w:pPr>
                    <w:pStyle w:val="19"/>
                    <w:bidi w:val="0"/>
                    <w:jc w:val="center"/>
                    <w:rPr>
                      <w:rFonts w:hint="default"/>
                      <w:lang w:val="en-US" w:eastAsia="zh-CN"/>
                    </w:rPr>
                  </w:pPr>
                  <w:r>
                    <w:rPr>
                      <w:rFonts w:hint="eastAsia"/>
                      <w:lang w:val="en-US" w:eastAsia="zh-CN"/>
                    </w:rPr>
                    <w:t>1小时平均</w:t>
                  </w:r>
                </w:p>
              </w:tc>
              <w:tc>
                <w:tcPr>
                  <w:tcW w:w="2632" w:type="dxa"/>
                  <w:vAlign w:val="center"/>
                </w:tcPr>
                <w:p>
                  <w:pPr>
                    <w:pStyle w:val="19"/>
                    <w:bidi w:val="0"/>
                    <w:jc w:val="center"/>
                    <w:rPr>
                      <w:rFonts w:hint="default"/>
                      <w:lang w:val="en-US" w:eastAsia="zh-CN"/>
                    </w:rPr>
                  </w:pPr>
                  <w:r>
                    <w:rPr>
                      <w:rFonts w:hint="eastAsia"/>
                      <w:lang w:val="en-US" w:eastAsia="zh-CN"/>
                    </w:rPr>
                    <w:t>200</w:t>
                  </w:r>
                </w:p>
              </w:tc>
              <w:tc>
                <w:tcPr>
                  <w:tcW w:w="2507" w:type="dxa"/>
                  <w:vMerge w:val="continue"/>
                  <w:vAlign w:val="center"/>
                </w:tcPr>
                <w:p>
                  <w:pPr>
                    <w:pStyle w:val="19"/>
                    <w:bidi w:val="0"/>
                    <w:jc w:val="center"/>
                    <w:rPr>
                      <w:rFonts w:hint="default"/>
                      <w:lang w:val="en-US" w:eastAsia="zh-CN"/>
                    </w:rPr>
                  </w:pPr>
                </w:p>
              </w:tc>
            </w:tr>
          </w:tbl>
          <w:p>
            <w:pPr>
              <w:bidi w:val="0"/>
              <w:jc w:val="both"/>
              <w:rPr>
                <w:rFonts w:hint="eastAsia"/>
                <w:lang w:val="en-US" w:eastAsia="zh-CN"/>
              </w:rPr>
            </w:pPr>
            <w:r>
              <w:rPr>
                <w:rFonts w:hint="eastAsia"/>
                <w:lang w:val="en-US" w:eastAsia="zh-CN"/>
              </w:rPr>
              <w:t>（2）地表水环境质量标准</w:t>
            </w:r>
          </w:p>
          <w:p>
            <w:pPr>
              <w:bidi w:val="0"/>
              <w:jc w:val="both"/>
              <w:rPr>
                <w:rFonts w:hint="default"/>
                <w:lang w:val="en-US" w:eastAsia="zh-CN"/>
              </w:rPr>
            </w:pPr>
            <w:r>
              <w:rPr>
                <w:rFonts w:hint="eastAsia"/>
                <w:lang w:val="en-US" w:eastAsia="zh-CN"/>
              </w:rPr>
              <w:t>执行《地表水环境质量标准》（GB3838-2002）中</w:t>
            </w:r>
            <w:r>
              <w:rPr>
                <w:rFonts w:hint="default" w:ascii="Times New Roman" w:hAnsi="Times New Roman" w:cs="Times New Roman"/>
                <w:lang w:val="en-US" w:eastAsia="zh-CN"/>
              </w:rPr>
              <w:t>Ⅲ</w:t>
            </w:r>
            <w:r>
              <w:rPr>
                <w:rFonts w:hint="eastAsia" w:ascii="Times New Roman" w:hAnsi="Times New Roman" w:cs="Times New Roman"/>
                <w:lang w:val="en-US" w:eastAsia="zh-CN"/>
              </w:rPr>
              <w:t>类标准。</w:t>
            </w:r>
          </w:p>
          <w:p>
            <w:pPr>
              <w:pStyle w:val="18"/>
              <w:bidi w:val="0"/>
              <w:rPr>
                <w:rFonts w:hint="default"/>
                <w:lang w:val="en-US" w:eastAsia="zh-CN"/>
              </w:rPr>
            </w:pPr>
            <w:r>
              <w:rPr>
                <w:rFonts w:hint="eastAsia"/>
                <w:lang w:val="en-US" w:eastAsia="zh-CN"/>
              </w:rPr>
              <w:t>表15 地表水环境质量标准一览表</w:t>
            </w:r>
          </w:p>
          <w:tbl>
            <w:tblPr>
              <w:tblStyle w:val="16"/>
              <w:tblW w:w="83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05"/>
              <w:gridCol w:w="1868"/>
              <w:gridCol w:w="1474"/>
              <w:gridCol w:w="28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5" w:type="dxa"/>
                  <w:vAlign w:val="center"/>
                </w:tcPr>
                <w:p>
                  <w:pPr>
                    <w:pStyle w:val="19"/>
                    <w:bidi w:val="0"/>
                    <w:jc w:val="center"/>
                    <w:rPr>
                      <w:rFonts w:hint="default"/>
                      <w:lang w:val="en-US" w:eastAsia="zh-CN"/>
                    </w:rPr>
                  </w:pPr>
                  <w:r>
                    <w:rPr>
                      <w:rFonts w:hint="eastAsia"/>
                      <w:lang w:val="en-US" w:eastAsia="zh-CN"/>
                    </w:rPr>
                    <w:t>污染物名称</w:t>
                  </w:r>
                </w:p>
              </w:tc>
              <w:tc>
                <w:tcPr>
                  <w:tcW w:w="1868" w:type="dxa"/>
                  <w:vAlign w:val="center"/>
                </w:tcPr>
                <w:p>
                  <w:pPr>
                    <w:pStyle w:val="19"/>
                    <w:bidi w:val="0"/>
                    <w:jc w:val="center"/>
                    <w:rPr>
                      <w:rFonts w:hint="default"/>
                      <w:lang w:val="en-US" w:eastAsia="zh-CN"/>
                    </w:rPr>
                  </w:pPr>
                  <w:r>
                    <w:rPr>
                      <w:rFonts w:hint="eastAsia"/>
                      <w:lang w:val="en-US" w:eastAsia="zh-CN"/>
                    </w:rPr>
                    <w:t>标准值</w:t>
                  </w:r>
                </w:p>
              </w:tc>
              <w:tc>
                <w:tcPr>
                  <w:tcW w:w="1474" w:type="dxa"/>
                  <w:vAlign w:val="center"/>
                </w:tcPr>
                <w:p>
                  <w:pPr>
                    <w:pStyle w:val="19"/>
                    <w:bidi w:val="0"/>
                    <w:jc w:val="center"/>
                    <w:rPr>
                      <w:rFonts w:hint="default"/>
                      <w:lang w:val="en-US" w:eastAsia="zh-CN"/>
                    </w:rPr>
                  </w:pPr>
                  <w:r>
                    <w:rPr>
                      <w:rFonts w:hint="eastAsia"/>
                      <w:lang w:val="en-US" w:eastAsia="zh-CN"/>
                    </w:rPr>
                    <w:t>单位</w:t>
                  </w:r>
                </w:p>
              </w:tc>
              <w:tc>
                <w:tcPr>
                  <w:tcW w:w="2823" w:type="dxa"/>
                  <w:vAlign w:val="center"/>
                </w:tcPr>
                <w:p>
                  <w:pPr>
                    <w:pStyle w:val="19"/>
                    <w:bidi w:val="0"/>
                    <w:jc w:val="center"/>
                    <w:rPr>
                      <w:rFonts w:hint="default"/>
                      <w:lang w:val="en-US" w:eastAsia="zh-CN"/>
                    </w:rPr>
                  </w:pPr>
                  <w:r>
                    <w:rPr>
                      <w:rFonts w:hint="eastAsia"/>
                      <w:lang w:val="en-US" w:eastAsia="zh-CN"/>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5" w:type="dxa"/>
                  <w:vAlign w:val="center"/>
                </w:tcPr>
                <w:p>
                  <w:pPr>
                    <w:pStyle w:val="19"/>
                    <w:bidi w:val="0"/>
                    <w:jc w:val="center"/>
                    <w:rPr>
                      <w:rFonts w:hint="default"/>
                      <w:lang w:val="en-US" w:eastAsia="zh-CN"/>
                    </w:rPr>
                  </w:pPr>
                  <w:r>
                    <w:rPr>
                      <w:rFonts w:hint="eastAsia"/>
                      <w:lang w:val="en-US" w:eastAsia="zh-CN"/>
                    </w:rPr>
                    <w:t>pH</w:t>
                  </w:r>
                </w:p>
              </w:tc>
              <w:tc>
                <w:tcPr>
                  <w:tcW w:w="1868" w:type="dxa"/>
                  <w:vAlign w:val="center"/>
                </w:tcPr>
                <w:p>
                  <w:pPr>
                    <w:pStyle w:val="19"/>
                    <w:bidi w:val="0"/>
                    <w:jc w:val="center"/>
                    <w:rPr>
                      <w:rFonts w:hint="default"/>
                      <w:lang w:val="en-US" w:eastAsia="zh-CN"/>
                    </w:rPr>
                  </w:pPr>
                  <w:r>
                    <w:rPr>
                      <w:rFonts w:hint="eastAsia"/>
                      <w:lang w:val="en-US" w:eastAsia="zh-CN"/>
                    </w:rPr>
                    <w:t>6-9</w:t>
                  </w:r>
                </w:p>
              </w:tc>
              <w:tc>
                <w:tcPr>
                  <w:tcW w:w="1474" w:type="dxa"/>
                  <w:vAlign w:val="center"/>
                </w:tcPr>
                <w:p>
                  <w:pPr>
                    <w:pStyle w:val="19"/>
                    <w:bidi w:val="0"/>
                    <w:jc w:val="center"/>
                    <w:rPr>
                      <w:rFonts w:hint="default"/>
                      <w:lang w:val="en-US" w:eastAsia="zh-CN"/>
                    </w:rPr>
                  </w:pPr>
                  <w:r>
                    <w:rPr>
                      <w:rFonts w:hint="eastAsia"/>
                      <w:lang w:val="en-US" w:eastAsia="zh-CN"/>
                    </w:rPr>
                    <w:t>无量纲</w:t>
                  </w:r>
                </w:p>
              </w:tc>
              <w:tc>
                <w:tcPr>
                  <w:tcW w:w="2823" w:type="dxa"/>
                  <w:vMerge w:val="restart"/>
                  <w:vAlign w:val="center"/>
                </w:tcPr>
                <w:p>
                  <w:pPr>
                    <w:pStyle w:val="19"/>
                    <w:bidi w:val="0"/>
                    <w:jc w:val="center"/>
                    <w:rPr>
                      <w:rFonts w:hint="default"/>
                      <w:lang w:val="en-US" w:eastAsia="zh-CN"/>
                    </w:rPr>
                  </w:pPr>
                  <w:r>
                    <w:rPr>
                      <w:rFonts w:hint="eastAsia"/>
                      <w:lang w:val="en-US" w:eastAsia="zh-CN"/>
                    </w:rPr>
                    <w:t>《地表水环境质量标准》（GB3838-2002）中</w:t>
                  </w:r>
                  <w:r>
                    <w:rPr>
                      <w:rFonts w:hint="default" w:ascii="Times New Roman" w:hAnsi="Times New Roman" w:cs="Times New Roman"/>
                      <w:lang w:val="en-US" w:eastAsia="zh-CN"/>
                    </w:rPr>
                    <w:t>Ⅲ</w:t>
                  </w:r>
                  <w:r>
                    <w:rPr>
                      <w:rFonts w:hint="eastAsia" w:ascii="Times New Roman" w:hAnsi="Times New Roman" w:cs="Times New Roman"/>
                      <w:lang w:val="en-US" w:eastAsia="zh-CN"/>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5" w:type="dxa"/>
                  <w:vAlign w:val="center"/>
                </w:tcPr>
                <w:p>
                  <w:pPr>
                    <w:pStyle w:val="19"/>
                    <w:bidi w:val="0"/>
                    <w:jc w:val="center"/>
                    <w:rPr>
                      <w:rFonts w:hint="default"/>
                      <w:lang w:val="en-US" w:eastAsia="zh-CN"/>
                    </w:rPr>
                  </w:pPr>
                  <w:r>
                    <w:rPr>
                      <w:rFonts w:hint="eastAsia"/>
                      <w:lang w:val="en-US" w:eastAsia="zh-CN"/>
                    </w:rPr>
                    <w:t>DO</w:t>
                  </w:r>
                </w:p>
              </w:tc>
              <w:tc>
                <w:tcPr>
                  <w:tcW w:w="1868" w:type="dxa"/>
                  <w:vAlign w:val="center"/>
                </w:tcPr>
                <w:p>
                  <w:pPr>
                    <w:pStyle w:val="19"/>
                    <w:bidi w:val="0"/>
                    <w:jc w:val="center"/>
                    <w:rPr>
                      <w:rFonts w:hint="default"/>
                      <w:lang w:val="en-US" w:eastAsia="zh-CN"/>
                    </w:rPr>
                  </w:pPr>
                  <w:r>
                    <w:rPr>
                      <w:rFonts w:hint="eastAsia"/>
                      <w:lang w:val="en-US" w:eastAsia="zh-CN"/>
                    </w:rPr>
                    <w:t>5</w:t>
                  </w:r>
                </w:p>
              </w:tc>
              <w:tc>
                <w:tcPr>
                  <w:tcW w:w="1474" w:type="dxa"/>
                  <w:vMerge w:val="restart"/>
                  <w:vAlign w:val="center"/>
                </w:tcPr>
                <w:p>
                  <w:pPr>
                    <w:pStyle w:val="19"/>
                    <w:bidi w:val="0"/>
                    <w:jc w:val="center"/>
                    <w:rPr>
                      <w:rFonts w:hint="default"/>
                      <w:lang w:val="en-US" w:eastAsia="zh-CN"/>
                    </w:rPr>
                  </w:pPr>
                  <w:r>
                    <w:rPr>
                      <w:rFonts w:hint="eastAsia"/>
                      <w:lang w:val="en-US" w:eastAsia="zh-CN"/>
                    </w:rPr>
                    <w:t>mg/L</w:t>
                  </w:r>
                </w:p>
              </w:tc>
              <w:tc>
                <w:tcPr>
                  <w:tcW w:w="2823" w:type="dxa"/>
                  <w:vMerge w:val="continue"/>
                  <w:vAlign w:val="center"/>
                </w:tcPr>
                <w:p>
                  <w:pPr>
                    <w:pStyle w:val="19"/>
                    <w:bidi w:val="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5" w:type="dxa"/>
                  <w:vAlign w:val="center"/>
                </w:tcPr>
                <w:p>
                  <w:pPr>
                    <w:pStyle w:val="19"/>
                    <w:bidi w:val="0"/>
                    <w:jc w:val="center"/>
                    <w:rPr>
                      <w:rFonts w:hint="default"/>
                      <w:lang w:val="en-US" w:eastAsia="zh-CN"/>
                    </w:rPr>
                  </w:pPr>
                  <w:r>
                    <w:rPr>
                      <w:rFonts w:hint="eastAsia"/>
                      <w:lang w:val="en-US" w:eastAsia="zh-CN"/>
                    </w:rPr>
                    <w:t>CODcr</w:t>
                  </w:r>
                </w:p>
              </w:tc>
              <w:tc>
                <w:tcPr>
                  <w:tcW w:w="1868" w:type="dxa"/>
                  <w:vAlign w:val="center"/>
                </w:tcPr>
                <w:p>
                  <w:pPr>
                    <w:pStyle w:val="19"/>
                    <w:bidi w:val="0"/>
                    <w:jc w:val="center"/>
                    <w:rPr>
                      <w:rFonts w:hint="default"/>
                      <w:lang w:val="en-US" w:eastAsia="zh-CN"/>
                    </w:rPr>
                  </w:pPr>
                  <w:r>
                    <w:rPr>
                      <w:rFonts w:hint="eastAsia"/>
                      <w:lang w:val="en-US" w:eastAsia="zh-CN"/>
                    </w:rPr>
                    <w:t>20</w:t>
                  </w:r>
                </w:p>
              </w:tc>
              <w:tc>
                <w:tcPr>
                  <w:tcW w:w="1474" w:type="dxa"/>
                  <w:vMerge w:val="continue"/>
                  <w:vAlign w:val="center"/>
                </w:tcPr>
                <w:p>
                  <w:pPr>
                    <w:pStyle w:val="19"/>
                    <w:bidi w:val="0"/>
                    <w:jc w:val="center"/>
                    <w:rPr>
                      <w:rFonts w:hint="default"/>
                      <w:lang w:val="en-US" w:eastAsia="zh-CN"/>
                    </w:rPr>
                  </w:pPr>
                </w:p>
              </w:tc>
              <w:tc>
                <w:tcPr>
                  <w:tcW w:w="2823" w:type="dxa"/>
                  <w:vMerge w:val="continue"/>
                  <w:vAlign w:val="center"/>
                </w:tcPr>
                <w:p>
                  <w:pPr>
                    <w:pStyle w:val="19"/>
                    <w:bidi w:val="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5" w:type="dxa"/>
                  <w:vAlign w:val="center"/>
                </w:tcPr>
                <w:p>
                  <w:pPr>
                    <w:pStyle w:val="19"/>
                    <w:bidi w:val="0"/>
                    <w:jc w:val="center"/>
                    <w:rPr>
                      <w:rFonts w:hint="default"/>
                      <w:lang w:val="en-US" w:eastAsia="zh-CN"/>
                    </w:rPr>
                  </w:pPr>
                  <w:r>
                    <w:rPr>
                      <w:rFonts w:hint="eastAsia"/>
                      <w:lang w:val="en-US" w:eastAsia="zh-CN"/>
                    </w:rPr>
                    <w:t>BOD</w:t>
                  </w:r>
                  <w:r>
                    <w:rPr>
                      <w:rFonts w:hint="eastAsia"/>
                      <w:vertAlign w:val="subscript"/>
                      <w:lang w:val="en-US" w:eastAsia="zh-CN"/>
                    </w:rPr>
                    <w:t>5</w:t>
                  </w:r>
                </w:p>
              </w:tc>
              <w:tc>
                <w:tcPr>
                  <w:tcW w:w="1868" w:type="dxa"/>
                  <w:vAlign w:val="center"/>
                </w:tcPr>
                <w:p>
                  <w:pPr>
                    <w:pStyle w:val="19"/>
                    <w:bidi w:val="0"/>
                    <w:jc w:val="center"/>
                    <w:rPr>
                      <w:rFonts w:hint="default"/>
                      <w:lang w:val="en-US" w:eastAsia="zh-CN"/>
                    </w:rPr>
                  </w:pPr>
                  <w:r>
                    <w:rPr>
                      <w:rFonts w:hint="eastAsia"/>
                      <w:lang w:val="en-US" w:eastAsia="zh-CN"/>
                    </w:rPr>
                    <w:t>4</w:t>
                  </w:r>
                </w:p>
              </w:tc>
              <w:tc>
                <w:tcPr>
                  <w:tcW w:w="1474" w:type="dxa"/>
                  <w:vMerge w:val="continue"/>
                  <w:vAlign w:val="center"/>
                </w:tcPr>
                <w:p>
                  <w:pPr>
                    <w:pStyle w:val="19"/>
                    <w:bidi w:val="0"/>
                    <w:jc w:val="center"/>
                    <w:rPr>
                      <w:rFonts w:hint="default"/>
                      <w:lang w:val="en-US" w:eastAsia="zh-CN"/>
                    </w:rPr>
                  </w:pPr>
                </w:p>
              </w:tc>
              <w:tc>
                <w:tcPr>
                  <w:tcW w:w="2823" w:type="dxa"/>
                  <w:vMerge w:val="continue"/>
                  <w:vAlign w:val="center"/>
                </w:tcPr>
                <w:p>
                  <w:pPr>
                    <w:pStyle w:val="19"/>
                    <w:bidi w:val="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5" w:type="dxa"/>
                  <w:vAlign w:val="center"/>
                </w:tcPr>
                <w:p>
                  <w:pPr>
                    <w:pStyle w:val="19"/>
                    <w:bidi w:val="0"/>
                    <w:jc w:val="center"/>
                    <w:rPr>
                      <w:rFonts w:hint="default"/>
                      <w:lang w:val="en-US" w:eastAsia="zh-CN"/>
                    </w:rPr>
                  </w:pPr>
                  <w:r>
                    <w:rPr>
                      <w:rFonts w:hint="eastAsia"/>
                      <w:lang w:val="en-US" w:eastAsia="zh-CN"/>
                    </w:rPr>
                    <w:t>SS</w:t>
                  </w:r>
                </w:p>
              </w:tc>
              <w:tc>
                <w:tcPr>
                  <w:tcW w:w="1868" w:type="dxa"/>
                  <w:vAlign w:val="center"/>
                </w:tcPr>
                <w:p>
                  <w:pPr>
                    <w:pStyle w:val="19"/>
                    <w:bidi w:val="0"/>
                    <w:jc w:val="center"/>
                    <w:rPr>
                      <w:rFonts w:hint="default"/>
                      <w:lang w:val="en-US" w:eastAsia="zh-CN"/>
                    </w:rPr>
                  </w:pPr>
                  <w:r>
                    <w:rPr>
                      <w:rFonts w:hint="eastAsia"/>
                      <w:lang w:val="en-US" w:eastAsia="zh-CN"/>
                    </w:rPr>
                    <w:t>30</w:t>
                  </w:r>
                </w:p>
              </w:tc>
              <w:tc>
                <w:tcPr>
                  <w:tcW w:w="1474" w:type="dxa"/>
                  <w:vMerge w:val="continue"/>
                  <w:vAlign w:val="center"/>
                </w:tcPr>
                <w:p>
                  <w:pPr>
                    <w:pStyle w:val="19"/>
                    <w:bidi w:val="0"/>
                    <w:jc w:val="center"/>
                    <w:rPr>
                      <w:rFonts w:hint="default"/>
                      <w:lang w:val="en-US" w:eastAsia="zh-CN"/>
                    </w:rPr>
                  </w:pPr>
                </w:p>
              </w:tc>
              <w:tc>
                <w:tcPr>
                  <w:tcW w:w="2823" w:type="dxa"/>
                  <w:vMerge w:val="continue"/>
                  <w:vAlign w:val="center"/>
                </w:tcPr>
                <w:p>
                  <w:pPr>
                    <w:pStyle w:val="19"/>
                    <w:bidi w:val="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5" w:type="dxa"/>
                  <w:vAlign w:val="center"/>
                </w:tcPr>
                <w:p>
                  <w:pPr>
                    <w:pStyle w:val="19"/>
                    <w:bidi w:val="0"/>
                    <w:jc w:val="center"/>
                    <w:rPr>
                      <w:rFonts w:hint="default"/>
                      <w:lang w:val="en-US" w:eastAsia="zh-CN"/>
                    </w:rPr>
                  </w:pPr>
                  <w:r>
                    <w:rPr>
                      <w:rFonts w:hint="eastAsia"/>
                      <w:lang w:val="en-US" w:eastAsia="zh-CN"/>
                    </w:rPr>
                    <w:t>NH</w:t>
                  </w:r>
                  <w:r>
                    <w:rPr>
                      <w:rFonts w:hint="eastAsia"/>
                      <w:vertAlign w:val="subscript"/>
                      <w:lang w:val="en-US" w:eastAsia="zh-CN"/>
                    </w:rPr>
                    <w:t>3</w:t>
                  </w:r>
                  <w:r>
                    <w:rPr>
                      <w:rFonts w:hint="eastAsia"/>
                      <w:lang w:val="en-US" w:eastAsia="zh-CN"/>
                    </w:rPr>
                    <w:t>-N</w:t>
                  </w:r>
                </w:p>
              </w:tc>
              <w:tc>
                <w:tcPr>
                  <w:tcW w:w="1868" w:type="dxa"/>
                  <w:vAlign w:val="center"/>
                </w:tcPr>
                <w:p>
                  <w:pPr>
                    <w:pStyle w:val="19"/>
                    <w:bidi w:val="0"/>
                    <w:jc w:val="center"/>
                    <w:rPr>
                      <w:rFonts w:hint="default"/>
                      <w:lang w:val="en-US" w:eastAsia="zh-CN"/>
                    </w:rPr>
                  </w:pPr>
                  <w:r>
                    <w:rPr>
                      <w:rFonts w:hint="eastAsia"/>
                      <w:lang w:val="en-US" w:eastAsia="zh-CN"/>
                    </w:rPr>
                    <w:t>1.0</w:t>
                  </w:r>
                </w:p>
              </w:tc>
              <w:tc>
                <w:tcPr>
                  <w:tcW w:w="1474" w:type="dxa"/>
                  <w:vMerge w:val="continue"/>
                  <w:vAlign w:val="center"/>
                </w:tcPr>
                <w:p>
                  <w:pPr>
                    <w:pStyle w:val="19"/>
                    <w:bidi w:val="0"/>
                    <w:jc w:val="center"/>
                    <w:rPr>
                      <w:rFonts w:hint="default"/>
                      <w:lang w:val="en-US" w:eastAsia="zh-CN"/>
                    </w:rPr>
                  </w:pPr>
                </w:p>
              </w:tc>
              <w:tc>
                <w:tcPr>
                  <w:tcW w:w="2823" w:type="dxa"/>
                  <w:vMerge w:val="continue"/>
                  <w:vAlign w:val="center"/>
                </w:tcPr>
                <w:p>
                  <w:pPr>
                    <w:pStyle w:val="19"/>
                    <w:bidi w:val="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205" w:type="dxa"/>
                  <w:vAlign w:val="center"/>
                </w:tcPr>
                <w:p>
                  <w:pPr>
                    <w:pStyle w:val="19"/>
                    <w:bidi w:val="0"/>
                    <w:jc w:val="center"/>
                    <w:rPr>
                      <w:rFonts w:hint="default"/>
                      <w:lang w:val="en-US" w:eastAsia="zh-CN"/>
                    </w:rPr>
                  </w:pPr>
                  <w:r>
                    <w:rPr>
                      <w:rFonts w:hint="eastAsia"/>
                      <w:lang w:val="en-US" w:eastAsia="zh-CN"/>
                    </w:rPr>
                    <w:t>总氮</w:t>
                  </w:r>
                </w:p>
              </w:tc>
              <w:tc>
                <w:tcPr>
                  <w:tcW w:w="1868" w:type="dxa"/>
                  <w:vAlign w:val="center"/>
                </w:tcPr>
                <w:p>
                  <w:pPr>
                    <w:pStyle w:val="19"/>
                    <w:bidi w:val="0"/>
                    <w:jc w:val="center"/>
                    <w:rPr>
                      <w:rFonts w:hint="default"/>
                      <w:lang w:val="en-US" w:eastAsia="zh-CN"/>
                    </w:rPr>
                  </w:pPr>
                  <w:r>
                    <w:rPr>
                      <w:rFonts w:hint="eastAsia"/>
                      <w:lang w:val="en-US" w:eastAsia="zh-CN"/>
                    </w:rPr>
                    <w:t>1.0</w:t>
                  </w:r>
                </w:p>
              </w:tc>
              <w:tc>
                <w:tcPr>
                  <w:tcW w:w="1474" w:type="dxa"/>
                  <w:vMerge w:val="continue"/>
                  <w:vAlign w:val="center"/>
                </w:tcPr>
                <w:p>
                  <w:pPr>
                    <w:pStyle w:val="19"/>
                    <w:bidi w:val="0"/>
                    <w:jc w:val="center"/>
                    <w:rPr>
                      <w:rFonts w:hint="default"/>
                      <w:lang w:val="en-US" w:eastAsia="zh-CN"/>
                    </w:rPr>
                  </w:pPr>
                </w:p>
              </w:tc>
              <w:tc>
                <w:tcPr>
                  <w:tcW w:w="2823" w:type="dxa"/>
                  <w:vMerge w:val="continue"/>
                  <w:vAlign w:val="center"/>
                </w:tcPr>
                <w:p>
                  <w:pPr>
                    <w:pStyle w:val="19"/>
                    <w:bidi w:val="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5" w:type="dxa"/>
                  <w:vAlign w:val="center"/>
                </w:tcPr>
                <w:p>
                  <w:pPr>
                    <w:pStyle w:val="19"/>
                    <w:bidi w:val="0"/>
                    <w:jc w:val="center"/>
                    <w:rPr>
                      <w:rFonts w:hint="default"/>
                      <w:lang w:val="en-US" w:eastAsia="zh-CN"/>
                    </w:rPr>
                  </w:pPr>
                  <w:r>
                    <w:rPr>
                      <w:rFonts w:hint="eastAsia"/>
                      <w:lang w:val="en-US" w:eastAsia="zh-CN"/>
                    </w:rPr>
                    <w:t>总磷</w:t>
                  </w:r>
                </w:p>
              </w:tc>
              <w:tc>
                <w:tcPr>
                  <w:tcW w:w="1868" w:type="dxa"/>
                  <w:vAlign w:val="center"/>
                </w:tcPr>
                <w:p>
                  <w:pPr>
                    <w:pStyle w:val="19"/>
                    <w:bidi w:val="0"/>
                    <w:jc w:val="center"/>
                    <w:rPr>
                      <w:rFonts w:hint="default"/>
                      <w:lang w:val="en-US" w:eastAsia="zh-CN"/>
                    </w:rPr>
                  </w:pPr>
                  <w:r>
                    <w:rPr>
                      <w:rFonts w:hint="eastAsia"/>
                      <w:lang w:val="en-US" w:eastAsia="zh-CN"/>
                    </w:rPr>
                    <w:t>0.2</w:t>
                  </w:r>
                </w:p>
              </w:tc>
              <w:tc>
                <w:tcPr>
                  <w:tcW w:w="1474" w:type="dxa"/>
                  <w:vMerge w:val="continue"/>
                  <w:vAlign w:val="center"/>
                </w:tcPr>
                <w:p>
                  <w:pPr>
                    <w:pStyle w:val="19"/>
                    <w:bidi w:val="0"/>
                    <w:jc w:val="center"/>
                    <w:rPr>
                      <w:rFonts w:hint="default"/>
                      <w:lang w:val="en-US" w:eastAsia="zh-CN"/>
                    </w:rPr>
                  </w:pPr>
                </w:p>
              </w:tc>
              <w:tc>
                <w:tcPr>
                  <w:tcW w:w="2823" w:type="dxa"/>
                  <w:vMerge w:val="continue"/>
                  <w:vAlign w:val="center"/>
                </w:tcPr>
                <w:p>
                  <w:pPr>
                    <w:pStyle w:val="19"/>
                    <w:bidi w:val="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5" w:type="dxa"/>
                  <w:vAlign w:val="center"/>
                </w:tcPr>
                <w:p>
                  <w:pPr>
                    <w:pStyle w:val="19"/>
                    <w:bidi w:val="0"/>
                    <w:jc w:val="center"/>
                    <w:rPr>
                      <w:rFonts w:hint="default"/>
                      <w:lang w:val="en-US" w:eastAsia="zh-CN"/>
                    </w:rPr>
                  </w:pPr>
                  <w:r>
                    <w:rPr>
                      <w:rFonts w:hint="eastAsia"/>
                      <w:lang w:val="en-US" w:eastAsia="zh-CN"/>
                    </w:rPr>
                    <w:t>高锰酸盐指数</w:t>
                  </w:r>
                </w:p>
              </w:tc>
              <w:tc>
                <w:tcPr>
                  <w:tcW w:w="1868" w:type="dxa"/>
                  <w:vAlign w:val="center"/>
                </w:tcPr>
                <w:p>
                  <w:pPr>
                    <w:pStyle w:val="19"/>
                    <w:bidi w:val="0"/>
                    <w:jc w:val="center"/>
                    <w:rPr>
                      <w:rFonts w:hint="default"/>
                      <w:lang w:val="en-US" w:eastAsia="zh-CN"/>
                    </w:rPr>
                  </w:pPr>
                  <w:r>
                    <w:rPr>
                      <w:rFonts w:hint="eastAsia"/>
                      <w:lang w:val="en-US" w:eastAsia="zh-CN"/>
                    </w:rPr>
                    <w:t>6</w:t>
                  </w:r>
                </w:p>
              </w:tc>
              <w:tc>
                <w:tcPr>
                  <w:tcW w:w="1474" w:type="dxa"/>
                  <w:vMerge w:val="continue"/>
                  <w:vAlign w:val="center"/>
                </w:tcPr>
                <w:p>
                  <w:pPr>
                    <w:pStyle w:val="19"/>
                    <w:bidi w:val="0"/>
                    <w:jc w:val="center"/>
                    <w:rPr>
                      <w:rFonts w:hint="default"/>
                      <w:lang w:val="en-US" w:eastAsia="zh-CN"/>
                    </w:rPr>
                  </w:pPr>
                </w:p>
              </w:tc>
              <w:tc>
                <w:tcPr>
                  <w:tcW w:w="2823" w:type="dxa"/>
                  <w:vMerge w:val="continue"/>
                  <w:vAlign w:val="center"/>
                </w:tcPr>
                <w:p>
                  <w:pPr>
                    <w:pStyle w:val="19"/>
                    <w:bidi w:val="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5" w:type="dxa"/>
                  <w:vAlign w:val="center"/>
                </w:tcPr>
                <w:p>
                  <w:pPr>
                    <w:pStyle w:val="19"/>
                    <w:bidi w:val="0"/>
                    <w:jc w:val="center"/>
                    <w:rPr>
                      <w:rFonts w:hint="default"/>
                      <w:lang w:val="en-US" w:eastAsia="zh-CN"/>
                    </w:rPr>
                  </w:pPr>
                  <w:r>
                    <w:rPr>
                      <w:rFonts w:hint="eastAsia"/>
                      <w:lang w:val="en-US" w:eastAsia="zh-CN"/>
                    </w:rPr>
                    <w:t>石油类</w:t>
                  </w:r>
                </w:p>
              </w:tc>
              <w:tc>
                <w:tcPr>
                  <w:tcW w:w="1868" w:type="dxa"/>
                  <w:vAlign w:val="center"/>
                </w:tcPr>
                <w:p>
                  <w:pPr>
                    <w:pStyle w:val="19"/>
                    <w:bidi w:val="0"/>
                    <w:jc w:val="center"/>
                    <w:rPr>
                      <w:rFonts w:hint="default"/>
                      <w:lang w:val="en-US" w:eastAsia="zh-CN"/>
                    </w:rPr>
                  </w:pPr>
                  <w:r>
                    <w:rPr>
                      <w:rFonts w:hint="eastAsia"/>
                      <w:lang w:val="en-US" w:eastAsia="zh-CN"/>
                    </w:rPr>
                    <w:t>0.05</w:t>
                  </w:r>
                </w:p>
              </w:tc>
              <w:tc>
                <w:tcPr>
                  <w:tcW w:w="1474" w:type="dxa"/>
                  <w:vMerge w:val="continue"/>
                  <w:vAlign w:val="center"/>
                </w:tcPr>
                <w:p>
                  <w:pPr>
                    <w:pStyle w:val="19"/>
                    <w:bidi w:val="0"/>
                    <w:jc w:val="center"/>
                    <w:rPr>
                      <w:rFonts w:hint="default"/>
                      <w:lang w:val="en-US" w:eastAsia="zh-CN"/>
                    </w:rPr>
                  </w:pPr>
                </w:p>
              </w:tc>
              <w:tc>
                <w:tcPr>
                  <w:tcW w:w="2823" w:type="dxa"/>
                  <w:vMerge w:val="continue"/>
                  <w:vAlign w:val="center"/>
                </w:tcPr>
                <w:p>
                  <w:pPr>
                    <w:pStyle w:val="19"/>
                    <w:bidi w:val="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5" w:type="dxa"/>
                  <w:vAlign w:val="center"/>
                </w:tcPr>
                <w:p>
                  <w:pPr>
                    <w:pStyle w:val="19"/>
                    <w:bidi w:val="0"/>
                    <w:jc w:val="center"/>
                    <w:rPr>
                      <w:rFonts w:hint="default"/>
                      <w:lang w:val="en-US" w:eastAsia="zh-CN"/>
                    </w:rPr>
                  </w:pPr>
                  <w:r>
                    <w:rPr>
                      <w:rFonts w:hint="eastAsia"/>
                      <w:lang w:val="en-US" w:eastAsia="zh-CN"/>
                    </w:rPr>
                    <w:t>阴离子表面活性剂</w:t>
                  </w:r>
                </w:p>
              </w:tc>
              <w:tc>
                <w:tcPr>
                  <w:tcW w:w="1868" w:type="dxa"/>
                  <w:vAlign w:val="center"/>
                </w:tcPr>
                <w:p>
                  <w:pPr>
                    <w:pStyle w:val="19"/>
                    <w:bidi w:val="0"/>
                    <w:jc w:val="center"/>
                    <w:rPr>
                      <w:rFonts w:hint="default"/>
                      <w:lang w:val="en-US" w:eastAsia="zh-CN"/>
                    </w:rPr>
                  </w:pPr>
                  <w:r>
                    <w:rPr>
                      <w:rFonts w:hint="eastAsia"/>
                      <w:lang w:val="en-US" w:eastAsia="zh-CN"/>
                    </w:rPr>
                    <w:t>0.2</w:t>
                  </w:r>
                </w:p>
              </w:tc>
              <w:tc>
                <w:tcPr>
                  <w:tcW w:w="1474" w:type="dxa"/>
                  <w:vMerge w:val="continue"/>
                  <w:vAlign w:val="center"/>
                </w:tcPr>
                <w:p>
                  <w:pPr>
                    <w:pStyle w:val="19"/>
                    <w:bidi w:val="0"/>
                    <w:jc w:val="center"/>
                    <w:rPr>
                      <w:rFonts w:hint="default"/>
                      <w:lang w:val="en-US" w:eastAsia="zh-CN"/>
                    </w:rPr>
                  </w:pPr>
                </w:p>
              </w:tc>
              <w:tc>
                <w:tcPr>
                  <w:tcW w:w="2823" w:type="dxa"/>
                  <w:vMerge w:val="continue"/>
                  <w:vAlign w:val="center"/>
                </w:tcPr>
                <w:p>
                  <w:pPr>
                    <w:pStyle w:val="19"/>
                    <w:bidi w:val="0"/>
                    <w:jc w:val="center"/>
                    <w:rPr>
                      <w:rFonts w:hint="default"/>
                      <w:lang w:val="en-US" w:eastAsia="zh-CN"/>
                    </w:rPr>
                  </w:pPr>
                </w:p>
              </w:tc>
            </w:tr>
          </w:tbl>
          <w:p>
            <w:pPr>
              <w:pStyle w:val="19"/>
              <w:bidi w:val="0"/>
              <w:jc w:val="both"/>
              <w:rPr>
                <w:rFonts w:hint="default"/>
                <w:lang w:val="en-US" w:eastAsia="zh-CN"/>
              </w:rPr>
            </w:pPr>
            <w:r>
              <w:rPr>
                <w:rFonts w:hint="eastAsia"/>
                <w:lang w:val="en-US" w:eastAsia="zh-CN"/>
              </w:rPr>
              <w:t>注：SS参照执行《地表水资源质量标准》（SL63-94）。</w:t>
            </w:r>
          </w:p>
          <w:p>
            <w:pPr>
              <w:bidi w:val="0"/>
              <w:rPr>
                <w:rFonts w:hint="eastAsia"/>
                <w:lang w:val="en-US" w:eastAsia="zh-CN"/>
              </w:rPr>
            </w:pPr>
            <w:r>
              <w:rPr>
                <w:rFonts w:hint="eastAsia"/>
                <w:lang w:val="en-US" w:eastAsia="zh-CN"/>
              </w:rPr>
              <w:t>（3）声环境质量标准</w:t>
            </w:r>
          </w:p>
          <w:p>
            <w:pPr>
              <w:bidi w:val="0"/>
              <w:rPr>
                <w:rFonts w:hint="eastAsia"/>
                <w:lang w:val="en-US" w:eastAsia="zh-CN"/>
              </w:rPr>
            </w:pPr>
            <w:r>
              <w:rPr>
                <w:rFonts w:hint="eastAsia"/>
                <w:lang w:val="en-US" w:eastAsia="zh-CN"/>
              </w:rPr>
              <w:t>本项目所在区域声环境质量执行《声环境质量标准》（GB3096-2008）中的2类标准，具体标准值见下表。</w:t>
            </w:r>
          </w:p>
          <w:p>
            <w:pPr>
              <w:pStyle w:val="18"/>
              <w:bidi w:val="0"/>
              <w:rPr>
                <w:rFonts w:hint="eastAsia"/>
                <w:lang w:val="en-US" w:eastAsia="zh-CN"/>
              </w:rPr>
            </w:pPr>
            <w:r>
              <w:rPr>
                <w:rFonts w:hint="eastAsia"/>
                <w:lang w:val="en-US" w:eastAsia="zh-CN"/>
              </w:rPr>
              <w:t>表16 声环境质量标准（单位：db(A)）</w:t>
            </w:r>
          </w:p>
          <w:tbl>
            <w:tblPr>
              <w:tblStyle w:val="16"/>
              <w:tblW w:w="83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10"/>
              <w:gridCol w:w="1474"/>
              <w:gridCol w:w="935"/>
              <w:gridCol w:w="41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trPr>
              <w:tc>
                <w:tcPr>
                  <w:tcW w:w="1810" w:type="dxa"/>
                  <w:vMerge w:val="restart"/>
                  <w:vAlign w:val="center"/>
                </w:tcPr>
                <w:p>
                  <w:pPr>
                    <w:pStyle w:val="19"/>
                    <w:bidi w:val="0"/>
                    <w:jc w:val="center"/>
                    <w:rPr>
                      <w:rFonts w:hint="default"/>
                      <w:lang w:val="en-US" w:eastAsia="zh-CN"/>
                    </w:rPr>
                  </w:pPr>
                  <w:r>
                    <w:rPr>
                      <w:rFonts w:hint="eastAsia"/>
                      <w:lang w:val="en-US" w:eastAsia="zh-CN"/>
                    </w:rPr>
                    <w:t>功能类别</w:t>
                  </w:r>
                </w:p>
              </w:tc>
              <w:tc>
                <w:tcPr>
                  <w:tcW w:w="2409" w:type="dxa"/>
                  <w:gridSpan w:val="2"/>
                  <w:vAlign w:val="center"/>
                </w:tcPr>
                <w:p>
                  <w:pPr>
                    <w:pStyle w:val="19"/>
                    <w:bidi w:val="0"/>
                    <w:jc w:val="center"/>
                    <w:rPr>
                      <w:rFonts w:hint="default"/>
                      <w:lang w:val="en-US" w:eastAsia="zh-CN"/>
                    </w:rPr>
                  </w:pPr>
                  <w:r>
                    <w:rPr>
                      <w:rFonts w:hint="eastAsia"/>
                      <w:lang w:val="en-US" w:eastAsia="zh-CN"/>
                    </w:rPr>
                    <w:t>标准值</w:t>
                  </w:r>
                </w:p>
              </w:tc>
              <w:tc>
                <w:tcPr>
                  <w:tcW w:w="4151" w:type="dxa"/>
                  <w:vMerge w:val="restart"/>
                  <w:vAlign w:val="center"/>
                </w:tcPr>
                <w:p>
                  <w:pPr>
                    <w:pStyle w:val="19"/>
                    <w:bidi w:val="0"/>
                    <w:jc w:val="center"/>
                    <w:rPr>
                      <w:rFonts w:hint="default"/>
                      <w:lang w:val="en-US" w:eastAsia="zh-CN"/>
                    </w:rPr>
                  </w:pPr>
                  <w:r>
                    <w:rPr>
                      <w:rFonts w:hint="eastAsia"/>
                      <w:lang w:val="en-US" w:eastAsia="zh-CN"/>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trPr>
              <w:tc>
                <w:tcPr>
                  <w:tcW w:w="1810" w:type="dxa"/>
                  <w:vMerge w:val="continue"/>
                  <w:vAlign w:val="center"/>
                </w:tcPr>
                <w:p>
                  <w:pPr>
                    <w:pStyle w:val="19"/>
                    <w:bidi w:val="0"/>
                    <w:jc w:val="center"/>
                  </w:pPr>
                </w:p>
              </w:tc>
              <w:tc>
                <w:tcPr>
                  <w:tcW w:w="1474" w:type="dxa"/>
                  <w:vAlign w:val="center"/>
                </w:tcPr>
                <w:p>
                  <w:pPr>
                    <w:pStyle w:val="19"/>
                    <w:bidi w:val="0"/>
                    <w:jc w:val="center"/>
                    <w:rPr>
                      <w:rFonts w:hint="default"/>
                      <w:lang w:val="en-US" w:eastAsia="zh-CN"/>
                    </w:rPr>
                  </w:pPr>
                  <w:r>
                    <w:rPr>
                      <w:rFonts w:hint="eastAsia"/>
                      <w:lang w:val="en-US" w:eastAsia="zh-CN"/>
                    </w:rPr>
                    <w:t>昼间</w:t>
                  </w:r>
                </w:p>
              </w:tc>
              <w:tc>
                <w:tcPr>
                  <w:tcW w:w="935" w:type="dxa"/>
                  <w:vAlign w:val="center"/>
                </w:tcPr>
                <w:p>
                  <w:pPr>
                    <w:pStyle w:val="19"/>
                    <w:bidi w:val="0"/>
                    <w:jc w:val="center"/>
                    <w:rPr>
                      <w:rFonts w:hint="default"/>
                      <w:lang w:val="en-US" w:eastAsia="zh-CN"/>
                    </w:rPr>
                  </w:pPr>
                  <w:r>
                    <w:rPr>
                      <w:rFonts w:hint="eastAsia"/>
                      <w:lang w:val="en-US" w:eastAsia="zh-CN"/>
                    </w:rPr>
                    <w:t>夜间</w:t>
                  </w:r>
                </w:p>
              </w:tc>
              <w:tc>
                <w:tcPr>
                  <w:tcW w:w="4151" w:type="dxa"/>
                  <w:vMerge w:val="continue"/>
                  <w:vAlign w:val="center"/>
                </w:tcPr>
                <w:p>
                  <w:pPr>
                    <w:pStyle w:val="19"/>
                    <w:bidi w:val="0"/>
                    <w:jc w:val="center"/>
                    <w:rPr>
                      <w:rFonts w:hint="eastAsia"/>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1810" w:type="dxa"/>
                  <w:vAlign w:val="center"/>
                </w:tcPr>
                <w:p>
                  <w:pPr>
                    <w:pStyle w:val="19"/>
                    <w:bidi w:val="0"/>
                    <w:jc w:val="center"/>
                    <w:rPr>
                      <w:rFonts w:hint="default"/>
                      <w:lang w:val="en-US" w:eastAsia="zh-CN"/>
                    </w:rPr>
                  </w:pPr>
                  <w:r>
                    <w:rPr>
                      <w:rFonts w:hint="eastAsia"/>
                      <w:lang w:val="en-US" w:eastAsia="zh-CN"/>
                    </w:rPr>
                    <w:t>2类</w:t>
                  </w:r>
                </w:p>
              </w:tc>
              <w:tc>
                <w:tcPr>
                  <w:tcW w:w="1474" w:type="dxa"/>
                  <w:vAlign w:val="center"/>
                </w:tcPr>
                <w:p>
                  <w:pPr>
                    <w:pStyle w:val="19"/>
                    <w:bidi w:val="0"/>
                    <w:jc w:val="center"/>
                    <w:rPr>
                      <w:rFonts w:hint="default"/>
                      <w:lang w:val="en-US" w:eastAsia="zh-CN"/>
                    </w:rPr>
                  </w:pPr>
                  <w:r>
                    <w:rPr>
                      <w:rFonts w:hint="eastAsia"/>
                      <w:lang w:val="en-US" w:eastAsia="zh-CN"/>
                    </w:rPr>
                    <w:t>60</w:t>
                  </w:r>
                </w:p>
              </w:tc>
              <w:tc>
                <w:tcPr>
                  <w:tcW w:w="935" w:type="dxa"/>
                  <w:vAlign w:val="center"/>
                </w:tcPr>
                <w:p>
                  <w:pPr>
                    <w:pStyle w:val="19"/>
                    <w:bidi w:val="0"/>
                    <w:jc w:val="center"/>
                    <w:rPr>
                      <w:rFonts w:hint="default"/>
                      <w:lang w:val="en-US" w:eastAsia="zh-CN"/>
                    </w:rPr>
                  </w:pPr>
                  <w:r>
                    <w:rPr>
                      <w:rFonts w:hint="eastAsia"/>
                      <w:lang w:val="en-US" w:eastAsia="zh-CN"/>
                    </w:rPr>
                    <w:t>50</w:t>
                  </w:r>
                </w:p>
              </w:tc>
              <w:tc>
                <w:tcPr>
                  <w:tcW w:w="4151" w:type="dxa"/>
                  <w:vAlign w:val="center"/>
                </w:tcPr>
                <w:p>
                  <w:pPr>
                    <w:pStyle w:val="19"/>
                    <w:bidi w:val="0"/>
                    <w:jc w:val="center"/>
                    <w:rPr>
                      <w:rFonts w:hint="default"/>
                      <w:lang w:val="en-US" w:eastAsia="zh-CN"/>
                    </w:rPr>
                  </w:pPr>
                  <w:r>
                    <w:rPr>
                      <w:rFonts w:hint="eastAsia"/>
                      <w:lang w:val="en-US" w:eastAsia="zh-CN"/>
                    </w:rPr>
                    <w:t>《声环境质量标准》（GB3096-2008）2类标准</w:t>
                  </w:r>
                </w:p>
              </w:tc>
            </w:tr>
          </w:tbl>
          <w:p>
            <w:pPr>
              <w:bidi w:val="0"/>
              <w:ind w:left="0" w:leftChars="0" w:firstLine="0" w:firstLineChars="0"/>
              <w:jc w:val="both"/>
              <w:rPr>
                <w:rFonts w:hint="eastAsia"/>
                <w:b/>
                <w:bCs/>
                <w:lang w:val="en-US" w:eastAsia="zh-CN"/>
              </w:rPr>
            </w:pPr>
            <w:r>
              <w:rPr>
                <w:rFonts w:hint="eastAsia"/>
                <w:b/>
                <w:bCs/>
                <w:lang w:val="en-US" w:eastAsia="zh-CN"/>
              </w:rPr>
              <w:t>2、污染物排放标准</w:t>
            </w:r>
          </w:p>
          <w:p>
            <w:pPr>
              <w:bidi w:val="0"/>
              <w:jc w:val="both"/>
              <w:rPr>
                <w:rFonts w:hint="eastAsia"/>
                <w:lang w:val="en-US" w:eastAsia="zh-CN"/>
              </w:rPr>
            </w:pPr>
            <w:r>
              <w:rPr>
                <w:rFonts w:hint="eastAsia"/>
                <w:lang w:val="en-US" w:eastAsia="zh-CN"/>
              </w:rPr>
              <w:t>（1）废气</w:t>
            </w:r>
          </w:p>
          <w:p>
            <w:pPr>
              <w:bidi w:val="0"/>
              <w:rPr>
                <w:rFonts w:hint="eastAsia"/>
                <w:lang w:val="en-US" w:eastAsia="zh-CN"/>
              </w:rPr>
            </w:pPr>
            <w:r>
              <w:rPr>
                <w:rFonts w:hint="eastAsia"/>
                <w:lang w:val="en-US" w:eastAsia="zh-CN"/>
              </w:rPr>
              <w:t>项目施工期产生的扬尘执行《大气污染物综合排放标准》（GB16297-1996）表2中的无组织排放监控浓度限值。营运期备用发电机燃烧废气执行《大气污染物综合排放标准》（GB16297-1996）表2中的无组织排放监控浓度限值；公厕产生的恶臭执行《恶臭污染物排放标准》（GB14554-93）表1标准；</w:t>
            </w:r>
            <w:r>
              <w:rPr>
                <w:rFonts w:hint="eastAsia"/>
                <w:color w:val="auto"/>
                <w:lang w:val="en-US" w:eastAsia="zh-CN"/>
              </w:rPr>
              <w:t>食堂油烟排放参照执行《饮食业油烟排放标准（试行）》（GB18483-2001）中“大型标准”。</w:t>
            </w:r>
          </w:p>
          <w:p>
            <w:pPr>
              <w:pStyle w:val="18"/>
              <w:bidi w:val="0"/>
              <w:rPr>
                <w:rFonts w:hint="eastAsia"/>
                <w:lang w:val="en-US" w:eastAsia="zh-CN"/>
              </w:rPr>
            </w:pPr>
            <w:r>
              <w:rPr>
                <w:rFonts w:hint="eastAsia"/>
                <w:lang w:val="en-US" w:eastAsia="zh-CN"/>
              </w:rPr>
              <w:t>表17 大气污染物综合排放标准</w:t>
            </w:r>
          </w:p>
          <w:tbl>
            <w:tblPr>
              <w:tblStyle w:val="16"/>
              <w:tblW w:w="83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34"/>
              <w:gridCol w:w="4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 w:hRule="atLeast"/>
              </w:trPr>
              <w:tc>
                <w:tcPr>
                  <w:tcW w:w="3634" w:type="dxa"/>
                  <w:vAlign w:val="center"/>
                </w:tcPr>
                <w:p>
                  <w:pPr>
                    <w:pStyle w:val="19"/>
                    <w:bidi w:val="0"/>
                    <w:rPr>
                      <w:rFonts w:hint="eastAsia"/>
                      <w:lang w:val="en-US" w:eastAsia="zh-CN"/>
                    </w:rPr>
                  </w:pPr>
                  <w:r>
                    <w:rPr>
                      <w:rFonts w:hint="eastAsia"/>
                      <w:lang w:val="en-US" w:eastAsia="zh-CN"/>
                    </w:rPr>
                    <w:t>污染物</w:t>
                  </w:r>
                </w:p>
              </w:tc>
              <w:tc>
                <w:tcPr>
                  <w:tcW w:w="4736" w:type="dxa"/>
                  <w:vAlign w:val="center"/>
                </w:tcPr>
                <w:p>
                  <w:pPr>
                    <w:pStyle w:val="19"/>
                    <w:bidi w:val="0"/>
                    <w:rPr>
                      <w:rFonts w:hint="eastAsia"/>
                      <w:lang w:val="en-US" w:eastAsia="zh-CN"/>
                    </w:rPr>
                  </w:pPr>
                  <w:r>
                    <w:rPr>
                      <w:rFonts w:hint="eastAsia"/>
                      <w:lang w:val="en-US" w:eastAsia="zh-CN"/>
                    </w:rPr>
                    <w:t>无组织排放监控</w:t>
                  </w:r>
                  <w:r>
                    <w:rPr>
                      <w:rFonts w:hint="eastAsia"/>
                      <w:lang w:eastAsia="zh-CN"/>
                    </w:rPr>
                    <w:t>浓度</w:t>
                  </w:r>
                  <w:r>
                    <w:rPr>
                      <w:rFonts w:hint="eastAsia"/>
                      <w:lang w:val="en-US" w:eastAsia="zh-CN"/>
                    </w:rPr>
                    <w:t>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34" w:type="dxa"/>
                  <w:vAlign w:val="center"/>
                </w:tcPr>
                <w:p>
                  <w:pPr>
                    <w:pStyle w:val="19"/>
                    <w:bidi w:val="0"/>
                    <w:rPr>
                      <w:rFonts w:hint="eastAsia"/>
                      <w:lang w:val="en-US" w:eastAsia="zh-CN"/>
                    </w:rPr>
                  </w:pPr>
                  <w:r>
                    <w:rPr>
                      <w:rFonts w:hint="eastAsia"/>
                      <w:lang w:val="en-US" w:eastAsia="zh-CN"/>
                    </w:rPr>
                    <w:t>TSP</w:t>
                  </w:r>
                </w:p>
              </w:tc>
              <w:tc>
                <w:tcPr>
                  <w:tcW w:w="4736" w:type="dxa"/>
                  <w:vAlign w:val="center"/>
                </w:tcPr>
                <w:p>
                  <w:pPr>
                    <w:pStyle w:val="19"/>
                    <w:bidi w:val="0"/>
                    <w:rPr>
                      <w:rFonts w:hint="eastAsia"/>
                      <w:lang w:val="en-US" w:eastAsia="zh-CN"/>
                    </w:rPr>
                  </w:pPr>
                  <w:r>
                    <w:rPr>
                      <w:rFonts w:hint="eastAsia"/>
                      <w:lang w:val="en-US" w:eastAsia="zh-CN"/>
                    </w:rPr>
                    <w:t>1</w:t>
                  </w:r>
                </w:p>
              </w:tc>
            </w:tr>
          </w:tbl>
          <w:p>
            <w:pPr>
              <w:pStyle w:val="18"/>
              <w:bidi w:val="0"/>
              <w:rPr>
                <w:rFonts w:hint="eastAsia"/>
                <w:lang w:val="en-US" w:eastAsia="zh-CN"/>
              </w:rPr>
            </w:pPr>
            <w:r>
              <w:rPr>
                <w:rFonts w:hint="eastAsia"/>
                <w:lang w:val="en-US" w:eastAsia="zh-CN"/>
              </w:rPr>
              <w:t>表18 备用发电机燃烧废气执行标准  单位：mg/m</w:t>
            </w:r>
            <w:r>
              <w:rPr>
                <w:rFonts w:hint="eastAsia"/>
                <w:vertAlign w:val="superscript"/>
                <w:lang w:val="en-US" w:eastAsia="zh-CN"/>
              </w:rPr>
              <w:t>3</w:t>
            </w:r>
          </w:p>
          <w:tbl>
            <w:tblPr>
              <w:tblStyle w:val="16"/>
              <w:tblW w:w="83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34"/>
              <w:gridCol w:w="4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34" w:type="dxa"/>
                  <w:vAlign w:val="top"/>
                </w:tcPr>
                <w:p>
                  <w:pPr>
                    <w:pStyle w:val="19"/>
                    <w:bidi w:val="0"/>
                    <w:rPr>
                      <w:rFonts w:hint="default"/>
                      <w:lang w:val="en-US" w:eastAsia="zh-CN"/>
                    </w:rPr>
                  </w:pPr>
                  <w:r>
                    <w:rPr>
                      <w:rFonts w:hint="eastAsia"/>
                      <w:lang w:val="en-US" w:eastAsia="zh-CN"/>
                    </w:rPr>
                    <w:t>污染物</w:t>
                  </w:r>
                </w:p>
              </w:tc>
              <w:tc>
                <w:tcPr>
                  <w:tcW w:w="4736" w:type="dxa"/>
                  <w:vAlign w:val="top"/>
                </w:tcPr>
                <w:p>
                  <w:pPr>
                    <w:pStyle w:val="19"/>
                    <w:bidi w:val="0"/>
                    <w:rPr>
                      <w:rFonts w:hint="default"/>
                      <w:lang w:val="en-US" w:eastAsia="zh-CN"/>
                    </w:rPr>
                  </w:pPr>
                  <w:r>
                    <w:rPr>
                      <w:rFonts w:hint="eastAsia"/>
                      <w:lang w:val="en-US" w:eastAsia="zh-CN"/>
                    </w:rPr>
                    <w:t>无组织排放监控</w:t>
                  </w:r>
                  <w:r>
                    <w:rPr>
                      <w:rFonts w:hint="eastAsia"/>
                      <w:lang w:eastAsia="zh-CN"/>
                    </w:rPr>
                    <w:t>浓度</w:t>
                  </w:r>
                  <w:r>
                    <w:rPr>
                      <w:rFonts w:hint="eastAsia"/>
                      <w:lang w:val="en-US" w:eastAsia="zh-CN"/>
                    </w:rPr>
                    <w:t>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34" w:type="dxa"/>
                  <w:vAlign w:val="top"/>
                </w:tcPr>
                <w:p>
                  <w:pPr>
                    <w:pStyle w:val="19"/>
                    <w:bidi w:val="0"/>
                    <w:rPr>
                      <w:rFonts w:hint="default"/>
                      <w:lang w:val="en-US" w:eastAsia="zh-CN"/>
                    </w:rPr>
                  </w:pPr>
                  <w:r>
                    <w:rPr>
                      <w:rFonts w:hint="eastAsia"/>
                      <w:lang w:val="en-US" w:eastAsia="zh-CN"/>
                    </w:rPr>
                    <w:t>NOx</w:t>
                  </w:r>
                </w:p>
              </w:tc>
              <w:tc>
                <w:tcPr>
                  <w:tcW w:w="4736" w:type="dxa"/>
                  <w:vAlign w:val="top"/>
                </w:tcPr>
                <w:p>
                  <w:pPr>
                    <w:pStyle w:val="19"/>
                    <w:bidi w:val="0"/>
                    <w:rPr>
                      <w:rFonts w:hint="default"/>
                      <w:lang w:val="en-US" w:eastAsia="zh-CN"/>
                    </w:rPr>
                  </w:pPr>
                  <w:r>
                    <w:rPr>
                      <w:rFonts w:hint="eastAsia"/>
                      <w:lang w:val="en-US" w:eastAsia="zh-CN"/>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34" w:type="dxa"/>
                  <w:vAlign w:val="top"/>
                </w:tcPr>
                <w:p>
                  <w:pPr>
                    <w:pStyle w:val="19"/>
                    <w:bidi w:val="0"/>
                    <w:rPr>
                      <w:rFonts w:hint="default"/>
                      <w:lang w:val="en-US" w:eastAsia="zh-CN"/>
                    </w:rPr>
                  </w:pPr>
                  <w:r>
                    <w:rPr>
                      <w:rFonts w:hint="eastAsia"/>
                      <w:lang w:val="en-US" w:eastAsia="zh-CN"/>
                    </w:rPr>
                    <w:t>SO</w:t>
                  </w:r>
                  <w:r>
                    <w:rPr>
                      <w:rFonts w:hint="eastAsia"/>
                      <w:vertAlign w:val="subscript"/>
                      <w:lang w:val="en-US" w:eastAsia="zh-CN"/>
                    </w:rPr>
                    <w:t>2</w:t>
                  </w:r>
                </w:p>
              </w:tc>
              <w:tc>
                <w:tcPr>
                  <w:tcW w:w="4736" w:type="dxa"/>
                  <w:vAlign w:val="top"/>
                </w:tcPr>
                <w:p>
                  <w:pPr>
                    <w:pStyle w:val="19"/>
                    <w:bidi w:val="0"/>
                    <w:rPr>
                      <w:rFonts w:hint="default"/>
                      <w:lang w:val="en-US" w:eastAsia="zh-CN"/>
                    </w:rPr>
                  </w:pPr>
                  <w:r>
                    <w:rPr>
                      <w:rFonts w:hint="eastAsia"/>
                      <w:lang w:val="en-US" w:eastAsia="zh-CN"/>
                    </w:rPr>
                    <w:t>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34" w:type="dxa"/>
                  <w:vAlign w:val="top"/>
                </w:tcPr>
                <w:p>
                  <w:pPr>
                    <w:pStyle w:val="19"/>
                    <w:bidi w:val="0"/>
                    <w:rPr>
                      <w:rFonts w:hint="default"/>
                      <w:lang w:val="en-US" w:eastAsia="zh-CN"/>
                    </w:rPr>
                  </w:pPr>
                  <w:r>
                    <w:rPr>
                      <w:rFonts w:hint="eastAsia"/>
                      <w:lang w:val="en-US" w:eastAsia="zh-CN"/>
                    </w:rPr>
                    <w:t>烟尘</w:t>
                  </w:r>
                </w:p>
              </w:tc>
              <w:tc>
                <w:tcPr>
                  <w:tcW w:w="4736" w:type="dxa"/>
                  <w:vAlign w:val="top"/>
                </w:tcPr>
                <w:p>
                  <w:pPr>
                    <w:pStyle w:val="19"/>
                    <w:bidi w:val="0"/>
                    <w:rPr>
                      <w:rFonts w:hint="default"/>
                      <w:lang w:val="en-US" w:eastAsia="zh-CN"/>
                    </w:rPr>
                  </w:pPr>
                  <w:r>
                    <w:rPr>
                      <w:rFonts w:hint="eastAsia"/>
                      <w:lang w:val="en-US" w:eastAsia="zh-CN"/>
                    </w:rPr>
                    <w:t>1.0</w:t>
                  </w:r>
                </w:p>
              </w:tc>
            </w:tr>
          </w:tbl>
          <w:p>
            <w:pPr>
              <w:pStyle w:val="18"/>
              <w:bidi w:val="0"/>
              <w:rPr>
                <w:rFonts w:hint="eastAsia"/>
                <w:vertAlign w:val="superscript"/>
                <w:lang w:val="en-US" w:eastAsia="zh-CN"/>
              </w:rPr>
            </w:pPr>
            <w:r>
              <w:rPr>
                <w:rFonts w:hint="eastAsia"/>
                <w:lang w:val="en-US" w:eastAsia="zh-CN"/>
              </w:rPr>
              <w:t>表19 公厕周边大气污染物最高允许浓度  单位：mg/m</w:t>
            </w:r>
            <w:r>
              <w:rPr>
                <w:rFonts w:hint="eastAsia"/>
                <w:vertAlign w:val="superscript"/>
                <w:lang w:val="en-US" w:eastAsia="zh-CN"/>
              </w:rPr>
              <w:t>3</w:t>
            </w:r>
          </w:p>
          <w:tbl>
            <w:tblPr>
              <w:tblStyle w:val="16"/>
              <w:tblW w:w="83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34"/>
              <w:gridCol w:w="4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34" w:type="dxa"/>
                  <w:vAlign w:val="center"/>
                </w:tcPr>
                <w:p>
                  <w:pPr>
                    <w:pStyle w:val="19"/>
                    <w:bidi w:val="0"/>
                    <w:rPr>
                      <w:rFonts w:hint="default"/>
                      <w:lang w:val="en-US" w:eastAsia="zh-CN"/>
                    </w:rPr>
                  </w:pPr>
                  <w:r>
                    <w:rPr>
                      <w:rFonts w:hint="eastAsia"/>
                      <w:lang w:val="en-US" w:eastAsia="zh-CN"/>
                    </w:rPr>
                    <w:t>污染物</w:t>
                  </w:r>
                </w:p>
              </w:tc>
              <w:tc>
                <w:tcPr>
                  <w:tcW w:w="4736" w:type="dxa"/>
                  <w:vAlign w:val="center"/>
                </w:tcPr>
                <w:p>
                  <w:pPr>
                    <w:pStyle w:val="19"/>
                    <w:bidi w:val="0"/>
                    <w:rPr>
                      <w:rFonts w:hint="default"/>
                      <w:lang w:val="en-US" w:eastAsia="zh-CN"/>
                    </w:rPr>
                  </w:pPr>
                  <w:r>
                    <w:rPr>
                      <w:rFonts w:hint="eastAsia"/>
                      <w:lang w:val="en-US" w:eastAsia="zh-CN"/>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34" w:type="dxa"/>
                  <w:vAlign w:val="center"/>
                </w:tcPr>
                <w:p>
                  <w:pPr>
                    <w:pStyle w:val="19"/>
                    <w:bidi w:val="0"/>
                    <w:rPr>
                      <w:rFonts w:hint="default"/>
                      <w:lang w:val="en-US" w:eastAsia="zh-CN"/>
                    </w:rPr>
                  </w:pPr>
                  <w:r>
                    <w:rPr>
                      <w:rFonts w:hint="eastAsia"/>
                      <w:lang w:val="en-US" w:eastAsia="zh-CN"/>
                    </w:rPr>
                    <w:t>氨</w:t>
                  </w:r>
                </w:p>
              </w:tc>
              <w:tc>
                <w:tcPr>
                  <w:tcW w:w="4736" w:type="dxa"/>
                  <w:vAlign w:val="center"/>
                </w:tcPr>
                <w:p>
                  <w:pPr>
                    <w:pStyle w:val="19"/>
                    <w:bidi w:val="0"/>
                    <w:rPr>
                      <w:rFonts w:hint="default"/>
                      <w:lang w:val="en-US" w:eastAsia="zh-CN"/>
                    </w:rPr>
                  </w:pPr>
                  <w:r>
                    <w:rPr>
                      <w:rFonts w:hint="eastAsia"/>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34" w:type="dxa"/>
                  <w:vAlign w:val="center"/>
                </w:tcPr>
                <w:p>
                  <w:pPr>
                    <w:pStyle w:val="19"/>
                    <w:bidi w:val="0"/>
                    <w:rPr>
                      <w:rFonts w:hint="default"/>
                      <w:lang w:val="en-US" w:eastAsia="zh-CN"/>
                    </w:rPr>
                  </w:pPr>
                  <w:r>
                    <w:rPr>
                      <w:rFonts w:hint="eastAsia"/>
                      <w:lang w:val="en-US" w:eastAsia="zh-CN"/>
                    </w:rPr>
                    <w:t>硫化氢</w:t>
                  </w:r>
                </w:p>
              </w:tc>
              <w:tc>
                <w:tcPr>
                  <w:tcW w:w="4736" w:type="dxa"/>
                  <w:vAlign w:val="center"/>
                </w:tcPr>
                <w:p>
                  <w:pPr>
                    <w:pStyle w:val="19"/>
                    <w:bidi w:val="0"/>
                    <w:rPr>
                      <w:rFonts w:hint="default"/>
                      <w:lang w:val="en-US" w:eastAsia="zh-CN"/>
                    </w:rPr>
                  </w:pPr>
                  <w:r>
                    <w:rPr>
                      <w:rFonts w:hint="eastAsia"/>
                      <w:lang w:val="en-US" w:eastAsia="zh-C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34" w:type="dxa"/>
                  <w:vAlign w:val="center"/>
                </w:tcPr>
                <w:p>
                  <w:pPr>
                    <w:pStyle w:val="19"/>
                    <w:bidi w:val="0"/>
                    <w:rPr>
                      <w:rFonts w:hint="default"/>
                      <w:lang w:val="en-US" w:eastAsia="zh-CN"/>
                    </w:rPr>
                  </w:pPr>
                  <w:r>
                    <w:rPr>
                      <w:rFonts w:hint="eastAsia"/>
                      <w:lang w:val="en-US" w:eastAsia="zh-CN"/>
                    </w:rPr>
                    <w:t>臭气浓度（无量纲）</w:t>
                  </w:r>
                </w:p>
              </w:tc>
              <w:tc>
                <w:tcPr>
                  <w:tcW w:w="4736" w:type="dxa"/>
                  <w:vAlign w:val="center"/>
                </w:tcPr>
                <w:p>
                  <w:pPr>
                    <w:pStyle w:val="19"/>
                    <w:bidi w:val="0"/>
                    <w:rPr>
                      <w:rFonts w:hint="default"/>
                      <w:lang w:val="en-US" w:eastAsia="zh-CN"/>
                    </w:rPr>
                  </w:pPr>
                  <w:r>
                    <w:rPr>
                      <w:rFonts w:hint="eastAsia"/>
                      <w:lang w:val="en-US" w:eastAsia="zh-CN"/>
                    </w:rPr>
                    <w:t>20</w:t>
                  </w:r>
                </w:p>
              </w:tc>
            </w:tr>
          </w:tbl>
          <w:p>
            <w:pPr>
              <w:pStyle w:val="18"/>
              <w:bidi w:val="0"/>
              <w:rPr>
                <w:rFonts w:hint="eastAsia"/>
                <w:vertAlign w:val="baseline"/>
                <w:lang w:val="en-US" w:eastAsia="zh-CN"/>
              </w:rPr>
            </w:pPr>
            <w:r>
              <w:rPr>
                <w:rFonts w:hint="eastAsia"/>
                <w:vertAlign w:val="baseline"/>
                <w:lang w:val="en-US" w:eastAsia="zh-CN"/>
              </w:rPr>
              <w:t>表20 餐饮油烟排放执行标准</w:t>
            </w:r>
          </w:p>
          <w:tbl>
            <w:tblPr>
              <w:tblStyle w:val="16"/>
              <w:tblW w:w="83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34"/>
              <w:gridCol w:w="4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3634" w:type="dxa"/>
                  <w:vAlign w:val="center"/>
                </w:tcPr>
                <w:p>
                  <w:pPr>
                    <w:pStyle w:val="19"/>
                    <w:bidi w:val="0"/>
                    <w:rPr>
                      <w:rFonts w:hint="default"/>
                      <w:lang w:val="en-US" w:eastAsia="zh-CN"/>
                    </w:rPr>
                  </w:pPr>
                  <w:r>
                    <w:rPr>
                      <w:rFonts w:hint="default"/>
                    </w:rPr>
                    <w:t>规模</w:t>
                  </w:r>
                </w:p>
              </w:tc>
              <w:tc>
                <w:tcPr>
                  <w:tcW w:w="4736" w:type="dxa"/>
                  <w:vAlign w:val="center"/>
                </w:tcPr>
                <w:p>
                  <w:pPr>
                    <w:pStyle w:val="19"/>
                    <w:bidi w:val="0"/>
                    <w:rPr>
                      <w:rFonts w:hint="default"/>
                      <w:lang w:val="en-US" w:eastAsia="zh-CN"/>
                    </w:rPr>
                  </w:pPr>
                  <w:r>
                    <w:rPr>
                      <w:rFonts w:hint="eastAsia"/>
                      <w:lang w:val="en-US" w:eastAsia="zh-CN"/>
                    </w:rPr>
                    <w:t>大型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34" w:type="dxa"/>
                  <w:vAlign w:val="center"/>
                </w:tcPr>
                <w:p>
                  <w:pPr>
                    <w:pStyle w:val="19"/>
                    <w:bidi w:val="0"/>
                    <w:rPr>
                      <w:rFonts w:hint="default"/>
                      <w:lang w:val="en-US" w:eastAsia="zh-CN"/>
                    </w:rPr>
                  </w:pPr>
                  <w:r>
                    <w:rPr>
                      <w:rFonts w:hint="default"/>
                    </w:rPr>
                    <w:t>最高允许排放浓度（mg/</w:t>
                  </w:r>
                  <w:r>
                    <w:rPr>
                      <w:rFonts w:hint="eastAsia"/>
                      <w:lang w:val="en-US" w:eastAsia="zh-CN"/>
                    </w:rPr>
                    <w:t>m</w:t>
                  </w:r>
                  <w:r>
                    <w:rPr>
                      <w:rFonts w:hint="eastAsia"/>
                      <w:vertAlign w:val="superscript"/>
                      <w:lang w:val="en-US" w:eastAsia="zh-CN"/>
                    </w:rPr>
                    <w:t>3</w:t>
                  </w:r>
                  <w:r>
                    <w:rPr>
                      <w:rFonts w:hint="default"/>
                    </w:rPr>
                    <w:t>）</w:t>
                  </w:r>
                </w:p>
              </w:tc>
              <w:tc>
                <w:tcPr>
                  <w:tcW w:w="4736" w:type="dxa"/>
                  <w:vAlign w:val="center"/>
                </w:tcPr>
                <w:p>
                  <w:pPr>
                    <w:pStyle w:val="19"/>
                    <w:bidi w:val="0"/>
                    <w:rPr>
                      <w:rFonts w:hint="default"/>
                      <w:lang w:val="en-US" w:eastAsia="zh-CN"/>
                    </w:rPr>
                  </w:pPr>
                  <w:r>
                    <w:rPr>
                      <w:rFonts w:hint="default"/>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34" w:type="dxa"/>
                  <w:vAlign w:val="center"/>
                </w:tcPr>
                <w:p>
                  <w:pPr>
                    <w:pStyle w:val="19"/>
                    <w:bidi w:val="0"/>
                    <w:rPr>
                      <w:rFonts w:hint="default"/>
                      <w:lang w:val="en-US" w:eastAsia="zh-CN"/>
                    </w:rPr>
                  </w:pPr>
                  <w:r>
                    <w:rPr>
                      <w:rFonts w:hint="default"/>
                    </w:rPr>
                    <w:t>净化设施最低去除率（%）</w:t>
                  </w:r>
                </w:p>
              </w:tc>
              <w:tc>
                <w:tcPr>
                  <w:tcW w:w="4736" w:type="dxa"/>
                  <w:vAlign w:val="center"/>
                </w:tcPr>
                <w:p>
                  <w:pPr>
                    <w:pStyle w:val="19"/>
                    <w:bidi w:val="0"/>
                    <w:rPr>
                      <w:rFonts w:hint="default" w:eastAsia="宋体"/>
                      <w:lang w:val="en-US" w:eastAsia="zh-CN"/>
                    </w:rPr>
                  </w:pPr>
                  <w:r>
                    <w:rPr>
                      <w:rFonts w:hint="eastAsia"/>
                      <w:lang w:val="en-US" w:eastAsia="zh-CN"/>
                    </w:rPr>
                    <w:t>85</w:t>
                  </w:r>
                </w:p>
              </w:tc>
            </w:tr>
          </w:tbl>
          <w:p>
            <w:pPr>
              <w:bidi w:val="0"/>
              <w:rPr>
                <w:rFonts w:hint="eastAsia"/>
                <w:lang w:val="en-US" w:eastAsia="zh-CN"/>
              </w:rPr>
            </w:pPr>
            <w:r>
              <w:rPr>
                <w:rFonts w:hint="eastAsia"/>
                <w:lang w:val="en-US" w:eastAsia="zh-CN"/>
              </w:rPr>
              <w:t>（2）废水</w:t>
            </w:r>
          </w:p>
          <w:p>
            <w:pPr>
              <w:bidi w:val="0"/>
              <w:jc w:val="both"/>
              <w:rPr>
                <w:rFonts w:hint="default"/>
                <w:color w:val="auto"/>
                <w:lang w:val="en-US" w:eastAsia="zh-CN"/>
              </w:rPr>
            </w:pPr>
            <w:r>
              <w:rPr>
                <w:rFonts w:hint="eastAsia"/>
                <w:color w:val="auto"/>
                <w:u w:val="none"/>
                <w:lang w:val="en-US" w:eastAsia="zh-CN"/>
              </w:rPr>
              <w:t>本项目营运期产生的综合废水经化粪池预处理，满足《污水综合排放标准（含修改单）》（GB8978-1996）中表4三级标准后，</w:t>
            </w:r>
            <w:r>
              <w:rPr>
                <w:rFonts w:hint="default"/>
              </w:rPr>
              <w:t>排入市政污水管网并最终进入</w:t>
            </w:r>
            <w:r>
              <w:rPr>
                <w:rFonts w:hint="eastAsia"/>
                <w:lang w:eastAsia="zh-CN"/>
              </w:rPr>
              <w:t>松木生活污水处理厂</w:t>
            </w:r>
            <w:r>
              <w:rPr>
                <w:rFonts w:hint="eastAsia"/>
                <w:color w:val="auto"/>
                <w:u w:val="none"/>
                <w:lang w:val="en-US" w:eastAsia="zh-CN"/>
              </w:rPr>
              <w:t>。本项目水池娱乐用水经珍珠岩过滤系统过滤后循环使用，水池娱乐循环用水水质应满足《游泳池设计规范》中的人工游泳池水质卫生标准。</w:t>
            </w:r>
          </w:p>
          <w:p>
            <w:pPr>
              <w:pStyle w:val="18"/>
              <w:bidi w:val="0"/>
              <w:rPr>
                <w:rFonts w:hint="eastAsia"/>
                <w:color w:val="auto"/>
                <w:lang w:val="en-US" w:eastAsia="zh-CN"/>
              </w:rPr>
            </w:pPr>
            <w:r>
              <w:rPr>
                <w:rFonts w:hint="eastAsia"/>
                <w:color w:val="auto"/>
                <w:lang w:val="en-US" w:eastAsia="zh-CN"/>
              </w:rPr>
              <w:t>表21 废水排放标准  单位：mg/L，pH：无量纲</w:t>
            </w:r>
          </w:p>
          <w:tbl>
            <w:tblPr>
              <w:tblStyle w:val="16"/>
              <w:tblW w:w="83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5"/>
              <w:gridCol w:w="1195"/>
              <w:gridCol w:w="1619"/>
              <w:gridCol w:w="1485"/>
              <w:gridCol w:w="1470"/>
              <w:gridCol w:w="14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5" w:type="dxa"/>
                </w:tcPr>
                <w:p>
                  <w:pPr>
                    <w:pStyle w:val="19"/>
                    <w:bidi w:val="0"/>
                    <w:rPr>
                      <w:rFonts w:hint="default"/>
                      <w:color w:val="auto"/>
                      <w:lang w:val="en-US" w:eastAsia="zh-CN"/>
                    </w:rPr>
                  </w:pPr>
                  <w:r>
                    <w:rPr>
                      <w:rFonts w:hint="eastAsia"/>
                      <w:color w:val="auto"/>
                      <w:lang w:val="en-US" w:eastAsia="zh-CN"/>
                    </w:rPr>
                    <w:t>污染物</w:t>
                  </w:r>
                </w:p>
              </w:tc>
              <w:tc>
                <w:tcPr>
                  <w:tcW w:w="1195" w:type="dxa"/>
                </w:tcPr>
                <w:p>
                  <w:pPr>
                    <w:pStyle w:val="19"/>
                    <w:bidi w:val="0"/>
                    <w:rPr>
                      <w:rFonts w:hint="default"/>
                      <w:color w:val="auto"/>
                      <w:lang w:val="en-US" w:eastAsia="zh-CN"/>
                    </w:rPr>
                  </w:pPr>
                  <w:r>
                    <w:rPr>
                      <w:rFonts w:hint="eastAsia"/>
                      <w:color w:val="auto"/>
                      <w:lang w:val="en-US" w:eastAsia="zh-CN"/>
                    </w:rPr>
                    <w:t>pH</w:t>
                  </w:r>
                </w:p>
              </w:tc>
              <w:tc>
                <w:tcPr>
                  <w:tcW w:w="1619" w:type="dxa"/>
                </w:tcPr>
                <w:p>
                  <w:pPr>
                    <w:pStyle w:val="19"/>
                    <w:bidi w:val="0"/>
                    <w:rPr>
                      <w:rFonts w:hint="default"/>
                      <w:color w:val="auto"/>
                      <w:lang w:val="en-US" w:eastAsia="zh-CN"/>
                    </w:rPr>
                  </w:pPr>
                  <w:r>
                    <w:rPr>
                      <w:rFonts w:hint="eastAsia"/>
                      <w:color w:val="auto"/>
                      <w:lang w:val="en-US" w:eastAsia="zh-CN"/>
                    </w:rPr>
                    <w:t>CODcr</w:t>
                  </w:r>
                </w:p>
              </w:tc>
              <w:tc>
                <w:tcPr>
                  <w:tcW w:w="1485" w:type="dxa"/>
                </w:tcPr>
                <w:p>
                  <w:pPr>
                    <w:pStyle w:val="19"/>
                    <w:bidi w:val="0"/>
                    <w:rPr>
                      <w:rFonts w:hint="default"/>
                      <w:color w:val="auto"/>
                      <w:lang w:val="en-US" w:eastAsia="zh-CN"/>
                    </w:rPr>
                  </w:pPr>
                  <w:r>
                    <w:rPr>
                      <w:rFonts w:hint="eastAsia"/>
                      <w:color w:val="auto"/>
                      <w:lang w:val="en-US" w:eastAsia="zh-CN"/>
                    </w:rPr>
                    <w:t>BOD</w:t>
                  </w:r>
                  <w:r>
                    <w:rPr>
                      <w:rFonts w:hint="eastAsia"/>
                      <w:color w:val="auto"/>
                      <w:vertAlign w:val="subscript"/>
                      <w:lang w:val="en-US" w:eastAsia="zh-CN"/>
                    </w:rPr>
                    <w:t>5</w:t>
                  </w:r>
                </w:p>
              </w:tc>
              <w:tc>
                <w:tcPr>
                  <w:tcW w:w="1470" w:type="dxa"/>
                </w:tcPr>
                <w:p>
                  <w:pPr>
                    <w:pStyle w:val="19"/>
                    <w:bidi w:val="0"/>
                    <w:rPr>
                      <w:rFonts w:hint="default"/>
                      <w:color w:val="auto"/>
                      <w:lang w:val="en-US" w:eastAsia="zh-CN"/>
                    </w:rPr>
                  </w:pPr>
                  <w:r>
                    <w:rPr>
                      <w:rFonts w:hint="eastAsia"/>
                      <w:color w:val="auto"/>
                      <w:lang w:val="en-US" w:eastAsia="zh-CN"/>
                    </w:rPr>
                    <w:t>SS</w:t>
                  </w:r>
                </w:p>
              </w:tc>
              <w:tc>
                <w:tcPr>
                  <w:tcW w:w="1425" w:type="dxa"/>
                </w:tcPr>
                <w:p>
                  <w:pPr>
                    <w:pStyle w:val="19"/>
                    <w:bidi w:val="0"/>
                    <w:rPr>
                      <w:rFonts w:hint="default"/>
                      <w:color w:val="auto"/>
                      <w:lang w:val="en-US" w:eastAsia="zh-CN"/>
                    </w:rPr>
                  </w:pPr>
                  <w:r>
                    <w:rPr>
                      <w:rFonts w:hint="eastAsia"/>
                      <w:color w:val="auto"/>
                      <w:lang w:val="en-US" w:eastAsia="zh-CN"/>
                    </w:rPr>
                    <w:t>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5" w:type="dxa"/>
                </w:tcPr>
                <w:p>
                  <w:pPr>
                    <w:pStyle w:val="19"/>
                    <w:bidi w:val="0"/>
                    <w:rPr>
                      <w:rFonts w:hint="default"/>
                      <w:color w:val="auto"/>
                      <w:lang w:val="en-US" w:eastAsia="zh-CN"/>
                    </w:rPr>
                  </w:pPr>
                  <w:r>
                    <w:rPr>
                      <w:rFonts w:hint="eastAsia"/>
                      <w:color w:val="auto"/>
                      <w:lang w:val="en-US" w:eastAsia="zh-CN"/>
                    </w:rPr>
                    <w:t>排放限值</w:t>
                  </w:r>
                </w:p>
              </w:tc>
              <w:tc>
                <w:tcPr>
                  <w:tcW w:w="1195" w:type="dxa"/>
                </w:tcPr>
                <w:p>
                  <w:pPr>
                    <w:pStyle w:val="19"/>
                    <w:bidi w:val="0"/>
                    <w:rPr>
                      <w:rFonts w:hint="default"/>
                      <w:color w:val="auto"/>
                      <w:lang w:val="en-US" w:eastAsia="zh-CN"/>
                    </w:rPr>
                  </w:pPr>
                  <w:r>
                    <w:rPr>
                      <w:rFonts w:hint="eastAsia"/>
                      <w:color w:val="auto"/>
                      <w:lang w:val="en-US" w:eastAsia="zh-CN"/>
                    </w:rPr>
                    <w:t>6~9</w:t>
                  </w:r>
                </w:p>
              </w:tc>
              <w:tc>
                <w:tcPr>
                  <w:tcW w:w="1619" w:type="dxa"/>
                </w:tcPr>
                <w:p>
                  <w:pPr>
                    <w:pStyle w:val="19"/>
                    <w:bidi w:val="0"/>
                    <w:rPr>
                      <w:rFonts w:hint="default"/>
                      <w:color w:val="auto"/>
                      <w:lang w:val="en-US" w:eastAsia="zh-CN"/>
                    </w:rPr>
                  </w:pPr>
                  <w:r>
                    <w:rPr>
                      <w:rFonts w:hint="eastAsia"/>
                      <w:color w:val="auto"/>
                      <w:lang w:val="en-US" w:eastAsia="zh-CN"/>
                    </w:rPr>
                    <w:t>≤500</w:t>
                  </w:r>
                </w:p>
              </w:tc>
              <w:tc>
                <w:tcPr>
                  <w:tcW w:w="1485" w:type="dxa"/>
                </w:tcPr>
                <w:p>
                  <w:pPr>
                    <w:pStyle w:val="19"/>
                    <w:bidi w:val="0"/>
                    <w:rPr>
                      <w:rFonts w:hint="default"/>
                      <w:color w:val="auto"/>
                      <w:lang w:val="en-US" w:eastAsia="zh-CN"/>
                    </w:rPr>
                  </w:pPr>
                  <w:r>
                    <w:rPr>
                      <w:rFonts w:hint="eastAsia"/>
                      <w:color w:val="auto"/>
                      <w:lang w:val="en-US" w:eastAsia="zh-CN"/>
                    </w:rPr>
                    <w:t>≤300</w:t>
                  </w:r>
                </w:p>
              </w:tc>
              <w:tc>
                <w:tcPr>
                  <w:tcW w:w="1470" w:type="dxa"/>
                </w:tcPr>
                <w:p>
                  <w:pPr>
                    <w:pStyle w:val="19"/>
                    <w:bidi w:val="0"/>
                    <w:rPr>
                      <w:rFonts w:hint="default"/>
                      <w:color w:val="auto"/>
                      <w:lang w:val="en-US" w:eastAsia="zh-CN"/>
                    </w:rPr>
                  </w:pPr>
                  <w:r>
                    <w:rPr>
                      <w:rFonts w:hint="eastAsia"/>
                      <w:color w:val="auto"/>
                      <w:lang w:val="en-US" w:eastAsia="zh-CN"/>
                    </w:rPr>
                    <w:t>≤400</w:t>
                  </w:r>
                </w:p>
              </w:tc>
              <w:tc>
                <w:tcPr>
                  <w:tcW w:w="1425" w:type="dxa"/>
                </w:tcPr>
                <w:p>
                  <w:pPr>
                    <w:pStyle w:val="19"/>
                    <w:bidi w:val="0"/>
                    <w:rPr>
                      <w:rFonts w:hint="default"/>
                      <w:color w:val="auto"/>
                      <w:lang w:val="en-US" w:eastAsia="zh-CN"/>
                    </w:rPr>
                  </w:pPr>
                  <w:r>
                    <w:rPr>
                      <w:rFonts w:hint="eastAsia"/>
                      <w:color w:val="auto"/>
                      <w:lang w:val="en-US" w:eastAsia="zh-CN"/>
                    </w:rPr>
                    <w:t>/</w:t>
                  </w:r>
                </w:p>
              </w:tc>
            </w:tr>
          </w:tbl>
          <w:p>
            <w:pPr>
              <w:pStyle w:val="18"/>
              <w:bidi w:val="0"/>
              <w:rPr>
                <w:rFonts w:hint="eastAsia"/>
                <w:color w:val="auto"/>
                <w:lang w:val="en-US" w:eastAsia="zh-CN"/>
              </w:rPr>
            </w:pPr>
            <w:r>
              <w:rPr>
                <w:rFonts w:hint="eastAsia"/>
                <w:color w:val="auto"/>
                <w:lang w:val="en-US" w:eastAsia="zh-CN"/>
              </w:rPr>
              <w:t>表22 人工游泳池水质卫生标准表</w:t>
            </w:r>
          </w:p>
          <w:tbl>
            <w:tblPr>
              <w:tblStyle w:val="16"/>
              <w:tblW w:w="83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4"/>
              <w:gridCol w:w="1590"/>
              <w:gridCol w:w="59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vAlign w:val="center"/>
                </w:tcPr>
                <w:p>
                  <w:pPr>
                    <w:pStyle w:val="19"/>
                    <w:bidi w:val="0"/>
                    <w:jc w:val="center"/>
                    <w:rPr>
                      <w:rFonts w:hint="default"/>
                      <w:color w:val="auto"/>
                      <w:lang w:val="en-US" w:eastAsia="zh-CN"/>
                    </w:rPr>
                  </w:pPr>
                  <w:r>
                    <w:rPr>
                      <w:rFonts w:hint="eastAsia"/>
                      <w:color w:val="auto"/>
                      <w:lang w:val="en-US" w:eastAsia="zh-CN"/>
                    </w:rPr>
                    <w:t>序号</w:t>
                  </w:r>
                </w:p>
              </w:tc>
              <w:tc>
                <w:tcPr>
                  <w:tcW w:w="1590" w:type="dxa"/>
                  <w:vAlign w:val="center"/>
                </w:tcPr>
                <w:p>
                  <w:pPr>
                    <w:pStyle w:val="19"/>
                    <w:bidi w:val="0"/>
                    <w:jc w:val="center"/>
                    <w:rPr>
                      <w:rFonts w:hint="default"/>
                      <w:color w:val="auto"/>
                      <w:lang w:val="en-US" w:eastAsia="zh-CN"/>
                    </w:rPr>
                  </w:pPr>
                  <w:r>
                    <w:rPr>
                      <w:rFonts w:hint="eastAsia"/>
                      <w:color w:val="auto"/>
                      <w:lang w:val="en-US" w:eastAsia="zh-CN"/>
                    </w:rPr>
                    <w:t>项目</w:t>
                  </w:r>
                </w:p>
              </w:tc>
              <w:tc>
                <w:tcPr>
                  <w:tcW w:w="5996" w:type="dxa"/>
                  <w:vAlign w:val="center"/>
                </w:tcPr>
                <w:p>
                  <w:pPr>
                    <w:pStyle w:val="19"/>
                    <w:bidi w:val="0"/>
                    <w:jc w:val="center"/>
                    <w:rPr>
                      <w:rFonts w:hint="default"/>
                      <w:color w:val="auto"/>
                      <w:lang w:val="en-US" w:eastAsia="zh-CN"/>
                    </w:rPr>
                  </w:pPr>
                  <w:r>
                    <w:rPr>
                      <w:rFonts w:hint="eastAsia"/>
                      <w:color w:val="auto"/>
                      <w:lang w:val="en-US" w:eastAsia="zh-CN"/>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vAlign w:val="center"/>
                </w:tcPr>
                <w:p>
                  <w:pPr>
                    <w:pStyle w:val="19"/>
                    <w:bidi w:val="0"/>
                    <w:jc w:val="center"/>
                    <w:rPr>
                      <w:rFonts w:hint="default"/>
                      <w:color w:val="auto"/>
                      <w:lang w:val="en-US" w:eastAsia="zh-CN"/>
                    </w:rPr>
                  </w:pPr>
                  <w:r>
                    <w:rPr>
                      <w:rFonts w:hint="eastAsia"/>
                      <w:color w:val="auto"/>
                      <w:lang w:val="en-US" w:eastAsia="zh-CN"/>
                    </w:rPr>
                    <w:t>1</w:t>
                  </w:r>
                </w:p>
              </w:tc>
              <w:tc>
                <w:tcPr>
                  <w:tcW w:w="1590" w:type="dxa"/>
                  <w:vAlign w:val="center"/>
                </w:tcPr>
                <w:p>
                  <w:pPr>
                    <w:pStyle w:val="19"/>
                    <w:bidi w:val="0"/>
                    <w:jc w:val="center"/>
                    <w:rPr>
                      <w:rFonts w:hint="eastAsia"/>
                      <w:color w:val="auto"/>
                      <w:lang w:val="en-US" w:eastAsia="zh-CN"/>
                    </w:rPr>
                  </w:pPr>
                  <w:r>
                    <w:rPr>
                      <w:rFonts w:hint="eastAsia"/>
                      <w:color w:val="auto"/>
                      <w:lang w:val="en-US" w:eastAsia="zh-CN"/>
                    </w:rPr>
                    <w:t>pH</w:t>
                  </w:r>
                </w:p>
              </w:tc>
              <w:tc>
                <w:tcPr>
                  <w:tcW w:w="5996" w:type="dxa"/>
                  <w:vAlign w:val="center"/>
                </w:tcPr>
                <w:p>
                  <w:pPr>
                    <w:pStyle w:val="19"/>
                    <w:bidi w:val="0"/>
                    <w:jc w:val="center"/>
                    <w:rPr>
                      <w:rFonts w:hint="default"/>
                      <w:color w:val="auto"/>
                      <w:lang w:val="en-US" w:eastAsia="zh-CN"/>
                    </w:rPr>
                  </w:pPr>
                  <w:r>
                    <w:rPr>
                      <w:rFonts w:hint="eastAsia"/>
                      <w:color w:val="auto"/>
                      <w:lang w:val="en-US" w:eastAsia="zh-CN"/>
                    </w:rPr>
                    <w:t>3.5~6.5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vAlign w:val="center"/>
                </w:tcPr>
                <w:p>
                  <w:pPr>
                    <w:pStyle w:val="19"/>
                    <w:bidi w:val="0"/>
                    <w:jc w:val="center"/>
                    <w:rPr>
                      <w:rFonts w:hint="default"/>
                      <w:color w:val="auto"/>
                      <w:lang w:val="en-US" w:eastAsia="zh-CN"/>
                    </w:rPr>
                  </w:pPr>
                  <w:r>
                    <w:rPr>
                      <w:rFonts w:hint="eastAsia"/>
                      <w:color w:val="auto"/>
                      <w:lang w:val="en-US" w:eastAsia="zh-CN"/>
                    </w:rPr>
                    <w:t>2</w:t>
                  </w:r>
                </w:p>
              </w:tc>
              <w:tc>
                <w:tcPr>
                  <w:tcW w:w="1590" w:type="dxa"/>
                  <w:vAlign w:val="center"/>
                </w:tcPr>
                <w:p>
                  <w:pPr>
                    <w:pStyle w:val="19"/>
                    <w:bidi w:val="0"/>
                    <w:jc w:val="center"/>
                    <w:rPr>
                      <w:rFonts w:hint="default"/>
                      <w:color w:val="auto"/>
                      <w:lang w:val="en-US" w:eastAsia="zh-CN"/>
                    </w:rPr>
                  </w:pPr>
                  <w:r>
                    <w:rPr>
                      <w:rFonts w:hint="eastAsia"/>
                      <w:color w:val="auto"/>
                      <w:lang w:val="en-US" w:eastAsia="zh-CN"/>
                    </w:rPr>
                    <w:t>浑浊度</w:t>
                  </w:r>
                </w:p>
              </w:tc>
              <w:tc>
                <w:tcPr>
                  <w:tcW w:w="5996" w:type="dxa"/>
                  <w:vAlign w:val="center"/>
                </w:tcPr>
                <w:p>
                  <w:pPr>
                    <w:pStyle w:val="19"/>
                    <w:bidi w:val="0"/>
                    <w:jc w:val="center"/>
                    <w:rPr>
                      <w:rFonts w:hint="default"/>
                      <w:color w:val="auto"/>
                      <w:lang w:val="en-US" w:eastAsia="zh-CN"/>
                    </w:rPr>
                  </w:pPr>
                  <w:r>
                    <w:rPr>
                      <w:rFonts w:hint="eastAsia"/>
                      <w:color w:val="auto"/>
                      <w:lang w:val="en-US" w:eastAsia="zh-CN"/>
                    </w:rPr>
                    <w:t>不大于5度，或站在游泳池两岸能看清水深1.5m的池底四、五道泳线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vAlign w:val="center"/>
                </w:tcPr>
                <w:p>
                  <w:pPr>
                    <w:pStyle w:val="19"/>
                    <w:bidi w:val="0"/>
                    <w:jc w:val="center"/>
                    <w:rPr>
                      <w:rFonts w:hint="default"/>
                      <w:color w:val="auto"/>
                      <w:lang w:val="en-US" w:eastAsia="zh-CN"/>
                    </w:rPr>
                  </w:pPr>
                  <w:r>
                    <w:rPr>
                      <w:rFonts w:hint="eastAsia"/>
                      <w:color w:val="auto"/>
                      <w:lang w:val="en-US" w:eastAsia="zh-CN"/>
                    </w:rPr>
                    <w:t>3</w:t>
                  </w:r>
                </w:p>
              </w:tc>
              <w:tc>
                <w:tcPr>
                  <w:tcW w:w="1590" w:type="dxa"/>
                  <w:vAlign w:val="center"/>
                </w:tcPr>
                <w:p>
                  <w:pPr>
                    <w:pStyle w:val="19"/>
                    <w:bidi w:val="0"/>
                    <w:jc w:val="center"/>
                    <w:rPr>
                      <w:rFonts w:hint="default"/>
                      <w:color w:val="auto"/>
                      <w:lang w:val="en-US" w:eastAsia="zh-CN"/>
                    </w:rPr>
                  </w:pPr>
                  <w:r>
                    <w:rPr>
                      <w:rFonts w:hint="eastAsia"/>
                      <w:color w:val="auto"/>
                      <w:lang w:val="en-US" w:eastAsia="zh-CN"/>
                    </w:rPr>
                    <w:t>耗氧量</w:t>
                  </w:r>
                </w:p>
              </w:tc>
              <w:tc>
                <w:tcPr>
                  <w:tcW w:w="5996" w:type="dxa"/>
                  <w:vAlign w:val="center"/>
                </w:tcPr>
                <w:p>
                  <w:pPr>
                    <w:pStyle w:val="19"/>
                    <w:bidi w:val="0"/>
                    <w:jc w:val="center"/>
                    <w:rPr>
                      <w:rFonts w:hint="default"/>
                      <w:color w:val="auto"/>
                      <w:lang w:val="en-US" w:eastAsia="zh-CN"/>
                    </w:rPr>
                  </w:pPr>
                  <w:r>
                    <w:rPr>
                      <w:rFonts w:hint="eastAsia"/>
                      <w:color w:val="auto"/>
                      <w:lang w:val="en-US" w:eastAsia="zh-CN"/>
                    </w:rPr>
                    <w:t>不超过6mg/L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vAlign w:val="center"/>
                </w:tcPr>
                <w:p>
                  <w:pPr>
                    <w:pStyle w:val="19"/>
                    <w:bidi w:val="0"/>
                    <w:jc w:val="center"/>
                    <w:rPr>
                      <w:rFonts w:hint="default"/>
                      <w:color w:val="auto"/>
                      <w:lang w:val="en-US" w:eastAsia="zh-CN"/>
                    </w:rPr>
                  </w:pPr>
                  <w:r>
                    <w:rPr>
                      <w:rFonts w:hint="eastAsia"/>
                      <w:color w:val="auto"/>
                      <w:lang w:val="en-US" w:eastAsia="zh-CN"/>
                    </w:rPr>
                    <w:t>4</w:t>
                  </w:r>
                </w:p>
              </w:tc>
              <w:tc>
                <w:tcPr>
                  <w:tcW w:w="1590" w:type="dxa"/>
                  <w:vAlign w:val="center"/>
                </w:tcPr>
                <w:p>
                  <w:pPr>
                    <w:pStyle w:val="19"/>
                    <w:bidi w:val="0"/>
                    <w:jc w:val="center"/>
                    <w:rPr>
                      <w:rFonts w:hint="default"/>
                      <w:color w:val="auto"/>
                      <w:lang w:val="en-US" w:eastAsia="zh-CN"/>
                    </w:rPr>
                  </w:pPr>
                  <w:r>
                    <w:rPr>
                      <w:rFonts w:hint="eastAsia"/>
                      <w:color w:val="auto"/>
                      <w:lang w:val="en-US" w:eastAsia="zh-CN"/>
                    </w:rPr>
                    <w:t>尿素</w:t>
                  </w:r>
                </w:p>
              </w:tc>
              <w:tc>
                <w:tcPr>
                  <w:tcW w:w="5996" w:type="dxa"/>
                  <w:vAlign w:val="center"/>
                </w:tcPr>
                <w:p>
                  <w:pPr>
                    <w:pStyle w:val="19"/>
                    <w:bidi w:val="0"/>
                    <w:jc w:val="center"/>
                    <w:rPr>
                      <w:rFonts w:hint="eastAsia"/>
                      <w:color w:val="auto"/>
                      <w:lang w:val="en-US" w:eastAsia="zh-CN"/>
                    </w:rPr>
                  </w:pPr>
                  <w:r>
                    <w:rPr>
                      <w:rFonts w:hint="eastAsia"/>
                      <w:color w:val="auto"/>
                      <w:lang w:val="en-US" w:eastAsia="zh-CN"/>
                    </w:rPr>
                    <w:t>不超过2.5mg/L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vAlign w:val="center"/>
                </w:tcPr>
                <w:p>
                  <w:pPr>
                    <w:pStyle w:val="19"/>
                    <w:bidi w:val="0"/>
                    <w:jc w:val="center"/>
                    <w:rPr>
                      <w:rFonts w:hint="default"/>
                      <w:color w:val="auto"/>
                      <w:lang w:val="en-US" w:eastAsia="zh-CN"/>
                    </w:rPr>
                  </w:pPr>
                  <w:r>
                    <w:rPr>
                      <w:rFonts w:hint="eastAsia"/>
                      <w:color w:val="auto"/>
                      <w:lang w:val="en-US" w:eastAsia="zh-CN"/>
                    </w:rPr>
                    <w:t>5</w:t>
                  </w:r>
                </w:p>
              </w:tc>
              <w:tc>
                <w:tcPr>
                  <w:tcW w:w="1590" w:type="dxa"/>
                  <w:vAlign w:val="center"/>
                </w:tcPr>
                <w:p>
                  <w:pPr>
                    <w:pStyle w:val="19"/>
                    <w:bidi w:val="0"/>
                    <w:jc w:val="center"/>
                    <w:rPr>
                      <w:rFonts w:hint="default"/>
                      <w:color w:val="auto"/>
                      <w:lang w:val="en-US" w:eastAsia="zh-CN"/>
                    </w:rPr>
                  </w:pPr>
                  <w:r>
                    <w:rPr>
                      <w:rFonts w:hint="eastAsia"/>
                      <w:color w:val="auto"/>
                      <w:lang w:val="en-US" w:eastAsia="zh-CN"/>
                    </w:rPr>
                    <w:t>余氯</w:t>
                  </w:r>
                </w:p>
              </w:tc>
              <w:tc>
                <w:tcPr>
                  <w:tcW w:w="5996" w:type="dxa"/>
                  <w:vAlign w:val="center"/>
                </w:tcPr>
                <w:p>
                  <w:pPr>
                    <w:pStyle w:val="19"/>
                    <w:bidi w:val="0"/>
                    <w:jc w:val="center"/>
                    <w:rPr>
                      <w:rFonts w:hint="default"/>
                      <w:color w:val="auto"/>
                      <w:lang w:val="en-US" w:eastAsia="zh-CN"/>
                    </w:rPr>
                  </w:pPr>
                  <w:r>
                    <w:rPr>
                      <w:rFonts w:hint="eastAsia"/>
                      <w:color w:val="auto"/>
                      <w:lang w:val="en-US" w:eastAsia="zh-CN"/>
                    </w:rPr>
                    <w:t>游离余氯：0.4~0.6mg/L；化合性余氯：1.0mg/L以上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vAlign w:val="center"/>
                </w:tcPr>
                <w:p>
                  <w:pPr>
                    <w:pStyle w:val="19"/>
                    <w:bidi w:val="0"/>
                    <w:jc w:val="center"/>
                    <w:rPr>
                      <w:rFonts w:hint="default"/>
                      <w:color w:val="auto"/>
                      <w:lang w:val="en-US" w:eastAsia="zh-CN"/>
                    </w:rPr>
                  </w:pPr>
                  <w:r>
                    <w:rPr>
                      <w:rFonts w:hint="eastAsia"/>
                      <w:color w:val="auto"/>
                      <w:lang w:val="en-US" w:eastAsia="zh-CN"/>
                    </w:rPr>
                    <w:t>6</w:t>
                  </w:r>
                </w:p>
              </w:tc>
              <w:tc>
                <w:tcPr>
                  <w:tcW w:w="1590" w:type="dxa"/>
                  <w:vAlign w:val="center"/>
                </w:tcPr>
                <w:p>
                  <w:pPr>
                    <w:pStyle w:val="19"/>
                    <w:bidi w:val="0"/>
                    <w:jc w:val="center"/>
                    <w:rPr>
                      <w:rFonts w:hint="default"/>
                      <w:color w:val="auto"/>
                      <w:lang w:val="en-US" w:eastAsia="zh-CN"/>
                    </w:rPr>
                  </w:pPr>
                  <w:r>
                    <w:rPr>
                      <w:rFonts w:hint="eastAsia"/>
                      <w:color w:val="auto"/>
                      <w:lang w:val="en-US" w:eastAsia="zh-CN"/>
                    </w:rPr>
                    <w:t>细菌总数</w:t>
                  </w:r>
                </w:p>
              </w:tc>
              <w:tc>
                <w:tcPr>
                  <w:tcW w:w="5996" w:type="dxa"/>
                  <w:vAlign w:val="center"/>
                </w:tcPr>
                <w:p>
                  <w:pPr>
                    <w:pStyle w:val="19"/>
                    <w:bidi w:val="0"/>
                    <w:jc w:val="center"/>
                    <w:rPr>
                      <w:rFonts w:hint="default"/>
                      <w:color w:val="auto"/>
                      <w:lang w:val="en-US" w:eastAsia="zh-CN"/>
                    </w:rPr>
                  </w:pPr>
                  <w:r>
                    <w:rPr>
                      <w:rFonts w:hint="eastAsia"/>
                      <w:color w:val="auto"/>
                      <w:lang w:val="en-US" w:eastAsia="zh-CN"/>
                    </w:rPr>
                    <w:t>不超过1000/ml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vAlign w:val="center"/>
                </w:tcPr>
                <w:p>
                  <w:pPr>
                    <w:pStyle w:val="19"/>
                    <w:bidi w:val="0"/>
                    <w:jc w:val="center"/>
                    <w:rPr>
                      <w:rFonts w:hint="default"/>
                      <w:color w:val="auto"/>
                      <w:lang w:val="en-US" w:eastAsia="zh-CN"/>
                    </w:rPr>
                  </w:pPr>
                  <w:r>
                    <w:rPr>
                      <w:rFonts w:hint="eastAsia"/>
                      <w:color w:val="auto"/>
                      <w:lang w:val="en-US" w:eastAsia="zh-CN"/>
                    </w:rPr>
                    <w:t>7</w:t>
                  </w:r>
                </w:p>
              </w:tc>
              <w:tc>
                <w:tcPr>
                  <w:tcW w:w="1590" w:type="dxa"/>
                  <w:vAlign w:val="center"/>
                </w:tcPr>
                <w:p>
                  <w:pPr>
                    <w:pStyle w:val="19"/>
                    <w:bidi w:val="0"/>
                    <w:jc w:val="center"/>
                    <w:rPr>
                      <w:rFonts w:hint="default"/>
                      <w:color w:val="auto"/>
                      <w:lang w:val="en-US" w:eastAsia="zh-CN"/>
                    </w:rPr>
                  </w:pPr>
                  <w:r>
                    <w:rPr>
                      <w:rFonts w:hint="eastAsia"/>
                      <w:color w:val="auto"/>
                      <w:lang w:val="en-US" w:eastAsia="zh-CN"/>
                    </w:rPr>
                    <w:t>总大肠菌群</w:t>
                  </w:r>
                </w:p>
              </w:tc>
              <w:tc>
                <w:tcPr>
                  <w:tcW w:w="5996" w:type="dxa"/>
                  <w:vAlign w:val="center"/>
                </w:tcPr>
                <w:p>
                  <w:pPr>
                    <w:pStyle w:val="19"/>
                    <w:bidi w:val="0"/>
                    <w:jc w:val="center"/>
                    <w:rPr>
                      <w:rFonts w:hint="default"/>
                      <w:color w:val="auto"/>
                      <w:lang w:val="en-US" w:eastAsia="zh-CN"/>
                    </w:rPr>
                  </w:pPr>
                  <w:r>
                    <w:rPr>
                      <w:rFonts w:hint="eastAsia"/>
                      <w:color w:val="auto"/>
                      <w:lang w:val="en-US" w:eastAsia="zh-CN"/>
                    </w:rPr>
                    <w:t>不得超过18个/L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vAlign w:val="center"/>
                </w:tcPr>
                <w:p>
                  <w:pPr>
                    <w:pStyle w:val="19"/>
                    <w:bidi w:val="0"/>
                    <w:jc w:val="center"/>
                    <w:rPr>
                      <w:rFonts w:hint="default"/>
                      <w:color w:val="auto"/>
                      <w:lang w:val="en-US" w:eastAsia="zh-CN"/>
                    </w:rPr>
                  </w:pPr>
                  <w:r>
                    <w:rPr>
                      <w:rFonts w:hint="eastAsia"/>
                      <w:color w:val="auto"/>
                      <w:lang w:val="en-US" w:eastAsia="zh-CN"/>
                    </w:rPr>
                    <w:t>8</w:t>
                  </w:r>
                </w:p>
              </w:tc>
              <w:tc>
                <w:tcPr>
                  <w:tcW w:w="1590" w:type="dxa"/>
                  <w:vAlign w:val="center"/>
                </w:tcPr>
                <w:p>
                  <w:pPr>
                    <w:pStyle w:val="19"/>
                    <w:bidi w:val="0"/>
                    <w:jc w:val="center"/>
                    <w:rPr>
                      <w:rFonts w:hint="default"/>
                      <w:color w:val="auto"/>
                      <w:lang w:val="en-US" w:eastAsia="zh-CN"/>
                    </w:rPr>
                  </w:pPr>
                  <w:r>
                    <w:rPr>
                      <w:rFonts w:hint="eastAsia"/>
                      <w:color w:val="auto"/>
                      <w:lang w:val="en-US" w:eastAsia="zh-CN"/>
                    </w:rPr>
                    <w:t>有害物质</w:t>
                  </w:r>
                </w:p>
              </w:tc>
              <w:tc>
                <w:tcPr>
                  <w:tcW w:w="5996" w:type="dxa"/>
                  <w:vAlign w:val="center"/>
                </w:tcPr>
                <w:p>
                  <w:pPr>
                    <w:pStyle w:val="19"/>
                    <w:bidi w:val="0"/>
                    <w:jc w:val="center"/>
                    <w:rPr>
                      <w:rFonts w:hint="default"/>
                      <w:color w:val="auto"/>
                      <w:lang w:val="en-US" w:eastAsia="zh-CN"/>
                    </w:rPr>
                  </w:pPr>
                  <w:r>
                    <w:rPr>
                      <w:rFonts w:hint="eastAsia"/>
                      <w:color w:val="auto"/>
                      <w:lang w:val="en-US" w:eastAsia="zh-CN"/>
                    </w:rPr>
                    <w:t>参照《工业企业设计卫生标准》（TJ36-79）中地面水水质卫生标准执行</w:t>
                  </w:r>
                </w:p>
              </w:tc>
            </w:tr>
          </w:tbl>
          <w:p>
            <w:pPr>
              <w:numPr>
                <w:ilvl w:val="0"/>
                <w:numId w:val="0"/>
              </w:numPr>
              <w:bidi w:val="0"/>
              <w:ind w:firstLine="480" w:firstLineChars="200"/>
              <w:rPr>
                <w:rFonts w:hint="eastAsia"/>
                <w:lang w:val="en-US" w:eastAsia="zh-CN"/>
              </w:rPr>
            </w:pPr>
            <w:r>
              <w:rPr>
                <w:rFonts w:hint="eastAsia"/>
                <w:lang w:val="en-US" w:eastAsia="zh-CN"/>
              </w:rPr>
              <w:t>（3）噪声</w:t>
            </w:r>
          </w:p>
          <w:p>
            <w:pPr>
              <w:bidi w:val="0"/>
              <w:rPr>
                <w:rFonts w:hint="eastAsia"/>
                <w:color w:val="auto"/>
                <w:lang w:val="en-US" w:eastAsia="zh-CN"/>
              </w:rPr>
            </w:pPr>
            <w:r>
              <w:rPr>
                <w:rFonts w:hint="eastAsia"/>
                <w:color w:val="auto"/>
                <w:lang w:val="en-US" w:eastAsia="zh-CN"/>
              </w:rPr>
              <w:t>①施工期</w:t>
            </w:r>
          </w:p>
          <w:p>
            <w:pPr>
              <w:bidi w:val="0"/>
              <w:rPr>
                <w:rFonts w:hint="eastAsia"/>
                <w:color w:val="auto"/>
                <w:lang w:val="en-US" w:eastAsia="zh-CN"/>
              </w:rPr>
            </w:pPr>
            <w:r>
              <w:rPr>
                <w:rFonts w:hint="eastAsia"/>
                <w:color w:val="auto"/>
                <w:lang w:val="en-US" w:eastAsia="zh-CN"/>
              </w:rPr>
              <w:t>施工期厂界噪声执行《建筑施工场界环境噪声排放标准》（GB12523-2011）排放限值：昼间≤70dB（A）、夜间≤55dB（A）。</w:t>
            </w:r>
          </w:p>
          <w:p>
            <w:pPr>
              <w:bidi w:val="0"/>
              <w:rPr>
                <w:rFonts w:hint="eastAsia"/>
                <w:color w:val="auto"/>
                <w:lang w:val="en-US" w:eastAsia="zh-CN"/>
              </w:rPr>
            </w:pPr>
            <w:r>
              <w:rPr>
                <w:rFonts w:hint="eastAsia"/>
                <w:color w:val="auto"/>
                <w:lang w:val="en-US" w:eastAsia="zh-CN"/>
              </w:rPr>
              <w:t>②营运期</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lang w:val="en-US" w:eastAsia="zh-CN"/>
              </w:rPr>
            </w:pPr>
            <w:r>
              <w:rPr>
                <w:rFonts w:hint="eastAsia"/>
                <w:color w:val="auto"/>
                <w:lang w:val="en-US" w:eastAsia="zh-CN"/>
              </w:rPr>
              <w:t>营运期厂界噪声</w:t>
            </w:r>
            <w:r>
              <w:rPr>
                <w:rFonts w:hint="default"/>
              </w:rPr>
              <w:t>营运期执行《社会生活环境噪声排放标准》（GB22337-2008）</w:t>
            </w:r>
            <w:r>
              <w:rPr>
                <w:rFonts w:hint="eastAsia"/>
                <w:color w:val="auto"/>
                <w:lang w:val="en-US" w:eastAsia="zh-CN"/>
              </w:rPr>
              <w:t>2类标准：昼间≤60dB（A）、夜间≤50dB（A）</w:t>
            </w:r>
            <w:r>
              <w:rPr>
                <w:rFonts w:hint="eastAsia" w:cs="Times New Roman"/>
                <w:color w:val="auto"/>
                <w:szCs w:val="24"/>
                <w:highlight w:val="none"/>
                <w:lang w:val="en-US" w:eastAsia="zh-CN"/>
              </w:rPr>
              <w:t>。</w:t>
            </w:r>
          </w:p>
          <w:p>
            <w:pPr>
              <w:bidi w:val="0"/>
              <w:jc w:val="both"/>
              <w:rPr>
                <w:rFonts w:hint="eastAsia"/>
                <w:lang w:val="en-US" w:eastAsia="zh-CN"/>
              </w:rPr>
            </w:pPr>
            <w:r>
              <w:rPr>
                <w:rFonts w:hint="eastAsia"/>
                <w:lang w:val="en-US" w:eastAsia="zh-CN"/>
              </w:rPr>
              <w:t>（4）固体废物</w:t>
            </w:r>
          </w:p>
          <w:p>
            <w:pPr>
              <w:bidi w:val="0"/>
              <w:jc w:val="both"/>
              <w:rPr>
                <w:rFonts w:hint="default"/>
                <w:lang w:val="en-US" w:eastAsia="zh-CN"/>
              </w:rPr>
            </w:pPr>
            <w:r>
              <w:t>生活垃圾执行《生活垃圾填埋污染控制标准》（GB16889-2008）；一般工业固体废物执行《一般工业固体废物贮存和填埋污染控制标准》（GB18599-2020）。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lang w:val="en-US" w:eastAsia="zh-CN"/>
              </w:rPr>
            </w:pPr>
            <w:r>
              <w:rPr>
                <w:rFonts w:hint="eastAsia"/>
                <w:lang w:val="en-US" w:eastAsia="zh-CN"/>
              </w:rPr>
              <w:t>其他</w:t>
            </w:r>
          </w:p>
        </w:tc>
        <w:tc>
          <w:tcPr>
            <w:tcW w:w="8586" w:type="dxa"/>
          </w:tcPr>
          <w:p>
            <w:pPr>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根据《中华人民共和国国民经济和社会发展第十三个五年规划纲要》对“十三五”期间总量控制的要求以及《湖南省“十三五”主要污染物减排规划》，湖南省对COD、NH</w:t>
            </w:r>
            <w:r>
              <w:rPr>
                <w:rFonts w:hint="eastAsia"/>
                <w:color w:val="auto"/>
                <w:vertAlign w:val="subscript"/>
                <w:lang w:val="en-US" w:eastAsia="zh-CN"/>
              </w:rPr>
              <w:t>3</w:t>
            </w:r>
            <w:r>
              <w:rPr>
                <w:rFonts w:hint="eastAsia"/>
                <w:color w:val="auto"/>
                <w:lang w:val="en-US" w:eastAsia="zh-CN"/>
              </w:rPr>
              <w:t>-N、NO</w:t>
            </w:r>
            <w:r>
              <w:rPr>
                <w:rFonts w:hint="eastAsia"/>
                <w:color w:val="auto"/>
                <w:vertAlign w:val="subscript"/>
                <w:lang w:val="en-US" w:eastAsia="zh-CN"/>
              </w:rPr>
              <w:t>X</w:t>
            </w:r>
            <w:r>
              <w:rPr>
                <w:rFonts w:hint="eastAsia"/>
                <w:color w:val="auto"/>
                <w:lang w:val="en-US" w:eastAsia="zh-CN"/>
              </w:rPr>
              <w:t>、SO</w:t>
            </w:r>
            <w:r>
              <w:rPr>
                <w:rFonts w:hint="eastAsia"/>
                <w:color w:val="auto"/>
                <w:vertAlign w:val="subscript"/>
                <w:lang w:val="en-US" w:eastAsia="zh-CN"/>
              </w:rPr>
              <w:t>2</w:t>
            </w:r>
            <w:r>
              <w:rPr>
                <w:rFonts w:hint="eastAsia"/>
                <w:color w:val="auto"/>
                <w:vertAlign w:val="baseline"/>
                <w:lang w:val="en-US" w:eastAsia="zh-CN"/>
              </w:rPr>
              <w:t>、VOCs五项污染物实施总量控制。</w:t>
            </w:r>
          </w:p>
          <w:p>
            <w:pPr>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本项目备用发电机仅在停电时使用，年使用时间较少，颗粒物、NO</w:t>
            </w:r>
            <w:r>
              <w:rPr>
                <w:rFonts w:hint="eastAsia"/>
                <w:color w:val="auto"/>
                <w:vertAlign w:val="subscript"/>
                <w:lang w:val="en-US" w:eastAsia="zh-CN"/>
              </w:rPr>
              <w:t>X</w:t>
            </w:r>
            <w:r>
              <w:rPr>
                <w:rFonts w:hint="eastAsia"/>
                <w:color w:val="auto"/>
                <w:lang w:val="en-US" w:eastAsia="zh-CN"/>
              </w:rPr>
              <w:t>、SO</w:t>
            </w:r>
            <w:r>
              <w:rPr>
                <w:rFonts w:hint="eastAsia"/>
                <w:color w:val="auto"/>
                <w:vertAlign w:val="subscript"/>
                <w:lang w:val="en-US" w:eastAsia="zh-CN"/>
              </w:rPr>
              <w:t>2</w:t>
            </w:r>
            <w:r>
              <w:rPr>
                <w:rFonts w:hint="eastAsia"/>
                <w:color w:val="auto"/>
                <w:vertAlign w:val="baseline"/>
                <w:lang w:val="en-US" w:eastAsia="zh-CN"/>
              </w:rPr>
              <w:t>排放量很少且具有不确定性，属于非正常工况</w:t>
            </w:r>
            <w:r>
              <w:rPr>
                <w:rFonts w:hint="eastAsia"/>
                <w:color w:val="auto"/>
                <w:lang w:val="en-US" w:eastAsia="zh-CN"/>
              </w:rPr>
              <w:t xml:space="preserve">。根据国家生态环境部和湖南省实施总量控制的要求，本项目无需设置大气总量控制指标。 </w:t>
            </w:r>
          </w:p>
          <w:p>
            <w:pPr>
              <w:bidi w:val="0"/>
              <w:jc w:val="both"/>
              <w:rPr>
                <w:rFonts w:hint="default"/>
                <w:lang w:val="en-US" w:eastAsia="zh-CN"/>
              </w:rPr>
            </w:pPr>
            <w:r>
              <w:rPr>
                <w:rFonts w:hint="eastAsia"/>
                <w:color w:val="auto"/>
                <w:lang w:val="en-US" w:eastAsia="zh-CN"/>
              </w:rPr>
              <w:t>本项目产生的综合废水纳入松木生活污水处理厂处理，主要水污染物的COD、NH</w:t>
            </w:r>
            <w:r>
              <w:rPr>
                <w:rFonts w:hint="eastAsia"/>
                <w:color w:val="auto"/>
                <w:vertAlign w:val="subscript"/>
                <w:lang w:val="en-US" w:eastAsia="zh-CN"/>
              </w:rPr>
              <w:t>3</w:t>
            </w:r>
            <w:r>
              <w:rPr>
                <w:rFonts w:hint="eastAsia"/>
                <w:color w:val="auto"/>
                <w:lang w:val="en-US" w:eastAsia="zh-CN"/>
              </w:rPr>
              <w:t>-N的总量控制指标为COD：24.3862t/a，NH</w:t>
            </w:r>
            <w:r>
              <w:rPr>
                <w:rFonts w:hint="eastAsia"/>
                <w:color w:val="auto"/>
                <w:vertAlign w:val="subscript"/>
                <w:lang w:val="en-US" w:eastAsia="zh-CN"/>
              </w:rPr>
              <w:t>3</w:t>
            </w:r>
            <w:r>
              <w:rPr>
                <w:rFonts w:hint="eastAsia"/>
                <w:color w:val="auto"/>
                <w:lang w:val="en-US" w:eastAsia="zh-CN"/>
              </w:rPr>
              <w:t>-N：2.28t/a，由松木生活污水处理厂统一调配，不再另行增加批准建设项目主要水污染物的总量指标。</w:t>
            </w:r>
          </w:p>
        </w:tc>
      </w:tr>
    </w:tbl>
    <w:p>
      <w:pPr>
        <w:ind w:left="0" w:leftChars="0" w:firstLine="0" w:firstLineChars="0"/>
        <w:rPr>
          <w:rFonts w:hint="default"/>
          <w:lang w:val="en-US" w:eastAsia="zh-CN"/>
        </w:rPr>
        <w:sectPr>
          <w:pgSz w:w="11906" w:h="16838"/>
          <w:pgMar w:top="1417" w:right="1417" w:bottom="1417" w:left="1417" w:header="851" w:footer="567" w:gutter="0"/>
          <w:pgNumType w:fmt="decimal"/>
          <w:cols w:space="425" w:num="1"/>
          <w:docGrid w:type="lines" w:linePitch="312" w:charSpace="0"/>
        </w:sectPr>
      </w:pPr>
    </w:p>
    <w:p>
      <w:pPr>
        <w:pStyle w:val="4"/>
        <w:bidi w:val="0"/>
        <w:rPr>
          <w:rFonts w:hint="default"/>
          <w:vertAlign w:val="baseline"/>
          <w:lang w:val="en-US" w:eastAsia="zh-CN"/>
        </w:rPr>
      </w:pPr>
      <w:bookmarkStart w:id="6" w:name="_Toc14296"/>
      <w:r>
        <w:rPr>
          <w:rFonts w:hint="eastAsia"/>
          <w:lang w:val="en-US" w:eastAsia="zh-CN"/>
        </w:rPr>
        <w:t>四、生态环境影响分析</w:t>
      </w:r>
      <w:bookmarkEnd w:id="6"/>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85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720"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lang w:val="en-US" w:eastAsia="zh-CN"/>
              </w:rPr>
            </w:pPr>
            <w:r>
              <w:rPr>
                <w:rFonts w:hint="eastAsia"/>
                <w:lang w:val="en-US" w:eastAsia="zh-CN"/>
              </w:rPr>
              <w:t>施工期生态环境影响分析</w:t>
            </w:r>
          </w:p>
        </w:tc>
        <w:tc>
          <w:tcPr>
            <w:tcW w:w="8568" w:type="dxa"/>
          </w:tcPr>
          <w:p>
            <w:pPr>
              <w:bidi w:val="0"/>
              <w:ind w:left="0" w:leftChars="0" w:firstLine="0" w:firstLineChars="0"/>
              <w:jc w:val="both"/>
              <w:rPr>
                <w:rFonts w:hint="eastAsia"/>
                <w:b/>
                <w:bCs/>
                <w:lang w:val="en-US" w:eastAsia="zh-CN"/>
              </w:rPr>
            </w:pPr>
            <w:r>
              <w:rPr>
                <w:rFonts w:hint="eastAsia"/>
                <w:b/>
                <w:bCs/>
                <w:lang w:val="en-US" w:eastAsia="zh-CN"/>
              </w:rPr>
              <w:t>1、水环境影响分析</w:t>
            </w:r>
          </w:p>
          <w:p>
            <w:pPr>
              <w:bidi w:val="0"/>
              <w:rPr>
                <w:rFonts w:hint="default"/>
                <w:lang w:val="en-US" w:eastAsia="zh-CN"/>
              </w:rPr>
            </w:pPr>
            <w:r>
              <w:rPr>
                <w:rFonts w:hint="eastAsia"/>
                <w:lang w:val="en-US" w:eastAsia="zh-CN"/>
              </w:rPr>
              <w:t>本项目施工期产生的废水主要是施工废水和生活污水。</w:t>
            </w:r>
          </w:p>
          <w:p>
            <w:pPr>
              <w:numPr>
                <w:ilvl w:val="0"/>
                <w:numId w:val="8"/>
              </w:numPr>
              <w:bidi w:val="0"/>
              <w:rPr>
                <w:rFonts w:hint="eastAsia"/>
                <w:lang w:val="en-US" w:eastAsia="zh-CN"/>
              </w:rPr>
            </w:pPr>
            <w:r>
              <w:rPr>
                <w:rFonts w:hint="eastAsia"/>
                <w:lang w:val="en-US" w:eastAsia="zh-CN"/>
              </w:rPr>
              <w:t>生活污水</w:t>
            </w:r>
          </w:p>
          <w:p>
            <w:pPr>
              <w:bidi w:val="0"/>
              <w:rPr>
                <w:rFonts w:hint="default"/>
                <w:lang w:val="en-US" w:eastAsia="zh-CN"/>
              </w:rPr>
            </w:pPr>
            <w:r>
              <w:rPr>
                <w:rFonts w:hint="eastAsia"/>
                <w:lang w:val="en-US" w:eastAsia="zh-CN"/>
              </w:rPr>
              <w:t>根据本项目规模及施工计划，预计施工期施工人数约200人/d，施工人员不在项目营地住宿，工地生活用水参考《建筑给水排水设计标准》（GB50015-2019），施工人员平均用水量按50L/（人·日）计，生活污水排放量按用水量的90%计算，则污水量为3825t（施工期</w:t>
            </w:r>
            <w:r>
              <w:rPr>
                <w:rFonts w:hint="eastAsia"/>
                <w:highlight w:val="none"/>
                <w:lang w:val="en-US" w:eastAsia="zh-CN"/>
              </w:rPr>
              <w:t>按14个月，425天计）。施工期</w:t>
            </w:r>
            <w:r>
              <w:rPr>
                <w:rFonts w:hint="default"/>
                <w:highlight w:val="none"/>
                <w:lang w:val="en-US" w:eastAsia="zh-CN"/>
              </w:rPr>
              <w:t>产生的生活污水</w:t>
            </w:r>
            <w:r>
              <w:rPr>
                <w:rFonts w:hint="eastAsia"/>
                <w:highlight w:val="none"/>
                <w:lang w:val="en-US" w:eastAsia="zh-CN"/>
              </w:rPr>
              <w:t>经化粪池预处理后用作农肥。</w:t>
            </w:r>
          </w:p>
          <w:p>
            <w:pPr>
              <w:numPr>
                <w:ilvl w:val="0"/>
                <w:numId w:val="8"/>
              </w:numPr>
              <w:bidi w:val="0"/>
              <w:ind w:left="0" w:leftChars="0" w:firstLine="480" w:firstLineChars="200"/>
              <w:jc w:val="both"/>
              <w:rPr>
                <w:rFonts w:hint="eastAsia"/>
                <w:lang w:val="en-US" w:eastAsia="zh-CN"/>
              </w:rPr>
            </w:pPr>
            <w:r>
              <w:rPr>
                <w:rFonts w:hint="eastAsia"/>
                <w:lang w:val="en-US" w:eastAsia="zh-CN"/>
              </w:rPr>
              <w:t>施工废水</w:t>
            </w:r>
          </w:p>
          <w:p>
            <w:pPr>
              <w:bidi w:val="0"/>
              <w:rPr>
                <w:rFonts w:hint="default"/>
                <w:lang w:val="en-US" w:eastAsia="zh-CN"/>
              </w:rPr>
            </w:pPr>
            <w:r>
              <w:rPr>
                <w:rFonts w:hint="default"/>
              </w:rPr>
              <w:t>本项目在施工期间冲洗施工设备和运输车辆、灌浆过程中产生的施工废水。参照《</w:t>
            </w:r>
            <w:r>
              <w:rPr>
                <w:rFonts w:hint="eastAsia"/>
                <w:lang w:eastAsia="zh-CN"/>
              </w:rPr>
              <w:t>湖南省用水定额</w:t>
            </w:r>
            <w:r>
              <w:rPr>
                <w:rFonts w:hint="default"/>
              </w:rPr>
              <w:t>》（DB4</w:t>
            </w:r>
            <w:r>
              <w:rPr>
                <w:rFonts w:hint="eastAsia"/>
                <w:lang w:val="en-US" w:eastAsia="zh-CN"/>
              </w:rPr>
              <w:t>3</w:t>
            </w:r>
            <w:r>
              <w:rPr>
                <w:rFonts w:hint="default"/>
              </w:rPr>
              <w:t>/T</w:t>
            </w:r>
            <w:r>
              <w:rPr>
                <w:rFonts w:hint="eastAsia"/>
                <w:lang w:val="en-US" w:eastAsia="zh-CN"/>
              </w:rPr>
              <w:t>388</w:t>
            </w:r>
            <w:r>
              <w:rPr>
                <w:rFonts w:hint="default"/>
              </w:rPr>
              <w:t>-202</w:t>
            </w:r>
            <w:r>
              <w:rPr>
                <w:rFonts w:hint="eastAsia"/>
                <w:lang w:val="en-US" w:eastAsia="zh-CN"/>
              </w:rPr>
              <w:t>0</w:t>
            </w:r>
            <w:r>
              <w:rPr>
                <w:rFonts w:hint="default"/>
              </w:rPr>
              <w:t>）调查数据中对房屋工程建筑工程的用水测算，施工用水按0.65m</w:t>
            </w:r>
            <w:r>
              <w:rPr>
                <w:rFonts w:hint="default"/>
                <w:vertAlign w:val="superscript"/>
              </w:rPr>
              <w:t>3</w:t>
            </w:r>
            <w:r>
              <w:rPr>
                <w:rFonts w:hint="default"/>
              </w:rPr>
              <w:t>/m</w:t>
            </w:r>
            <w:r>
              <w:rPr>
                <w:rFonts w:hint="default"/>
                <w:vertAlign w:val="superscript"/>
              </w:rPr>
              <w:t>2</w:t>
            </w:r>
            <w:r>
              <w:rPr>
                <w:rFonts w:hint="default"/>
              </w:rPr>
              <w:t>计，项目用地面积</w:t>
            </w:r>
            <w:r>
              <w:rPr>
                <w:rFonts w:hint="default"/>
                <w:lang w:val="en-US" w:eastAsia="zh-CN"/>
              </w:rPr>
              <w:t>1</w:t>
            </w:r>
            <w:r>
              <w:rPr>
                <w:rFonts w:hint="eastAsia"/>
                <w:lang w:val="en-US" w:eastAsia="zh-CN"/>
              </w:rPr>
              <w:t>76795</w:t>
            </w:r>
            <w:r>
              <w:rPr>
                <w:rFonts w:hint="default"/>
              </w:rPr>
              <w:t>平方米，用水量约</w:t>
            </w:r>
            <w:r>
              <w:rPr>
                <w:rFonts w:hint="eastAsia"/>
                <w:lang w:val="en-US" w:eastAsia="zh-CN"/>
              </w:rPr>
              <w:t>114916.75</w:t>
            </w:r>
            <w:r>
              <w:rPr>
                <w:rFonts w:hint="default"/>
              </w:rPr>
              <w:t>t，产生的废水量按用水量的60%计，废水产生量为</w:t>
            </w:r>
            <w:r>
              <w:rPr>
                <w:rFonts w:hint="eastAsia"/>
                <w:lang w:val="en-US" w:eastAsia="zh-CN"/>
              </w:rPr>
              <w:t>68950.05</w:t>
            </w:r>
            <w:r>
              <w:rPr>
                <w:rFonts w:hint="default"/>
              </w:rPr>
              <w:t>t。施工废水主要污染物为石油类和SS，其浓度一般为15mg/L和600mg/L。</w:t>
            </w:r>
            <w:r>
              <w:rPr>
                <w:rFonts w:hint="default"/>
                <w:lang w:val="en-US" w:eastAsia="zh-CN"/>
              </w:rPr>
              <w:t>施工期产生的废水如直接排入水体，会给水体带来不良影响，施工废水应经过隔油、沉淀处理后，全部回用于施工环节，</w:t>
            </w:r>
            <w:r>
              <w:rPr>
                <w:rFonts w:hint="eastAsia"/>
                <w:lang w:val="en-US" w:eastAsia="zh-CN"/>
              </w:rPr>
              <w:t>不</w:t>
            </w:r>
            <w:r>
              <w:rPr>
                <w:rFonts w:hint="default"/>
                <w:lang w:val="en-US" w:eastAsia="zh-CN"/>
              </w:rPr>
              <w:t>排入水体。</w:t>
            </w:r>
          </w:p>
          <w:p>
            <w:pPr>
              <w:bidi w:val="0"/>
              <w:rPr>
                <w:rFonts w:hint="default"/>
                <w:lang w:val="en-US" w:eastAsia="zh-CN"/>
              </w:rPr>
            </w:pPr>
            <w:r>
              <w:rPr>
                <w:rFonts w:hint="eastAsia"/>
                <w:lang w:val="en-US" w:eastAsia="zh-CN"/>
              </w:rPr>
              <w:t>综上所述，在采取合理有效的各项措施后，项目施工对地表水环境的影响将被降低至最低程度，影响较小。</w:t>
            </w:r>
          </w:p>
          <w:p>
            <w:pPr>
              <w:bidi w:val="0"/>
              <w:ind w:left="0" w:leftChars="0" w:firstLine="0" w:firstLineChars="0"/>
              <w:jc w:val="both"/>
              <w:rPr>
                <w:rFonts w:hint="eastAsia"/>
                <w:b/>
                <w:bCs/>
                <w:color w:val="auto"/>
                <w:lang w:val="en-US" w:eastAsia="zh-CN"/>
              </w:rPr>
            </w:pPr>
            <w:r>
              <w:rPr>
                <w:rFonts w:hint="eastAsia"/>
                <w:b/>
                <w:bCs/>
                <w:color w:val="auto"/>
                <w:lang w:val="en-US" w:eastAsia="zh-CN"/>
              </w:rPr>
              <w:t>2、大气环境影响分析</w:t>
            </w:r>
          </w:p>
          <w:p>
            <w:pPr>
              <w:bidi w:val="0"/>
              <w:rPr>
                <w:rFonts w:hint="eastAsia"/>
                <w:color w:val="auto"/>
                <w:lang w:val="en-US" w:eastAsia="zh-CN"/>
              </w:rPr>
            </w:pPr>
            <w:r>
              <w:rPr>
                <w:rFonts w:hint="eastAsia"/>
                <w:color w:val="auto"/>
                <w:lang w:val="en-US" w:eastAsia="zh-CN"/>
              </w:rPr>
              <w:t>本项目施工期产生的废气有施工扬尘、装修产生的有机废气和施工机械柴油燃烧废气及车辆排放尾气。</w:t>
            </w:r>
          </w:p>
          <w:p>
            <w:pPr>
              <w:bidi w:val="0"/>
              <w:rPr>
                <w:rFonts w:hint="eastAsia"/>
                <w:color w:val="auto"/>
                <w:lang w:val="en-US" w:eastAsia="zh-CN"/>
              </w:rPr>
            </w:pPr>
            <w:r>
              <w:rPr>
                <w:rFonts w:hint="eastAsia"/>
                <w:color w:val="auto"/>
                <w:lang w:val="en-US" w:eastAsia="zh-CN"/>
              </w:rPr>
              <w:t>（1）施工扬尘</w:t>
            </w:r>
          </w:p>
          <w:p>
            <w:pPr>
              <w:bidi w:val="0"/>
              <w:rPr>
                <w:rFonts w:hint="eastAsia"/>
                <w:color w:val="auto"/>
                <w:lang w:val="en-US" w:eastAsia="zh-CN"/>
              </w:rPr>
            </w:pPr>
            <w:r>
              <w:rPr>
                <w:rFonts w:hint="eastAsia"/>
                <w:color w:val="auto"/>
                <w:lang w:val="en-US" w:eastAsia="zh-CN"/>
              </w:rPr>
              <w:t>施工期空气污染物主要是施工扬尘，主要产生于土石方开挖、</w:t>
            </w:r>
            <w:r>
              <w:rPr>
                <w:rFonts w:hint="default"/>
                <w:color w:val="auto"/>
                <w:lang w:eastAsia="zh-CN"/>
              </w:rPr>
              <w:t>临时</w:t>
            </w:r>
            <w:r>
              <w:rPr>
                <w:rFonts w:hint="eastAsia"/>
                <w:color w:val="auto"/>
                <w:lang w:val="en-US" w:eastAsia="zh-CN"/>
              </w:rPr>
              <w:t>堆土区、建材装卸、车辆行驶等作业，其主要污染物为TSP，呈无组织排放。</w:t>
            </w:r>
          </w:p>
          <w:p>
            <w:pPr>
              <w:bidi w:val="0"/>
              <w:rPr>
                <w:rFonts w:hint="eastAsia"/>
                <w:color w:val="auto"/>
                <w:lang w:val="en-US" w:eastAsia="zh-CN"/>
              </w:rPr>
            </w:pPr>
            <w:r>
              <w:rPr>
                <w:rFonts w:hint="eastAsia"/>
                <w:color w:val="auto"/>
                <w:lang w:val="en-US" w:eastAsia="zh-CN"/>
              </w:rPr>
              <w:t>①车辆行驶扬尘</w:t>
            </w:r>
          </w:p>
          <w:p>
            <w:pPr>
              <w:bidi w:val="0"/>
              <w:rPr>
                <w:rFonts w:hint="eastAsia"/>
                <w:color w:val="auto"/>
                <w:lang w:val="en-US" w:eastAsia="zh-CN"/>
              </w:rPr>
            </w:pPr>
            <w:r>
              <w:rPr>
                <w:rFonts w:hint="eastAsia"/>
                <w:color w:val="auto"/>
                <w:lang w:val="en-US" w:eastAsia="zh-CN"/>
              </w:rPr>
              <w:t>据有关调查显示，施工作业现场扬尘主要来自运输车辆在行驶过程中产生的扬尘，其产生量占工地扬尘总量的60%以上。车辆在行驶过程中产生的扬尘，在完全干燥的情况下，可按下列经验公式计算：</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rPr>
            </w:pPr>
            <w:r>
              <w:rPr>
                <w:rFonts w:hint="default"/>
                <w:color w:val="auto"/>
              </w:rPr>
              <w:drawing>
                <wp:inline distT="0" distB="0" distL="114300" distR="114300">
                  <wp:extent cx="1896110" cy="496570"/>
                  <wp:effectExtent l="0" t="0" r="8890" b="1778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28"/>
                          <a:stretch>
                            <a:fillRect/>
                          </a:stretch>
                        </pic:blipFill>
                        <pic:spPr>
                          <a:xfrm>
                            <a:off x="0" y="0"/>
                            <a:ext cx="1896110" cy="496570"/>
                          </a:xfrm>
                          <a:prstGeom prst="rect">
                            <a:avLst/>
                          </a:prstGeom>
                          <a:noFill/>
                          <a:ln>
                            <a:noFill/>
                          </a:ln>
                        </pic:spPr>
                      </pic:pic>
                    </a:graphicData>
                  </a:graphic>
                </wp:inline>
              </w:drawing>
            </w:r>
          </w:p>
          <w:p>
            <w:pPr>
              <w:bidi w:val="0"/>
              <w:rPr>
                <w:rFonts w:hint="eastAsia"/>
                <w:color w:val="auto"/>
                <w:lang w:eastAsia="zh-CN"/>
              </w:rPr>
            </w:pPr>
            <w:r>
              <w:rPr>
                <w:rFonts w:hint="eastAsia"/>
                <w:color w:val="auto"/>
                <w:lang w:val="en-US" w:eastAsia="zh-CN"/>
              </w:rPr>
              <w:t>式中：Q——汽车行驶的扬尘，kg/km·</w:t>
            </w:r>
            <w:r>
              <w:rPr>
                <w:rFonts w:hint="default"/>
                <w:color w:val="auto"/>
              </w:rPr>
              <w:t>辆</w:t>
            </w:r>
            <w:r>
              <w:rPr>
                <w:rFonts w:hint="eastAsia"/>
                <w:color w:val="auto"/>
                <w:lang w:eastAsia="zh-CN"/>
              </w:rPr>
              <w:t>；</w:t>
            </w:r>
          </w:p>
          <w:p>
            <w:pPr>
              <w:bidi w:val="0"/>
              <w:ind w:firstLine="1200" w:firstLineChars="500"/>
              <w:rPr>
                <w:rFonts w:hint="default"/>
                <w:color w:val="auto"/>
              </w:rPr>
            </w:pPr>
            <w:r>
              <w:rPr>
                <w:rFonts w:hint="default"/>
                <w:color w:val="auto"/>
              </w:rPr>
              <w:t>V——汽车速度，km/h；</w:t>
            </w:r>
          </w:p>
          <w:p>
            <w:pPr>
              <w:bidi w:val="0"/>
              <w:ind w:firstLine="1200" w:firstLineChars="500"/>
              <w:rPr>
                <w:rFonts w:hint="default"/>
                <w:color w:val="auto"/>
              </w:rPr>
            </w:pPr>
            <w:r>
              <w:rPr>
                <w:rFonts w:hint="default"/>
                <w:color w:val="auto"/>
              </w:rPr>
              <w:t>W——汽车载重量，t；</w:t>
            </w:r>
          </w:p>
          <w:p>
            <w:pPr>
              <w:bidi w:val="0"/>
              <w:ind w:firstLine="1200" w:firstLineChars="500"/>
              <w:rPr>
                <w:rFonts w:hint="default"/>
                <w:color w:val="auto"/>
                <w:lang w:val="en-US" w:eastAsia="zh-CN"/>
              </w:rPr>
            </w:pPr>
            <w:r>
              <w:rPr>
                <w:rFonts w:hint="default"/>
                <w:color w:val="auto"/>
              </w:rPr>
              <w:t>P——道路表面粉尘量，kg/m</w:t>
            </w:r>
            <w:r>
              <w:rPr>
                <w:rFonts w:hint="default"/>
                <w:color w:val="auto"/>
                <w:vertAlign w:val="superscript"/>
              </w:rPr>
              <w:t>2</w:t>
            </w:r>
            <w:r>
              <w:rPr>
                <w:rFonts w:hint="default"/>
                <w:color w:val="auto"/>
              </w:rPr>
              <w:t>。</w:t>
            </w:r>
          </w:p>
          <w:p>
            <w:pPr>
              <w:bidi w:val="0"/>
              <w:rPr>
                <w:rFonts w:hint="default"/>
                <w:color w:val="auto"/>
              </w:rPr>
            </w:pPr>
            <w:r>
              <w:rPr>
                <w:rFonts w:hint="default"/>
                <w:color w:val="auto"/>
              </w:rPr>
              <w:t>从上面的公式中可见，在同样的路面条件下，车速越快，扬尘量越大；在同样的车速情况下，路面越脏，扬尘量越大。因此，限制车辆行驶速度以及保持路面的清洁是减少汽车扬尘的有效手段。</w:t>
            </w:r>
          </w:p>
          <w:p>
            <w:pPr>
              <w:bidi w:val="0"/>
              <w:rPr>
                <w:rFonts w:hint="default"/>
                <w:color w:val="auto"/>
              </w:rPr>
            </w:pPr>
            <w:r>
              <w:rPr>
                <w:rFonts w:hint="default"/>
                <w:color w:val="auto"/>
              </w:rPr>
              <w:t>在施工期间对车辆行驶的路面实施洒水抑尘，每天洒水4～5次，可使扬尘减少70%</w:t>
            </w:r>
            <w:r>
              <w:rPr>
                <w:rFonts w:hint="default"/>
                <w:color w:val="auto"/>
              </w:rPr>
              <w:fldChar w:fldCharType="begin"/>
            </w:r>
            <w:r>
              <w:rPr>
                <w:rFonts w:hint="default"/>
                <w:color w:val="auto"/>
              </w:rPr>
              <w:instrText xml:space="preserve"> HYPERLINK \l "_bookmark16" </w:instrText>
            </w:r>
            <w:r>
              <w:rPr>
                <w:rFonts w:hint="default"/>
                <w:color w:val="auto"/>
              </w:rPr>
              <w:fldChar w:fldCharType="separate"/>
            </w:r>
            <w:r>
              <w:rPr>
                <w:rFonts w:hint="default"/>
                <w:color w:val="auto"/>
              </w:rPr>
              <w:t>左右，</w:t>
            </w:r>
            <w:r>
              <w:rPr>
                <w:rFonts w:hint="default"/>
                <w:color w:val="auto"/>
              </w:rPr>
              <w:fldChar w:fldCharType="end"/>
            </w:r>
            <w:r>
              <w:rPr>
                <w:rFonts w:hint="default"/>
                <w:color w:val="auto"/>
              </w:rPr>
              <w:t>下表为施工场地洒水抑尘的试验结果。可见，每天洒水4～5次进行抑尘，可有效地控制施工扬尘，可将TSP的污染距离缩小到20～50m范围。</w:t>
            </w:r>
          </w:p>
          <w:p>
            <w:pPr>
              <w:pStyle w:val="18"/>
              <w:bidi w:val="0"/>
              <w:rPr>
                <w:rFonts w:hint="default"/>
                <w:color w:val="auto"/>
              </w:rPr>
            </w:pPr>
            <w:r>
              <w:rPr>
                <w:rFonts w:hint="default"/>
                <w:color w:val="auto"/>
              </w:rPr>
              <w:t>表</w:t>
            </w:r>
            <w:r>
              <w:rPr>
                <w:rFonts w:hint="eastAsia"/>
                <w:color w:val="auto"/>
                <w:lang w:val="en-US" w:eastAsia="zh-CN"/>
              </w:rPr>
              <w:t>23</w:t>
            </w:r>
            <w:r>
              <w:rPr>
                <w:rFonts w:hint="default"/>
                <w:color w:val="auto"/>
                <w:lang w:val="en-US" w:eastAsia="zh-CN"/>
              </w:rPr>
              <w:t xml:space="preserve"> </w:t>
            </w:r>
            <w:r>
              <w:rPr>
                <w:rFonts w:hint="default"/>
                <w:color w:val="auto"/>
              </w:rPr>
              <w:t>施工场地洒水抑尘试验结果表（单位：mg/m</w:t>
            </w:r>
            <w:r>
              <w:rPr>
                <w:rFonts w:hint="default"/>
                <w:color w:val="auto"/>
                <w:vertAlign w:val="superscript"/>
              </w:rPr>
              <w:t>3</w:t>
            </w:r>
            <w:r>
              <w:rPr>
                <w:rFonts w:hint="default"/>
                <w:color w:val="auto"/>
              </w:rPr>
              <w:t>）</w:t>
            </w:r>
          </w:p>
          <w:tbl>
            <w:tblPr>
              <w:tblStyle w:val="20"/>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899"/>
              <w:gridCol w:w="1123"/>
              <w:gridCol w:w="1328"/>
              <w:gridCol w:w="1330"/>
              <w:gridCol w:w="1331"/>
              <w:gridCol w:w="133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086" w:type="dxa"/>
                  <w:gridSpan w:val="2"/>
                  <w:noWrap w:val="0"/>
                  <w:vAlign w:val="center"/>
                </w:tcPr>
                <w:p>
                  <w:pPr>
                    <w:pStyle w:val="19"/>
                    <w:bidi w:val="0"/>
                    <w:rPr>
                      <w:rFonts w:hint="default"/>
                      <w:color w:val="auto"/>
                      <w:lang w:eastAsia="en-US"/>
                    </w:rPr>
                  </w:pPr>
                  <w:r>
                    <w:rPr>
                      <w:rFonts w:hint="default"/>
                      <w:color w:val="auto"/>
                      <w:lang w:eastAsia="en-US"/>
                    </w:rPr>
                    <w:t>距离</w:t>
                  </w:r>
                </w:p>
              </w:tc>
              <w:tc>
                <w:tcPr>
                  <w:tcW w:w="1355" w:type="dxa"/>
                  <w:noWrap w:val="0"/>
                  <w:vAlign w:val="center"/>
                </w:tcPr>
                <w:p>
                  <w:pPr>
                    <w:pStyle w:val="19"/>
                    <w:bidi w:val="0"/>
                    <w:rPr>
                      <w:rFonts w:hint="default"/>
                      <w:color w:val="auto"/>
                      <w:lang w:eastAsia="en-US"/>
                    </w:rPr>
                  </w:pPr>
                  <w:r>
                    <w:rPr>
                      <w:rFonts w:hint="default"/>
                      <w:color w:val="auto"/>
                      <w:lang w:eastAsia="en-US"/>
                    </w:rPr>
                    <w:t>5</w:t>
                  </w:r>
                </w:p>
              </w:tc>
              <w:tc>
                <w:tcPr>
                  <w:tcW w:w="1357" w:type="dxa"/>
                  <w:noWrap w:val="0"/>
                  <w:vAlign w:val="center"/>
                </w:tcPr>
                <w:p>
                  <w:pPr>
                    <w:pStyle w:val="19"/>
                    <w:bidi w:val="0"/>
                    <w:rPr>
                      <w:rFonts w:hint="default"/>
                      <w:color w:val="auto"/>
                      <w:lang w:eastAsia="en-US"/>
                    </w:rPr>
                  </w:pPr>
                  <w:r>
                    <w:rPr>
                      <w:rFonts w:hint="default"/>
                      <w:color w:val="auto"/>
                      <w:lang w:eastAsia="en-US"/>
                    </w:rPr>
                    <w:t>20</w:t>
                  </w:r>
                </w:p>
              </w:tc>
              <w:tc>
                <w:tcPr>
                  <w:tcW w:w="1358" w:type="dxa"/>
                  <w:noWrap w:val="0"/>
                  <w:vAlign w:val="center"/>
                </w:tcPr>
                <w:p>
                  <w:pPr>
                    <w:pStyle w:val="19"/>
                    <w:bidi w:val="0"/>
                    <w:rPr>
                      <w:rFonts w:hint="default"/>
                      <w:color w:val="auto"/>
                      <w:lang w:eastAsia="en-US"/>
                    </w:rPr>
                  </w:pPr>
                  <w:r>
                    <w:rPr>
                      <w:rFonts w:hint="default"/>
                      <w:color w:val="auto"/>
                      <w:lang w:eastAsia="en-US"/>
                    </w:rPr>
                    <w:t>50</w:t>
                  </w:r>
                </w:p>
              </w:tc>
              <w:tc>
                <w:tcPr>
                  <w:tcW w:w="1358" w:type="dxa"/>
                  <w:noWrap w:val="0"/>
                  <w:vAlign w:val="center"/>
                </w:tcPr>
                <w:p>
                  <w:pPr>
                    <w:pStyle w:val="19"/>
                    <w:bidi w:val="0"/>
                    <w:rPr>
                      <w:rFonts w:hint="default"/>
                      <w:color w:val="auto"/>
                      <w:lang w:eastAsia="en-US"/>
                    </w:rPr>
                  </w:pPr>
                  <w:r>
                    <w:rPr>
                      <w:rFonts w:hint="default"/>
                      <w:color w:val="auto"/>
                      <w:lang w:eastAsia="en-US"/>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39" w:type="dxa"/>
                  <w:vMerge w:val="restart"/>
                  <w:noWrap w:val="0"/>
                  <w:vAlign w:val="center"/>
                </w:tcPr>
                <w:p>
                  <w:pPr>
                    <w:pStyle w:val="19"/>
                    <w:bidi w:val="0"/>
                    <w:rPr>
                      <w:rFonts w:hint="default"/>
                      <w:color w:val="auto"/>
                      <w:lang w:eastAsia="en-US"/>
                    </w:rPr>
                  </w:pPr>
                  <w:r>
                    <w:rPr>
                      <w:rFonts w:hint="default"/>
                      <w:color w:val="auto"/>
                      <w:lang w:eastAsia="en-US"/>
                    </w:rPr>
                    <w:t>TSP小时平均浓度</w:t>
                  </w:r>
                </w:p>
              </w:tc>
              <w:tc>
                <w:tcPr>
                  <w:tcW w:w="1147" w:type="dxa"/>
                  <w:noWrap w:val="0"/>
                  <w:vAlign w:val="center"/>
                </w:tcPr>
                <w:p>
                  <w:pPr>
                    <w:pStyle w:val="19"/>
                    <w:bidi w:val="0"/>
                    <w:rPr>
                      <w:rFonts w:hint="default"/>
                      <w:color w:val="auto"/>
                      <w:lang w:eastAsia="en-US"/>
                    </w:rPr>
                  </w:pPr>
                  <w:r>
                    <w:rPr>
                      <w:rFonts w:hint="default"/>
                      <w:color w:val="auto"/>
                      <w:lang w:eastAsia="en-US"/>
                    </w:rPr>
                    <w:t>不洒水</w:t>
                  </w:r>
                </w:p>
              </w:tc>
              <w:tc>
                <w:tcPr>
                  <w:tcW w:w="1355" w:type="dxa"/>
                  <w:noWrap w:val="0"/>
                  <w:vAlign w:val="center"/>
                </w:tcPr>
                <w:p>
                  <w:pPr>
                    <w:pStyle w:val="19"/>
                    <w:bidi w:val="0"/>
                    <w:rPr>
                      <w:rFonts w:hint="default"/>
                      <w:color w:val="auto"/>
                      <w:lang w:eastAsia="en-US"/>
                    </w:rPr>
                  </w:pPr>
                  <w:r>
                    <w:rPr>
                      <w:rFonts w:hint="default"/>
                      <w:color w:val="auto"/>
                      <w:lang w:eastAsia="en-US"/>
                    </w:rPr>
                    <w:t>10.14</w:t>
                  </w:r>
                </w:p>
              </w:tc>
              <w:tc>
                <w:tcPr>
                  <w:tcW w:w="1357" w:type="dxa"/>
                  <w:noWrap w:val="0"/>
                  <w:vAlign w:val="center"/>
                </w:tcPr>
                <w:p>
                  <w:pPr>
                    <w:pStyle w:val="19"/>
                    <w:bidi w:val="0"/>
                    <w:rPr>
                      <w:rFonts w:hint="default"/>
                      <w:color w:val="auto"/>
                      <w:lang w:eastAsia="en-US"/>
                    </w:rPr>
                  </w:pPr>
                  <w:r>
                    <w:rPr>
                      <w:rFonts w:hint="default"/>
                      <w:color w:val="auto"/>
                      <w:lang w:eastAsia="en-US"/>
                    </w:rPr>
                    <w:t>2.89</w:t>
                  </w:r>
                </w:p>
              </w:tc>
              <w:tc>
                <w:tcPr>
                  <w:tcW w:w="1358" w:type="dxa"/>
                  <w:noWrap w:val="0"/>
                  <w:vAlign w:val="center"/>
                </w:tcPr>
                <w:p>
                  <w:pPr>
                    <w:pStyle w:val="19"/>
                    <w:bidi w:val="0"/>
                    <w:rPr>
                      <w:rFonts w:hint="default"/>
                      <w:color w:val="auto"/>
                      <w:lang w:eastAsia="en-US"/>
                    </w:rPr>
                  </w:pPr>
                  <w:r>
                    <w:rPr>
                      <w:rFonts w:hint="default"/>
                      <w:color w:val="auto"/>
                      <w:lang w:eastAsia="en-US"/>
                    </w:rPr>
                    <w:t>1.15</w:t>
                  </w:r>
                </w:p>
              </w:tc>
              <w:tc>
                <w:tcPr>
                  <w:tcW w:w="1358" w:type="dxa"/>
                  <w:noWrap w:val="0"/>
                  <w:vAlign w:val="center"/>
                </w:tcPr>
                <w:p>
                  <w:pPr>
                    <w:pStyle w:val="19"/>
                    <w:bidi w:val="0"/>
                    <w:rPr>
                      <w:rFonts w:hint="default"/>
                      <w:color w:val="auto"/>
                      <w:lang w:eastAsia="en-US"/>
                    </w:rPr>
                  </w:pPr>
                  <w:r>
                    <w:rPr>
                      <w:rFonts w:hint="default"/>
                      <w:color w:val="auto"/>
                      <w:lang w:eastAsia="en-US"/>
                    </w:rPr>
                    <w:t>0.86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39" w:type="dxa"/>
                  <w:vMerge w:val="continue"/>
                  <w:noWrap w:val="0"/>
                  <w:vAlign w:val="center"/>
                </w:tcPr>
                <w:p>
                  <w:pPr>
                    <w:pStyle w:val="19"/>
                    <w:bidi w:val="0"/>
                    <w:rPr>
                      <w:rFonts w:hint="default"/>
                      <w:color w:val="auto"/>
                      <w:lang w:eastAsia="en-US"/>
                    </w:rPr>
                  </w:pPr>
                </w:p>
              </w:tc>
              <w:tc>
                <w:tcPr>
                  <w:tcW w:w="1147" w:type="dxa"/>
                  <w:noWrap w:val="0"/>
                  <w:vAlign w:val="center"/>
                </w:tcPr>
                <w:p>
                  <w:pPr>
                    <w:pStyle w:val="19"/>
                    <w:bidi w:val="0"/>
                    <w:rPr>
                      <w:rFonts w:hint="default"/>
                      <w:color w:val="auto"/>
                      <w:lang w:eastAsia="en-US"/>
                    </w:rPr>
                  </w:pPr>
                  <w:r>
                    <w:rPr>
                      <w:rFonts w:hint="default"/>
                      <w:color w:val="auto"/>
                      <w:lang w:eastAsia="en-US"/>
                    </w:rPr>
                    <w:t>洒水</w:t>
                  </w:r>
                </w:p>
              </w:tc>
              <w:tc>
                <w:tcPr>
                  <w:tcW w:w="1355" w:type="dxa"/>
                  <w:noWrap w:val="0"/>
                  <w:vAlign w:val="center"/>
                </w:tcPr>
                <w:p>
                  <w:pPr>
                    <w:pStyle w:val="19"/>
                    <w:bidi w:val="0"/>
                    <w:rPr>
                      <w:rFonts w:hint="default"/>
                      <w:color w:val="auto"/>
                      <w:lang w:eastAsia="en-US"/>
                    </w:rPr>
                  </w:pPr>
                  <w:r>
                    <w:rPr>
                      <w:rFonts w:hint="default"/>
                      <w:color w:val="auto"/>
                      <w:lang w:eastAsia="en-US"/>
                    </w:rPr>
                    <w:t>2.01</w:t>
                  </w:r>
                </w:p>
              </w:tc>
              <w:tc>
                <w:tcPr>
                  <w:tcW w:w="1357" w:type="dxa"/>
                  <w:noWrap w:val="0"/>
                  <w:vAlign w:val="center"/>
                </w:tcPr>
                <w:p>
                  <w:pPr>
                    <w:pStyle w:val="19"/>
                    <w:bidi w:val="0"/>
                    <w:rPr>
                      <w:rFonts w:hint="default"/>
                      <w:color w:val="auto"/>
                      <w:lang w:eastAsia="en-US"/>
                    </w:rPr>
                  </w:pPr>
                  <w:r>
                    <w:rPr>
                      <w:rFonts w:hint="default"/>
                      <w:color w:val="auto"/>
                      <w:lang w:eastAsia="en-US"/>
                    </w:rPr>
                    <w:t>1.40</w:t>
                  </w:r>
                </w:p>
              </w:tc>
              <w:tc>
                <w:tcPr>
                  <w:tcW w:w="1358" w:type="dxa"/>
                  <w:noWrap w:val="0"/>
                  <w:vAlign w:val="center"/>
                </w:tcPr>
                <w:p>
                  <w:pPr>
                    <w:pStyle w:val="19"/>
                    <w:bidi w:val="0"/>
                    <w:rPr>
                      <w:rFonts w:hint="default"/>
                      <w:color w:val="auto"/>
                      <w:lang w:eastAsia="en-US"/>
                    </w:rPr>
                  </w:pPr>
                  <w:r>
                    <w:rPr>
                      <w:rFonts w:hint="default"/>
                      <w:color w:val="auto"/>
                      <w:lang w:eastAsia="en-US"/>
                    </w:rPr>
                    <w:t>0.67</w:t>
                  </w:r>
                </w:p>
              </w:tc>
              <w:tc>
                <w:tcPr>
                  <w:tcW w:w="1358" w:type="dxa"/>
                  <w:noWrap w:val="0"/>
                  <w:vAlign w:val="center"/>
                </w:tcPr>
                <w:p>
                  <w:pPr>
                    <w:pStyle w:val="19"/>
                    <w:bidi w:val="0"/>
                    <w:rPr>
                      <w:rFonts w:hint="default"/>
                      <w:color w:val="auto"/>
                      <w:lang w:eastAsia="en-US"/>
                    </w:rPr>
                  </w:pPr>
                  <w:r>
                    <w:rPr>
                      <w:rFonts w:hint="default"/>
                      <w:color w:val="auto"/>
                      <w:lang w:eastAsia="en-US"/>
                    </w:rPr>
                    <w:t>0.60</w:t>
                  </w:r>
                </w:p>
              </w:tc>
            </w:tr>
          </w:tbl>
          <w:p>
            <w:pPr>
              <w:bidi w:val="0"/>
              <w:rPr>
                <w:rFonts w:hint="default"/>
                <w:color w:val="auto"/>
              </w:rPr>
            </w:pPr>
            <w:r>
              <w:rPr>
                <w:rFonts w:hint="default"/>
                <w:color w:val="auto"/>
              </w:rPr>
              <w:t>同时，工地运输渣土、建筑材料车辆必须密闭化、严禁跑冒滴漏，装卸时严禁凌空抛撒。</w:t>
            </w:r>
          </w:p>
          <w:p>
            <w:pPr>
              <w:bidi w:val="0"/>
              <w:rPr>
                <w:rFonts w:hint="eastAsia"/>
                <w:color w:val="auto"/>
                <w:lang w:val="en-US" w:eastAsia="zh-CN"/>
              </w:rPr>
            </w:pPr>
            <w:r>
              <w:rPr>
                <w:rFonts w:hint="eastAsia"/>
                <w:color w:val="auto"/>
                <w:lang w:val="en-US" w:eastAsia="zh-CN"/>
              </w:rPr>
              <w:t>②堆场扬尘</w:t>
            </w:r>
          </w:p>
          <w:p>
            <w:pPr>
              <w:bidi w:val="0"/>
              <w:rPr>
                <w:rFonts w:hint="eastAsia"/>
                <w:color w:val="auto"/>
                <w:lang w:val="en-US" w:eastAsia="zh-CN"/>
              </w:rPr>
            </w:pPr>
            <w:r>
              <w:rPr>
                <w:rFonts w:hint="default"/>
                <w:color w:val="auto"/>
              </w:rPr>
              <w:t>道路施工阶段扬尘的另一个主要来源是露天堆场和裸露场地的风力扬尘。由于施工需要，一些建筑材料需要露天堆放，一些施工作业点的表层土壤在经过人工开挖后，临时露天堆放在气候干燥且有风的情况下会产生大量扬尘</w:t>
            </w:r>
            <w:r>
              <w:rPr>
                <w:rFonts w:hint="eastAsia"/>
                <w:color w:val="auto"/>
                <w:lang w:eastAsia="zh-CN"/>
              </w:rPr>
              <w:t>，</w:t>
            </w:r>
            <w:r>
              <w:rPr>
                <w:rFonts w:hint="eastAsia"/>
                <w:color w:val="auto"/>
                <w:lang w:val="en-US" w:eastAsia="zh-CN"/>
              </w:rPr>
              <w:t>其扬尘量可按堆放场起尘的经验公式计算：</w:t>
            </w:r>
          </w:p>
          <w:p>
            <w:pPr>
              <w:bidi w:val="0"/>
              <w:rPr>
                <w:rFonts w:hint="default" w:ascii="Times New Roman" w:hAnsi="Times New Roman" w:cs="Times New Roman"/>
                <w:color w:val="auto"/>
                <w:lang w:val="en-US" w:eastAsia="zh-CN"/>
              </w:rPr>
            </w:pPr>
            <m:oMathPara>
              <m:oMath>
                <m:r>
                  <m:rPr>
                    <m:sty m:val="p"/>
                  </m:rPr>
                  <w:rPr>
                    <w:rFonts w:hint="default" w:ascii="Cambria Math" w:hAnsi="Cambria Math" w:cs="Times New Roman"/>
                    <w:color w:val="auto"/>
                    <w:lang w:val="en-US" w:eastAsia="zh-CN"/>
                  </w:rPr>
                  <m:t>Q=2.1</m:t>
                </m:r>
                <m:sSup>
                  <m:sSupPr>
                    <m:ctrlPr>
                      <w:rPr>
                        <w:rFonts w:hint="default" w:ascii="Cambria Math" w:hAnsi="Cambria Math" w:cs="Times New Roman"/>
                        <w:color w:val="auto"/>
                        <w:lang w:val="en-US" w:eastAsia="zh-CN"/>
                      </w:rPr>
                    </m:ctrlPr>
                  </m:sSupPr>
                  <m:e>
                    <m:r>
                      <m:rPr>
                        <m:sty m:val="p"/>
                      </m:rPr>
                      <w:rPr>
                        <w:rFonts w:hint="default" w:ascii="Cambria Math" w:hAnsi="Cambria Math" w:cs="Times New Roman"/>
                        <w:color w:val="auto"/>
                        <w:lang w:val="en-US" w:eastAsia="zh-CN"/>
                      </w:rPr>
                      <m:t>(</m:t>
                    </m:r>
                    <m:sSub>
                      <m:sSubPr>
                        <m:ctrlPr>
                          <w:rPr>
                            <w:rFonts w:hint="default" w:ascii="Cambria Math" w:hAnsi="Cambria Math" w:cs="Times New Roman"/>
                            <w:color w:val="auto"/>
                            <w:lang w:val="en-US" w:eastAsia="zh-CN"/>
                          </w:rPr>
                        </m:ctrlPr>
                      </m:sSubPr>
                      <m:e>
                        <m:r>
                          <m:rPr>
                            <m:sty m:val="p"/>
                          </m:rPr>
                          <w:rPr>
                            <w:rFonts w:hint="default" w:ascii="Cambria Math" w:hAnsi="Cambria Math" w:cs="Times New Roman"/>
                            <w:color w:val="auto"/>
                            <w:lang w:val="en-US" w:eastAsia="zh-CN"/>
                          </w:rPr>
                          <m:t>V</m:t>
                        </m:r>
                        <m:ctrlPr>
                          <w:rPr>
                            <w:rFonts w:hint="default" w:ascii="Cambria Math" w:hAnsi="Cambria Math" w:cs="Times New Roman"/>
                            <w:color w:val="auto"/>
                            <w:lang w:val="en-US" w:eastAsia="zh-CN"/>
                          </w:rPr>
                        </m:ctrlPr>
                      </m:e>
                      <m:sub>
                        <m:r>
                          <m:rPr>
                            <m:sty m:val="p"/>
                          </m:rPr>
                          <w:rPr>
                            <w:rFonts w:hint="default" w:ascii="Cambria Math" w:hAnsi="Cambria Math" w:cs="Times New Roman"/>
                            <w:color w:val="auto"/>
                            <w:lang w:val="en-US" w:eastAsia="zh-CN"/>
                          </w:rPr>
                          <m:t>50</m:t>
                        </m:r>
                        <m:ctrlPr>
                          <w:rPr>
                            <w:rFonts w:hint="default" w:ascii="Cambria Math" w:hAnsi="Cambria Math" w:cs="Times New Roman"/>
                            <w:color w:val="auto"/>
                            <w:lang w:val="en-US" w:eastAsia="zh-CN"/>
                          </w:rPr>
                        </m:ctrlPr>
                      </m:sub>
                    </m:sSub>
                    <m:r>
                      <m:rPr>
                        <m:sty m:val="p"/>
                      </m:rPr>
                      <w:rPr>
                        <w:rFonts w:hint="default" w:ascii="Cambria Math" w:hAnsi="Cambria Math" w:cs="Times New Roman"/>
                        <w:color w:val="auto"/>
                        <w:lang w:val="en-US" w:eastAsia="zh-CN"/>
                      </w:rPr>
                      <m:t>−</m:t>
                    </m:r>
                    <m:sSub>
                      <m:sSubPr>
                        <m:ctrlPr>
                          <w:rPr>
                            <w:rFonts w:hint="default" w:ascii="Cambria Math" w:hAnsi="Cambria Math" w:cs="Times New Roman"/>
                            <w:color w:val="auto"/>
                            <w:lang w:val="en-US" w:eastAsia="zh-CN"/>
                          </w:rPr>
                        </m:ctrlPr>
                      </m:sSubPr>
                      <m:e>
                        <m:r>
                          <m:rPr>
                            <m:sty m:val="p"/>
                          </m:rPr>
                          <w:rPr>
                            <w:rFonts w:hint="default" w:ascii="Cambria Math" w:hAnsi="Cambria Math" w:cs="Times New Roman"/>
                            <w:color w:val="auto"/>
                            <w:lang w:val="en-US" w:eastAsia="zh-CN"/>
                          </w:rPr>
                          <m:t>V</m:t>
                        </m:r>
                        <m:ctrlPr>
                          <w:rPr>
                            <w:rFonts w:hint="default" w:ascii="Cambria Math" w:hAnsi="Cambria Math" w:cs="Times New Roman"/>
                            <w:color w:val="auto"/>
                            <w:lang w:val="en-US" w:eastAsia="zh-CN"/>
                          </w:rPr>
                        </m:ctrlPr>
                      </m:e>
                      <m:sub>
                        <m:r>
                          <m:rPr>
                            <m:sty m:val="p"/>
                          </m:rPr>
                          <w:rPr>
                            <w:rFonts w:hint="default" w:ascii="Cambria Math" w:hAnsi="Cambria Math" w:cs="Times New Roman"/>
                            <w:color w:val="auto"/>
                            <w:lang w:val="en-US" w:eastAsia="zh-CN"/>
                          </w:rPr>
                          <m:t>0</m:t>
                        </m:r>
                        <m:ctrlPr>
                          <w:rPr>
                            <w:rFonts w:hint="default" w:ascii="Cambria Math" w:hAnsi="Cambria Math" w:cs="Times New Roman"/>
                            <w:color w:val="auto"/>
                            <w:lang w:val="en-US" w:eastAsia="zh-CN"/>
                          </w:rPr>
                        </m:ctrlPr>
                      </m:sub>
                    </m:sSub>
                    <m:r>
                      <m:rPr>
                        <m:sty m:val="p"/>
                      </m:rPr>
                      <w:rPr>
                        <w:rFonts w:hint="default" w:ascii="Cambria Math" w:hAnsi="Cambria Math" w:cs="Times New Roman"/>
                        <w:color w:val="auto"/>
                        <w:lang w:val="en-US" w:eastAsia="zh-CN"/>
                      </w:rPr>
                      <m:t>)</m:t>
                    </m:r>
                    <m:ctrlPr>
                      <w:rPr>
                        <w:rFonts w:hint="default" w:ascii="Cambria Math" w:hAnsi="Cambria Math" w:cs="Times New Roman"/>
                        <w:color w:val="auto"/>
                        <w:lang w:val="en-US" w:eastAsia="zh-CN"/>
                      </w:rPr>
                    </m:ctrlPr>
                  </m:e>
                  <m:sup>
                    <m:r>
                      <m:rPr>
                        <m:sty m:val="p"/>
                      </m:rPr>
                      <w:rPr>
                        <w:rFonts w:hint="default" w:ascii="Cambria Math" w:hAnsi="Cambria Math" w:cs="Times New Roman"/>
                        <w:color w:val="auto"/>
                        <w:lang w:val="en-US" w:eastAsia="zh-CN"/>
                      </w:rPr>
                      <m:t>3</m:t>
                    </m:r>
                    <m:ctrlPr>
                      <w:rPr>
                        <w:rFonts w:hint="default" w:ascii="Cambria Math" w:hAnsi="Cambria Math" w:cs="Times New Roman"/>
                        <w:color w:val="auto"/>
                        <w:lang w:val="en-US" w:eastAsia="zh-CN"/>
                      </w:rPr>
                    </m:ctrlPr>
                  </m:sup>
                </m:sSup>
                <m:sSup>
                  <m:sSupPr>
                    <m:ctrlPr>
                      <w:rPr>
                        <w:rFonts w:hint="default" w:ascii="Cambria Math" w:hAnsi="Cambria Math" w:cs="Times New Roman"/>
                        <w:color w:val="auto"/>
                        <w:lang w:val="en-US" w:eastAsia="zh-CN"/>
                      </w:rPr>
                    </m:ctrlPr>
                  </m:sSupPr>
                  <m:e>
                    <m:r>
                      <m:rPr>
                        <m:sty m:val="p"/>
                      </m:rPr>
                      <w:rPr>
                        <w:rFonts w:hint="default" w:ascii="Cambria Math" w:hAnsi="Cambria Math" w:cs="Times New Roman"/>
                        <w:color w:val="auto"/>
                        <w:lang w:val="en-US" w:eastAsia="zh-CN"/>
                      </w:rPr>
                      <m:t>e</m:t>
                    </m:r>
                    <m:ctrlPr>
                      <w:rPr>
                        <w:rFonts w:hint="default" w:ascii="Cambria Math" w:hAnsi="Cambria Math" w:cs="Times New Roman"/>
                        <w:color w:val="auto"/>
                        <w:lang w:val="en-US" w:eastAsia="zh-CN"/>
                      </w:rPr>
                    </m:ctrlPr>
                  </m:e>
                  <m:sup>
                    <m:r>
                      <m:rPr>
                        <m:sty m:val="p"/>
                      </m:rPr>
                      <w:rPr>
                        <w:rFonts w:hint="default" w:ascii="Cambria Math" w:hAnsi="Cambria Math" w:cs="Times New Roman"/>
                        <w:color w:val="auto"/>
                        <w:lang w:val="en-US" w:eastAsia="zh-CN"/>
                      </w:rPr>
                      <m:t>−1.023W</m:t>
                    </m:r>
                    <m:ctrlPr>
                      <w:rPr>
                        <w:rFonts w:hint="default" w:ascii="Cambria Math" w:hAnsi="Cambria Math" w:cs="Times New Roman"/>
                        <w:color w:val="auto"/>
                        <w:lang w:val="en-US" w:eastAsia="zh-CN"/>
                      </w:rPr>
                    </m:ctrlPr>
                  </m:sup>
                </m:sSup>
              </m:oMath>
            </m:oMathPara>
          </w:p>
          <w:p>
            <w:pPr>
              <w:bidi w:val="0"/>
              <w:rPr>
                <w:rFonts w:hint="eastAsia"/>
                <w:color w:val="auto"/>
                <w:lang w:val="en-US" w:eastAsia="zh-CN"/>
              </w:rPr>
            </w:pPr>
            <w:r>
              <w:rPr>
                <w:rFonts w:hint="eastAsia"/>
                <w:color w:val="auto"/>
                <w:lang w:val="en-US" w:eastAsia="zh-CN"/>
              </w:rPr>
              <w:t>式中，Q——起尘量，kg/a；</w:t>
            </w:r>
          </w:p>
          <w:p>
            <w:pPr>
              <w:bidi w:val="0"/>
              <w:ind w:firstLine="1200" w:firstLineChars="500"/>
              <w:rPr>
                <w:rFonts w:hint="eastAsia"/>
                <w:color w:val="auto"/>
                <w:lang w:val="en-US" w:eastAsia="zh-CN"/>
              </w:rPr>
            </w:pPr>
            <w:r>
              <w:rPr>
                <w:rFonts w:hint="eastAsia"/>
                <w:color w:val="auto"/>
                <w:lang w:val="en-US" w:eastAsia="zh-CN"/>
              </w:rPr>
              <w:t>V50——距地面50m处风速，m/s；</w:t>
            </w:r>
          </w:p>
          <w:p>
            <w:pPr>
              <w:bidi w:val="0"/>
              <w:ind w:firstLine="1200" w:firstLineChars="500"/>
              <w:rPr>
                <w:rFonts w:hint="eastAsia"/>
                <w:color w:val="auto"/>
                <w:lang w:val="en-US" w:eastAsia="zh-CN"/>
              </w:rPr>
            </w:pPr>
            <w:r>
              <w:rPr>
                <w:rFonts w:hint="eastAsia"/>
                <w:color w:val="auto"/>
                <w:lang w:val="en-US" w:eastAsia="zh-CN"/>
              </w:rPr>
              <w:t>V0——起尘风速，m/s；</w:t>
            </w:r>
          </w:p>
          <w:p>
            <w:pPr>
              <w:bidi w:val="0"/>
              <w:ind w:firstLine="1200" w:firstLineChars="500"/>
              <w:rPr>
                <w:rFonts w:hint="default"/>
                <w:color w:val="auto"/>
                <w:lang w:val="en-US" w:eastAsia="zh-CN"/>
              </w:rPr>
            </w:pPr>
            <w:r>
              <w:rPr>
                <w:rFonts w:hint="eastAsia"/>
                <w:color w:val="auto"/>
                <w:lang w:val="en-US" w:eastAsia="zh-CN"/>
              </w:rPr>
              <w:t>W——尘粒的含水量，%。</w:t>
            </w:r>
          </w:p>
          <w:p>
            <w:pPr>
              <w:bidi w:val="0"/>
              <w:rPr>
                <w:rFonts w:hint="eastAsia" w:eastAsia="宋体"/>
                <w:color w:val="auto"/>
                <w:lang w:eastAsia="zh-CN"/>
              </w:rPr>
            </w:pPr>
            <w:r>
              <w:rPr>
                <w:rFonts w:hint="default"/>
                <w:color w:val="auto"/>
              </w:rPr>
              <w:t>起尘风速与尘粒和含水量有关，因此，减少露天堆放和保证一定的含水量及减少裸露地面是减少风力起尘的有效手段。粉尘在空气中的扩散稀释与风速等气象条件有关，也与粉尘本身的沉降速度有关。不同尘粒粉尘的沉降速度见下表</w:t>
            </w:r>
            <w:r>
              <w:rPr>
                <w:rFonts w:hint="eastAsia"/>
                <w:color w:val="auto"/>
                <w:lang w:eastAsia="zh-CN"/>
              </w:rPr>
              <w:t>。</w:t>
            </w:r>
          </w:p>
          <w:p>
            <w:pPr>
              <w:pStyle w:val="18"/>
              <w:bidi w:val="0"/>
              <w:rPr>
                <w:rFonts w:hint="default"/>
                <w:color w:val="auto"/>
                <w:lang w:val="en-US" w:eastAsia="zh-CN"/>
              </w:rPr>
            </w:pPr>
            <w:r>
              <w:rPr>
                <w:color w:val="auto"/>
              </w:rPr>
              <w:t>表</w:t>
            </w:r>
            <w:r>
              <w:rPr>
                <w:rFonts w:hint="eastAsia"/>
                <w:color w:val="auto"/>
                <w:lang w:val="en-US" w:eastAsia="zh-CN"/>
              </w:rPr>
              <w:t>24 不同尘粒的沉降速度</w:t>
            </w:r>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0" w:type="dxa"/>
                <w:bottom w:w="0" w:type="dxa"/>
                <w:right w:w="0" w:type="dxa"/>
              </w:tblCellMar>
            </w:tblPr>
            <w:tblGrid>
              <w:gridCol w:w="1543"/>
              <w:gridCol w:w="940"/>
              <w:gridCol w:w="1035"/>
              <w:gridCol w:w="970"/>
              <w:gridCol w:w="1035"/>
              <w:gridCol w:w="986"/>
              <w:gridCol w:w="1022"/>
              <w:gridCol w:w="808"/>
            </w:tblGrid>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25" w:type="pct"/>
                  <w:noWrap w:val="0"/>
                  <w:vAlign w:val="center"/>
                </w:tcPr>
                <w:p>
                  <w:pPr>
                    <w:pStyle w:val="19"/>
                    <w:bidi w:val="0"/>
                    <w:rPr>
                      <w:rFonts w:hint="default"/>
                      <w:color w:val="auto"/>
                    </w:rPr>
                  </w:pPr>
                  <w:r>
                    <w:rPr>
                      <w:rFonts w:hint="default"/>
                      <w:color w:val="auto"/>
                    </w:rPr>
                    <w:t>粒径（um）</w:t>
                  </w:r>
                </w:p>
              </w:tc>
              <w:tc>
                <w:tcPr>
                  <w:tcW w:w="563" w:type="pct"/>
                  <w:noWrap w:val="0"/>
                  <w:vAlign w:val="center"/>
                </w:tcPr>
                <w:p>
                  <w:pPr>
                    <w:pStyle w:val="19"/>
                    <w:bidi w:val="0"/>
                    <w:rPr>
                      <w:rFonts w:hint="default"/>
                      <w:color w:val="auto"/>
                    </w:rPr>
                  </w:pPr>
                  <w:r>
                    <w:rPr>
                      <w:rFonts w:hint="default"/>
                      <w:color w:val="auto"/>
                    </w:rPr>
                    <w:t>10</w:t>
                  </w:r>
                </w:p>
              </w:tc>
              <w:tc>
                <w:tcPr>
                  <w:tcW w:w="620" w:type="pct"/>
                  <w:noWrap w:val="0"/>
                  <w:vAlign w:val="center"/>
                </w:tcPr>
                <w:p>
                  <w:pPr>
                    <w:pStyle w:val="19"/>
                    <w:bidi w:val="0"/>
                    <w:rPr>
                      <w:rFonts w:hint="default"/>
                      <w:color w:val="auto"/>
                    </w:rPr>
                  </w:pPr>
                  <w:r>
                    <w:rPr>
                      <w:rFonts w:hint="default"/>
                      <w:color w:val="auto"/>
                    </w:rPr>
                    <w:t>20</w:t>
                  </w:r>
                </w:p>
              </w:tc>
              <w:tc>
                <w:tcPr>
                  <w:tcW w:w="581" w:type="pct"/>
                  <w:noWrap w:val="0"/>
                  <w:vAlign w:val="center"/>
                </w:tcPr>
                <w:p>
                  <w:pPr>
                    <w:pStyle w:val="19"/>
                    <w:bidi w:val="0"/>
                    <w:rPr>
                      <w:rFonts w:hint="default"/>
                      <w:color w:val="auto"/>
                    </w:rPr>
                  </w:pPr>
                  <w:r>
                    <w:rPr>
                      <w:rFonts w:hint="default"/>
                      <w:color w:val="auto"/>
                    </w:rPr>
                    <w:t>30</w:t>
                  </w:r>
                </w:p>
              </w:tc>
              <w:tc>
                <w:tcPr>
                  <w:tcW w:w="620" w:type="pct"/>
                  <w:noWrap w:val="0"/>
                  <w:vAlign w:val="center"/>
                </w:tcPr>
                <w:p>
                  <w:pPr>
                    <w:pStyle w:val="19"/>
                    <w:bidi w:val="0"/>
                    <w:rPr>
                      <w:rFonts w:hint="default"/>
                      <w:color w:val="auto"/>
                    </w:rPr>
                  </w:pPr>
                  <w:r>
                    <w:rPr>
                      <w:rFonts w:hint="default"/>
                      <w:color w:val="auto"/>
                    </w:rPr>
                    <w:t>40</w:t>
                  </w:r>
                </w:p>
              </w:tc>
              <w:tc>
                <w:tcPr>
                  <w:tcW w:w="591" w:type="pct"/>
                  <w:noWrap w:val="0"/>
                  <w:vAlign w:val="center"/>
                </w:tcPr>
                <w:p>
                  <w:pPr>
                    <w:pStyle w:val="19"/>
                    <w:bidi w:val="0"/>
                    <w:rPr>
                      <w:rFonts w:hint="default"/>
                      <w:color w:val="auto"/>
                    </w:rPr>
                  </w:pPr>
                  <w:r>
                    <w:rPr>
                      <w:rFonts w:hint="default"/>
                      <w:color w:val="auto"/>
                    </w:rPr>
                    <w:t>50</w:t>
                  </w:r>
                </w:p>
              </w:tc>
              <w:tc>
                <w:tcPr>
                  <w:tcW w:w="612" w:type="pct"/>
                  <w:noWrap w:val="0"/>
                  <w:vAlign w:val="center"/>
                </w:tcPr>
                <w:p>
                  <w:pPr>
                    <w:pStyle w:val="19"/>
                    <w:bidi w:val="0"/>
                    <w:rPr>
                      <w:rFonts w:hint="default"/>
                      <w:color w:val="auto"/>
                    </w:rPr>
                  </w:pPr>
                  <w:r>
                    <w:rPr>
                      <w:rFonts w:hint="default"/>
                      <w:color w:val="auto"/>
                    </w:rPr>
                    <w:t>60</w:t>
                  </w:r>
                </w:p>
              </w:tc>
              <w:tc>
                <w:tcPr>
                  <w:tcW w:w="484" w:type="pct"/>
                  <w:noWrap w:val="0"/>
                  <w:vAlign w:val="center"/>
                </w:tcPr>
                <w:p>
                  <w:pPr>
                    <w:pStyle w:val="19"/>
                    <w:bidi w:val="0"/>
                    <w:rPr>
                      <w:rFonts w:hint="default"/>
                      <w:color w:val="auto"/>
                    </w:rPr>
                  </w:pPr>
                  <w:r>
                    <w:rPr>
                      <w:rFonts w:hint="default"/>
                      <w:color w:val="auto"/>
                    </w:rPr>
                    <w:t>70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25" w:type="pct"/>
                  <w:noWrap w:val="0"/>
                  <w:vAlign w:val="center"/>
                </w:tcPr>
                <w:p>
                  <w:pPr>
                    <w:pStyle w:val="19"/>
                    <w:bidi w:val="0"/>
                    <w:rPr>
                      <w:rFonts w:hint="default"/>
                      <w:color w:val="auto"/>
                    </w:rPr>
                  </w:pPr>
                  <w:r>
                    <w:rPr>
                      <w:rFonts w:hint="default"/>
                      <w:color w:val="auto"/>
                    </w:rPr>
                    <w:t>沉降速度(m/s)</w:t>
                  </w:r>
                </w:p>
              </w:tc>
              <w:tc>
                <w:tcPr>
                  <w:tcW w:w="563" w:type="pct"/>
                  <w:noWrap w:val="0"/>
                  <w:vAlign w:val="center"/>
                </w:tcPr>
                <w:p>
                  <w:pPr>
                    <w:pStyle w:val="19"/>
                    <w:bidi w:val="0"/>
                    <w:rPr>
                      <w:rFonts w:hint="default"/>
                      <w:color w:val="auto"/>
                    </w:rPr>
                  </w:pPr>
                  <w:r>
                    <w:rPr>
                      <w:rFonts w:hint="default"/>
                      <w:color w:val="auto"/>
                    </w:rPr>
                    <w:t>0.03</w:t>
                  </w:r>
                </w:p>
              </w:tc>
              <w:tc>
                <w:tcPr>
                  <w:tcW w:w="620" w:type="pct"/>
                  <w:noWrap w:val="0"/>
                  <w:vAlign w:val="center"/>
                </w:tcPr>
                <w:p>
                  <w:pPr>
                    <w:pStyle w:val="19"/>
                    <w:bidi w:val="0"/>
                    <w:rPr>
                      <w:rFonts w:hint="default"/>
                      <w:color w:val="auto"/>
                    </w:rPr>
                  </w:pPr>
                  <w:r>
                    <w:rPr>
                      <w:rFonts w:hint="default"/>
                      <w:color w:val="auto"/>
                    </w:rPr>
                    <w:t>0.012</w:t>
                  </w:r>
                </w:p>
              </w:tc>
              <w:tc>
                <w:tcPr>
                  <w:tcW w:w="581" w:type="pct"/>
                  <w:noWrap w:val="0"/>
                  <w:vAlign w:val="center"/>
                </w:tcPr>
                <w:p>
                  <w:pPr>
                    <w:pStyle w:val="19"/>
                    <w:bidi w:val="0"/>
                    <w:rPr>
                      <w:rFonts w:hint="default"/>
                      <w:color w:val="auto"/>
                    </w:rPr>
                  </w:pPr>
                  <w:r>
                    <w:rPr>
                      <w:rFonts w:hint="default"/>
                      <w:color w:val="auto"/>
                    </w:rPr>
                    <w:t>0.027</w:t>
                  </w:r>
                </w:p>
              </w:tc>
              <w:tc>
                <w:tcPr>
                  <w:tcW w:w="620" w:type="pct"/>
                  <w:noWrap w:val="0"/>
                  <w:vAlign w:val="center"/>
                </w:tcPr>
                <w:p>
                  <w:pPr>
                    <w:pStyle w:val="19"/>
                    <w:bidi w:val="0"/>
                    <w:rPr>
                      <w:rFonts w:hint="default"/>
                      <w:color w:val="auto"/>
                    </w:rPr>
                  </w:pPr>
                  <w:r>
                    <w:rPr>
                      <w:rFonts w:hint="default"/>
                      <w:color w:val="auto"/>
                    </w:rPr>
                    <w:t>0.048</w:t>
                  </w:r>
                </w:p>
              </w:tc>
              <w:tc>
                <w:tcPr>
                  <w:tcW w:w="591" w:type="pct"/>
                  <w:noWrap w:val="0"/>
                  <w:vAlign w:val="center"/>
                </w:tcPr>
                <w:p>
                  <w:pPr>
                    <w:pStyle w:val="19"/>
                    <w:bidi w:val="0"/>
                    <w:rPr>
                      <w:rFonts w:hint="default"/>
                      <w:color w:val="auto"/>
                    </w:rPr>
                  </w:pPr>
                  <w:r>
                    <w:rPr>
                      <w:rFonts w:hint="default"/>
                      <w:color w:val="auto"/>
                    </w:rPr>
                    <w:t>0.075</w:t>
                  </w:r>
                </w:p>
              </w:tc>
              <w:tc>
                <w:tcPr>
                  <w:tcW w:w="612" w:type="pct"/>
                  <w:noWrap w:val="0"/>
                  <w:vAlign w:val="center"/>
                </w:tcPr>
                <w:p>
                  <w:pPr>
                    <w:pStyle w:val="19"/>
                    <w:bidi w:val="0"/>
                    <w:rPr>
                      <w:rFonts w:hint="default"/>
                      <w:color w:val="auto"/>
                    </w:rPr>
                  </w:pPr>
                  <w:r>
                    <w:rPr>
                      <w:rFonts w:hint="default"/>
                      <w:color w:val="auto"/>
                    </w:rPr>
                    <w:t>0.108</w:t>
                  </w:r>
                </w:p>
              </w:tc>
              <w:tc>
                <w:tcPr>
                  <w:tcW w:w="484" w:type="pct"/>
                  <w:noWrap w:val="0"/>
                  <w:vAlign w:val="center"/>
                </w:tcPr>
                <w:p>
                  <w:pPr>
                    <w:pStyle w:val="19"/>
                    <w:bidi w:val="0"/>
                    <w:rPr>
                      <w:rFonts w:hint="default"/>
                      <w:color w:val="auto"/>
                    </w:rPr>
                  </w:pPr>
                  <w:r>
                    <w:rPr>
                      <w:rFonts w:hint="default"/>
                      <w:color w:val="auto"/>
                    </w:rPr>
                    <w:t>0.997</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25" w:type="pct"/>
                  <w:noWrap w:val="0"/>
                  <w:vAlign w:val="center"/>
                </w:tcPr>
                <w:p>
                  <w:pPr>
                    <w:pStyle w:val="19"/>
                    <w:bidi w:val="0"/>
                    <w:rPr>
                      <w:rFonts w:hint="default"/>
                      <w:color w:val="auto"/>
                    </w:rPr>
                  </w:pPr>
                  <w:r>
                    <w:rPr>
                      <w:rFonts w:hint="default"/>
                      <w:color w:val="auto"/>
                    </w:rPr>
                    <w:t>粒径（um）</w:t>
                  </w:r>
                </w:p>
              </w:tc>
              <w:tc>
                <w:tcPr>
                  <w:tcW w:w="563" w:type="pct"/>
                  <w:noWrap w:val="0"/>
                  <w:vAlign w:val="center"/>
                </w:tcPr>
                <w:p>
                  <w:pPr>
                    <w:pStyle w:val="19"/>
                    <w:bidi w:val="0"/>
                    <w:rPr>
                      <w:rFonts w:hint="default"/>
                      <w:color w:val="auto"/>
                    </w:rPr>
                  </w:pPr>
                  <w:r>
                    <w:rPr>
                      <w:rFonts w:hint="default"/>
                      <w:color w:val="auto"/>
                    </w:rPr>
                    <w:t>80</w:t>
                  </w:r>
                </w:p>
              </w:tc>
              <w:tc>
                <w:tcPr>
                  <w:tcW w:w="620" w:type="pct"/>
                  <w:noWrap w:val="0"/>
                  <w:vAlign w:val="center"/>
                </w:tcPr>
                <w:p>
                  <w:pPr>
                    <w:pStyle w:val="19"/>
                    <w:bidi w:val="0"/>
                    <w:rPr>
                      <w:rFonts w:hint="default"/>
                      <w:color w:val="auto"/>
                    </w:rPr>
                  </w:pPr>
                  <w:r>
                    <w:rPr>
                      <w:rFonts w:hint="default"/>
                      <w:color w:val="auto"/>
                    </w:rPr>
                    <w:t>90</w:t>
                  </w:r>
                </w:p>
              </w:tc>
              <w:tc>
                <w:tcPr>
                  <w:tcW w:w="581" w:type="pct"/>
                  <w:noWrap w:val="0"/>
                  <w:vAlign w:val="center"/>
                </w:tcPr>
                <w:p>
                  <w:pPr>
                    <w:pStyle w:val="19"/>
                    <w:bidi w:val="0"/>
                    <w:rPr>
                      <w:rFonts w:hint="default"/>
                      <w:color w:val="auto"/>
                    </w:rPr>
                  </w:pPr>
                  <w:r>
                    <w:rPr>
                      <w:rFonts w:hint="default"/>
                      <w:color w:val="auto"/>
                    </w:rPr>
                    <w:t>100</w:t>
                  </w:r>
                </w:p>
              </w:tc>
              <w:tc>
                <w:tcPr>
                  <w:tcW w:w="620" w:type="pct"/>
                  <w:noWrap w:val="0"/>
                  <w:vAlign w:val="center"/>
                </w:tcPr>
                <w:p>
                  <w:pPr>
                    <w:pStyle w:val="19"/>
                    <w:bidi w:val="0"/>
                    <w:rPr>
                      <w:rFonts w:hint="default"/>
                      <w:color w:val="auto"/>
                    </w:rPr>
                  </w:pPr>
                  <w:r>
                    <w:rPr>
                      <w:rFonts w:hint="default"/>
                      <w:color w:val="auto"/>
                    </w:rPr>
                    <w:t>150</w:t>
                  </w:r>
                </w:p>
              </w:tc>
              <w:tc>
                <w:tcPr>
                  <w:tcW w:w="591" w:type="pct"/>
                  <w:noWrap w:val="0"/>
                  <w:vAlign w:val="center"/>
                </w:tcPr>
                <w:p>
                  <w:pPr>
                    <w:pStyle w:val="19"/>
                    <w:bidi w:val="0"/>
                    <w:rPr>
                      <w:rFonts w:hint="default"/>
                      <w:color w:val="auto"/>
                    </w:rPr>
                  </w:pPr>
                  <w:r>
                    <w:rPr>
                      <w:rFonts w:hint="default"/>
                      <w:color w:val="auto"/>
                    </w:rPr>
                    <w:t>200</w:t>
                  </w:r>
                </w:p>
              </w:tc>
              <w:tc>
                <w:tcPr>
                  <w:tcW w:w="612" w:type="pct"/>
                  <w:noWrap w:val="0"/>
                  <w:vAlign w:val="center"/>
                </w:tcPr>
                <w:p>
                  <w:pPr>
                    <w:pStyle w:val="19"/>
                    <w:bidi w:val="0"/>
                    <w:rPr>
                      <w:rFonts w:hint="default"/>
                      <w:color w:val="auto"/>
                    </w:rPr>
                  </w:pPr>
                  <w:r>
                    <w:rPr>
                      <w:rFonts w:hint="default"/>
                      <w:color w:val="auto"/>
                    </w:rPr>
                    <w:t>250</w:t>
                  </w:r>
                </w:p>
              </w:tc>
              <w:tc>
                <w:tcPr>
                  <w:tcW w:w="484" w:type="pct"/>
                  <w:noWrap w:val="0"/>
                  <w:vAlign w:val="center"/>
                </w:tcPr>
                <w:p>
                  <w:pPr>
                    <w:pStyle w:val="19"/>
                    <w:bidi w:val="0"/>
                    <w:rPr>
                      <w:rFonts w:hint="default"/>
                      <w:color w:val="auto"/>
                    </w:rPr>
                  </w:pPr>
                  <w:r>
                    <w:rPr>
                      <w:rFonts w:hint="default"/>
                      <w:color w:val="auto"/>
                    </w:rPr>
                    <w:t>300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25" w:type="pct"/>
                  <w:noWrap w:val="0"/>
                  <w:vAlign w:val="center"/>
                </w:tcPr>
                <w:p>
                  <w:pPr>
                    <w:pStyle w:val="19"/>
                    <w:bidi w:val="0"/>
                    <w:rPr>
                      <w:rFonts w:hint="default"/>
                      <w:color w:val="auto"/>
                    </w:rPr>
                  </w:pPr>
                  <w:r>
                    <w:rPr>
                      <w:rFonts w:hint="default"/>
                      <w:color w:val="auto"/>
                    </w:rPr>
                    <w:t>沉降速度(m/s)</w:t>
                  </w:r>
                </w:p>
              </w:tc>
              <w:tc>
                <w:tcPr>
                  <w:tcW w:w="563" w:type="pct"/>
                  <w:noWrap w:val="0"/>
                  <w:vAlign w:val="center"/>
                </w:tcPr>
                <w:p>
                  <w:pPr>
                    <w:pStyle w:val="19"/>
                    <w:bidi w:val="0"/>
                    <w:rPr>
                      <w:rFonts w:hint="default"/>
                      <w:color w:val="auto"/>
                    </w:rPr>
                  </w:pPr>
                  <w:r>
                    <w:rPr>
                      <w:rFonts w:hint="default"/>
                      <w:color w:val="auto"/>
                    </w:rPr>
                    <w:t>0.158</w:t>
                  </w:r>
                </w:p>
              </w:tc>
              <w:tc>
                <w:tcPr>
                  <w:tcW w:w="620" w:type="pct"/>
                  <w:noWrap w:val="0"/>
                  <w:vAlign w:val="center"/>
                </w:tcPr>
                <w:p>
                  <w:pPr>
                    <w:pStyle w:val="19"/>
                    <w:bidi w:val="0"/>
                    <w:rPr>
                      <w:rFonts w:hint="default"/>
                      <w:color w:val="auto"/>
                    </w:rPr>
                  </w:pPr>
                  <w:r>
                    <w:rPr>
                      <w:rFonts w:hint="default"/>
                      <w:color w:val="auto"/>
                    </w:rPr>
                    <w:t>0.170</w:t>
                  </w:r>
                </w:p>
              </w:tc>
              <w:tc>
                <w:tcPr>
                  <w:tcW w:w="581" w:type="pct"/>
                  <w:noWrap w:val="0"/>
                  <w:vAlign w:val="center"/>
                </w:tcPr>
                <w:p>
                  <w:pPr>
                    <w:pStyle w:val="19"/>
                    <w:bidi w:val="0"/>
                    <w:rPr>
                      <w:rFonts w:hint="default"/>
                      <w:color w:val="auto"/>
                    </w:rPr>
                  </w:pPr>
                  <w:r>
                    <w:rPr>
                      <w:rFonts w:hint="default"/>
                      <w:color w:val="auto"/>
                    </w:rPr>
                    <w:t>0.182</w:t>
                  </w:r>
                </w:p>
              </w:tc>
              <w:tc>
                <w:tcPr>
                  <w:tcW w:w="620" w:type="pct"/>
                  <w:noWrap w:val="0"/>
                  <w:vAlign w:val="center"/>
                </w:tcPr>
                <w:p>
                  <w:pPr>
                    <w:pStyle w:val="19"/>
                    <w:bidi w:val="0"/>
                    <w:rPr>
                      <w:rFonts w:hint="default"/>
                      <w:color w:val="auto"/>
                    </w:rPr>
                  </w:pPr>
                  <w:r>
                    <w:rPr>
                      <w:rFonts w:hint="default"/>
                      <w:color w:val="auto"/>
                    </w:rPr>
                    <w:t>0.239</w:t>
                  </w:r>
                </w:p>
              </w:tc>
              <w:tc>
                <w:tcPr>
                  <w:tcW w:w="591" w:type="pct"/>
                  <w:noWrap w:val="0"/>
                  <w:vAlign w:val="center"/>
                </w:tcPr>
                <w:p>
                  <w:pPr>
                    <w:pStyle w:val="19"/>
                    <w:bidi w:val="0"/>
                    <w:rPr>
                      <w:rFonts w:hint="default"/>
                      <w:color w:val="auto"/>
                    </w:rPr>
                  </w:pPr>
                  <w:r>
                    <w:rPr>
                      <w:rFonts w:hint="default"/>
                      <w:color w:val="auto"/>
                    </w:rPr>
                    <w:t>0.804</w:t>
                  </w:r>
                </w:p>
              </w:tc>
              <w:tc>
                <w:tcPr>
                  <w:tcW w:w="612" w:type="pct"/>
                  <w:noWrap w:val="0"/>
                  <w:vAlign w:val="center"/>
                </w:tcPr>
                <w:p>
                  <w:pPr>
                    <w:pStyle w:val="19"/>
                    <w:bidi w:val="0"/>
                    <w:rPr>
                      <w:rFonts w:hint="default"/>
                      <w:color w:val="auto"/>
                    </w:rPr>
                  </w:pPr>
                  <w:r>
                    <w:rPr>
                      <w:rFonts w:hint="default"/>
                      <w:color w:val="auto"/>
                    </w:rPr>
                    <w:t>1.005</w:t>
                  </w:r>
                </w:p>
              </w:tc>
              <w:tc>
                <w:tcPr>
                  <w:tcW w:w="484" w:type="pct"/>
                  <w:noWrap w:val="0"/>
                  <w:vAlign w:val="center"/>
                </w:tcPr>
                <w:p>
                  <w:pPr>
                    <w:pStyle w:val="19"/>
                    <w:bidi w:val="0"/>
                    <w:rPr>
                      <w:rFonts w:hint="default"/>
                      <w:color w:val="auto"/>
                    </w:rPr>
                  </w:pPr>
                  <w:r>
                    <w:rPr>
                      <w:rFonts w:hint="default"/>
                      <w:color w:val="auto"/>
                    </w:rPr>
                    <w:t>1.829</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25" w:type="pct"/>
                  <w:noWrap w:val="0"/>
                  <w:vAlign w:val="center"/>
                </w:tcPr>
                <w:p>
                  <w:pPr>
                    <w:pStyle w:val="19"/>
                    <w:bidi w:val="0"/>
                    <w:rPr>
                      <w:rFonts w:hint="default"/>
                      <w:color w:val="auto"/>
                    </w:rPr>
                  </w:pPr>
                  <w:r>
                    <w:rPr>
                      <w:rFonts w:hint="default"/>
                      <w:color w:val="auto"/>
                    </w:rPr>
                    <w:t>粒径（um）</w:t>
                  </w:r>
                </w:p>
              </w:tc>
              <w:tc>
                <w:tcPr>
                  <w:tcW w:w="563" w:type="pct"/>
                  <w:noWrap w:val="0"/>
                  <w:vAlign w:val="center"/>
                </w:tcPr>
                <w:p>
                  <w:pPr>
                    <w:pStyle w:val="19"/>
                    <w:bidi w:val="0"/>
                    <w:rPr>
                      <w:rFonts w:hint="default"/>
                      <w:color w:val="auto"/>
                    </w:rPr>
                  </w:pPr>
                  <w:r>
                    <w:rPr>
                      <w:rFonts w:hint="default"/>
                      <w:color w:val="auto"/>
                    </w:rPr>
                    <w:t>450</w:t>
                  </w:r>
                </w:p>
              </w:tc>
              <w:tc>
                <w:tcPr>
                  <w:tcW w:w="620" w:type="pct"/>
                  <w:noWrap w:val="0"/>
                  <w:vAlign w:val="center"/>
                </w:tcPr>
                <w:p>
                  <w:pPr>
                    <w:pStyle w:val="19"/>
                    <w:bidi w:val="0"/>
                    <w:rPr>
                      <w:rFonts w:hint="default"/>
                      <w:color w:val="auto"/>
                    </w:rPr>
                  </w:pPr>
                  <w:r>
                    <w:rPr>
                      <w:rFonts w:hint="default"/>
                      <w:color w:val="auto"/>
                    </w:rPr>
                    <w:t>550</w:t>
                  </w:r>
                </w:p>
              </w:tc>
              <w:tc>
                <w:tcPr>
                  <w:tcW w:w="581" w:type="pct"/>
                  <w:noWrap w:val="0"/>
                  <w:vAlign w:val="center"/>
                </w:tcPr>
                <w:p>
                  <w:pPr>
                    <w:pStyle w:val="19"/>
                    <w:bidi w:val="0"/>
                    <w:rPr>
                      <w:rFonts w:hint="default"/>
                      <w:color w:val="auto"/>
                    </w:rPr>
                  </w:pPr>
                  <w:r>
                    <w:rPr>
                      <w:rFonts w:hint="default"/>
                      <w:color w:val="auto"/>
                    </w:rPr>
                    <w:t>650</w:t>
                  </w:r>
                </w:p>
              </w:tc>
              <w:tc>
                <w:tcPr>
                  <w:tcW w:w="620" w:type="pct"/>
                  <w:noWrap w:val="0"/>
                  <w:vAlign w:val="center"/>
                </w:tcPr>
                <w:p>
                  <w:pPr>
                    <w:pStyle w:val="19"/>
                    <w:bidi w:val="0"/>
                    <w:rPr>
                      <w:rFonts w:hint="default"/>
                      <w:color w:val="auto"/>
                    </w:rPr>
                  </w:pPr>
                  <w:r>
                    <w:rPr>
                      <w:rFonts w:hint="default"/>
                      <w:color w:val="auto"/>
                    </w:rPr>
                    <w:t>750</w:t>
                  </w:r>
                </w:p>
              </w:tc>
              <w:tc>
                <w:tcPr>
                  <w:tcW w:w="591" w:type="pct"/>
                  <w:noWrap w:val="0"/>
                  <w:vAlign w:val="center"/>
                </w:tcPr>
                <w:p>
                  <w:pPr>
                    <w:pStyle w:val="19"/>
                    <w:bidi w:val="0"/>
                    <w:rPr>
                      <w:rFonts w:hint="default"/>
                      <w:color w:val="auto"/>
                    </w:rPr>
                  </w:pPr>
                  <w:r>
                    <w:rPr>
                      <w:rFonts w:hint="default"/>
                      <w:color w:val="auto"/>
                    </w:rPr>
                    <w:t>850</w:t>
                  </w:r>
                </w:p>
              </w:tc>
              <w:tc>
                <w:tcPr>
                  <w:tcW w:w="612" w:type="pct"/>
                  <w:noWrap w:val="0"/>
                  <w:vAlign w:val="center"/>
                </w:tcPr>
                <w:p>
                  <w:pPr>
                    <w:pStyle w:val="19"/>
                    <w:bidi w:val="0"/>
                    <w:rPr>
                      <w:rFonts w:hint="default"/>
                      <w:color w:val="auto"/>
                    </w:rPr>
                  </w:pPr>
                  <w:r>
                    <w:rPr>
                      <w:rFonts w:hint="default"/>
                      <w:color w:val="auto"/>
                    </w:rPr>
                    <w:t>950</w:t>
                  </w:r>
                </w:p>
              </w:tc>
              <w:tc>
                <w:tcPr>
                  <w:tcW w:w="484" w:type="pct"/>
                  <w:noWrap w:val="0"/>
                  <w:vAlign w:val="center"/>
                </w:tcPr>
                <w:p>
                  <w:pPr>
                    <w:pStyle w:val="19"/>
                    <w:bidi w:val="0"/>
                    <w:rPr>
                      <w:rFonts w:hint="default"/>
                      <w:color w:val="auto"/>
                    </w:rPr>
                  </w:pPr>
                  <w:r>
                    <w:rPr>
                      <w:rFonts w:hint="default"/>
                      <w:color w:val="auto"/>
                    </w:rPr>
                    <w:t>1051</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25" w:type="pct"/>
                  <w:noWrap w:val="0"/>
                  <w:vAlign w:val="center"/>
                </w:tcPr>
                <w:p>
                  <w:pPr>
                    <w:pStyle w:val="19"/>
                    <w:bidi w:val="0"/>
                    <w:rPr>
                      <w:rFonts w:hint="default"/>
                      <w:color w:val="auto"/>
                    </w:rPr>
                  </w:pPr>
                  <w:r>
                    <w:rPr>
                      <w:rFonts w:hint="default"/>
                      <w:color w:val="auto"/>
                    </w:rPr>
                    <w:t>沉降速度(m/s)</w:t>
                  </w:r>
                </w:p>
              </w:tc>
              <w:tc>
                <w:tcPr>
                  <w:tcW w:w="563" w:type="pct"/>
                  <w:noWrap w:val="0"/>
                  <w:vAlign w:val="center"/>
                </w:tcPr>
                <w:p>
                  <w:pPr>
                    <w:pStyle w:val="19"/>
                    <w:bidi w:val="0"/>
                    <w:rPr>
                      <w:rFonts w:hint="default"/>
                      <w:color w:val="auto"/>
                    </w:rPr>
                  </w:pPr>
                  <w:r>
                    <w:rPr>
                      <w:rFonts w:hint="default"/>
                      <w:color w:val="auto"/>
                    </w:rPr>
                    <w:t>2.211</w:t>
                  </w:r>
                </w:p>
              </w:tc>
              <w:tc>
                <w:tcPr>
                  <w:tcW w:w="620" w:type="pct"/>
                  <w:noWrap w:val="0"/>
                  <w:vAlign w:val="center"/>
                </w:tcPr>
                <w:p>
                  <w:pPr>
                    <w:pStyle w:val="19"/>
                    <w:bidi w:val="0"/>
                    <w:rPr>
                      <w:rFonts w:hint="default"/>
                      <w:color w:val="auto"/>
                    </w:rPr>
                  </w:pPr>
                  <w:r>
                    <w:rPr>
                      <w:rFonts w:hint="default"/>
                      <w:color w:val="auto"/>
                    </w:rPr>
                    <w:t>2.614</w:t>
                  </w:r>
                </w:p>
              </w:tc>
              <w:tc>
                <w:tcPr>
                  <w:tcW w:w="581" w:type="pct"/>
                  <w:noWrap w:val="0"/>
                  <w:vAlign w:val="center"/>
                </w:tcPr>
                <w:p>
                  <w:pPr>
                    <w:pStyle w:val="19"/>
                    <w:bidi w:val="0"/>
                    <w:rPr>
                      <w:rFonts w:hint="default"/>
                      <w:color w:val="auto"/>
                    </w:rPr>
                  </w:pPr>
                  <w:r>
                    <w:rPr>
                      <w:rFonts w:hint="default"/>
                      <w:color w:val="auto"/>
                    </w:rPr>
                    <w:t>3.016</w:t>
                  </w:r>
                </w:p>
              </w:tc>
              <w:tc>
                <w:tcPr>
                  <w:tcW w:w="620" w:type="pct"/>
                  <w:noWrap w:val="0"/>
                  <w:vAlign w:val="center"/>
                </w:tcPr>
                <w:p>
                  <w:pPr>
                    <w:pStyle w:val="19"/>
                    <w:bidi w:val="0"/>
                    <w:rPr>
                      <w:rFonts w:hint="default"/>
                      <w:color w:val="auto"/>
                    </w:rPr>
                  </w:pPr>
                  <w:r>
                    <w:rPr>
                      <w:rFonts w:hint="default"/>
                      <w:color w:val="auto"/>
                    </w:rPr>
                    <w:t>3.418</w:t>
                  </w:r>
                </w:p>
              </w:tc>
              <w:tc>
                <w:tcPr>
                  <w:tcW w:w="591" w:type="pct"/>
                  <w:noWrap w:val="0"/>
                  <w:vAlign w:val="center"/>
                </w:tcPr>
                <w:p>
                  <w:pPr>
                    <w:pStyle w:val="19"/>
                    <w:bidi w:val="0"/>
                    <w:rPr>
                      <w:rFonts w:hint="default"/>
                      <w:color w:val="auto"/>
                    </w:rPr>
                  </w:pPr>
                  <w:r>
                    <w:rPr>
                      <w:rFonts w:hint="default"/>
                      <w:color w:val="auto"/>
                    </w:rPr>
                    <w:t>3.820</w:t>
                  </w:r>
                </w:p>
              </w:tc>
              <w:tc>
                <w:tcPr>
                  <w:tcW w:w="612" w:type="pct"/>
                  <w:noWrap w:val="0"/>
                  <w:vAlign w:val="center"/>
                </w:tcPr>
                <w:p>
                  <w:pPr>
                    <w:pStyle w:val="19"/>
                    <w:bidi w:val="0"/>
                    <w:rPr>
                      <w:rFonts w:hint="default"/>
                      <w:color w:val="auto"/>
                    </w:rPr>
                  </w:pPr>
                  <w:r>
                    <w:rPr>
                      <w:rFonts w:hint="default"/>
                      <w:color w:val="auto"/>
                    </w:rPr>
                    <w:t>4.222</w:t>
                  </w:r>
                </w:p>
              </w:tc>
              <w:tc>
                <w:tcPr>
                  <w:tcW w:w="484" w:type="pct"/>
                  <w:noWrap w:val="0"/>
                  <w:vAlign w:val="center"/>
                </w:tcPr>
                <w:p>
                  <w:pPr>
                    <w:pStyle w:val="19"/>
                    <w:bidi w:val="0"/>
                    <w:rPr>
                      <w:rFonts w:hint="default"/>
                      <w:color w:val="auto"/>
                    </w:rPr>
                  </w:pPr>
                  <w:r>
                    <w:rPr>
                      <w:rFonts w:hint="default"/>
                      <w:color w:val="auto"/>
                    </w:rPr>
                    <w:t>4.624</w:t>
                  </w:r>
                </w:p>
              </w:tc>
            </w:tr>
          </w:tbl>
          <w:p>
            <w:pPr>
              <w:bidi w:val="0"/>
              <w:rPr>
                <w:rFonts w:hint="eastAsia"/>
                <w:color w:val="auto"/>
                <w:lang w:val="en-US" w:eastAsia="zh-CN"/>
              </w:rPr>
            </w:pPr>
            <w:r>
              <w:rPr>
                <w:rFonts w:hint="eastAsia"/>
                <w:color w:val="auto"/>
                <w:lang w:val="en-US" w:eastAsia="zh-CN"/>
              </w:rPr>
              <w:t>由上表可知，尘粒的沉降速度随粒径的增大而迅速增大。当粒径为250um时，主要影响范围在扬尘点下风向近距离范围内，而真正对外环境产生影响的是一些微小尘粒。根据施工作业现场气候的不同情况，扬尘影响范围也有所不同。施工期间施工单位若不采取措施，该部分扬尘势必对该区域环境产生一定影响。尤其是在雨水偏少时期，扬尘现象较为严重。</w:t>
            </w:r>
          </w:p>
          <w:p>
            <w:pPr>
              <w:bidi w:val="0"/>
              <w:rPr>
                <w:rFonts w:hint="default" w:ascii="Times New Roman" w:hAnsi="Times New Roman" w:cs="Times New Roman"/>
                <w:color w:val="auto"/>
                <w:lang w:eastAsia="zh-CN"/>
              </w:rPr>
            </w:pPr>
            <w:r>
              <w:rPr>
                <w:rFonts w:hint="eastAsia"/>
                <w:color w:val="auto"/>
                <w:lang w:val="en-US" w:eastAsia="zh-CN"/>
              </w:rPr>
              <w:t>因此，在选择建材堆放、转运的场地时，首先应避开人群流动较为集中的场地；</w:t>
            </w:r>
            <w:r>
              <w:rPr>
                <w:rFonts w:hint="default" w:ascii="Times New Roman" w:hAnsi="Times New Roman" w:cs="Times New Roman"/>
                <w:color w:val="auto"/>
              </w:rPr>
              <w:t>对易产生扬尘的物资，不要在开阔地或露天堆放，遇到大风天气应避免作业，运输时尽量避免敞开式运输。如不得不敞开堆放时，则应对其进行洒水提高表面含水率，以起到抑尘效果</w:t>
            </w:r>
            <w:r>
              <w:rPr>
                <w:rFonts w:hint="default" w:ascii="Times New Roman" w:hAnsi="Times New Roman" w:cs="Times New Roman"/>
                <w:color w:val="auto"/>
                <w:lang w:eastAsia="zh-CN"/>
              </w:rPr>
              <w:t>。此类影响范围是局部的，且影响时间短暂，采取洒水抑尘等降尘措施后，其影响是轻微的。</w:t>
            </w:r>
          </w:p>
          <w:p>
            <w:pPr>
              <w:bidi w:val="0"/>
              <w:rPr>
                <w:rFonts w:hint="default" w:ascii="Times New Roman" w:hAnsi="Times New Roman" w:cs="Times New Roman"/>
                <w:lang w:val="en-US" w:eastAsia="zh-CN"/>
              </w:rPr>
            </w:pPr>
            <w:r>
              <w:rPr>
                <w:rFonts w:hint="eastAsia" w:cs="Times New Roman"/>
                <w:lang w:val="en-US" w:eastAsia="zh-CN"/>
              </w:rPr>
              <w:t>（2）燃油机械设备及车辆排放尾气</w:t>
            </w:r>
          </w:p>
          <w:p>
            <w:pPr>
              <w:rPr>
                <w:rFonts w:hint="eastAsia"/>
                <w:color w:val="auto"/>
                <w:lang w:val="en-US" w:eastAsia="zh-CN"/>
              </w:rPr>
            </w:pPr>
            <w:r>
              <w:rPr>
                <w:rFonts w:hint="eastAsia"/>
                <w:color w:val="auto"/>
                <w:lang w:val="en-US" w:eastAsia="zh-CN"/>
              </w:rPr>
              <w:t>项目施工机械包括挖掘机、推土机、起重机等施工车辆，在施工过程中燃烧汽柴油将产生CO、NOx、SO</w:t>
            </w:r>
            <w:r>
              <w:rPr>
                <w:rFonts w:hint="eastAsia"/>
                <w:color w:val="auto"/>
                <w:vertAlign w:val="subscript"/>
                <w:lang w:val="en-US" w:eastAsia="zh-CN"/>
              </w:rPr>
              <w:t>2</w:t>
            </w:r>
            <w:r>
              <w:rPr>
                <w:rFonts w:hint="eastAsia"/>
                <w:color w:val="auto"/>
                <w:lang w:val="en-US" w:eastAsia="zh-CN"/>
              </w:rPr>
              <w:t>和烃类等污染因子，其产生量与施工机械数量及密度、耗油量、燃料品质及机械设备状况有关。这些污染因子排放量小，且为间断排放。施工场地相对宽阔，施工机械、车辆燃油尾气能得到较好的稀释，对外环境影响较小。施工单位必须使用污染因子排放符合国家标准的运输车辆和施工设备，加强设备、车辆的维护保养，使机械、车辆处于良好工作状态，严禁使用报废车辆和淘汰设备，以减少施工机械废气对周围环境的影响。</w:t>
            </w:r>
          </w:p>
          <w:p>
            <w:pPr>
              <w:rPr>
                <w:rFonts w:hint="eastAsia"/>
                <w:color w:val="auto"/>
                <w:lang w:val="en-US" w:eastAsia="zh-CN"/>
              </w:rPr>
            </w:pPr>
            <w:r>
              <w:rPr>
                <w:rFonts w:hint="eastAsia"/>
                <w:color w:val="auto"/>
                <w:lang w:val="en-US" w:eastAsia="zh-CN"/>
              </w:rPr>
              <w:t>（3）</w:t>
            </w:r>
            <w:r>
              <w:rPr>
                <w:rFonts w:hint="eastAsia"/>
                <w:lang w:val="en-US" w:eastAsia="zh-CN"/>
              </w:rPr>
              <w:t>装修产生的有机废气</w:t>
            </w:r>
          </w:p>
          <w:p>
            <w:pPr>
              <w:bidi w:val="0"/>
              <w:rPr>
                <w:rFonts w:hint="default"/>
                <w:lang w:val="en-US" w:eastAsia="zh-CN"/>
              </w:rPr>
            </w:pPr>
            <w:r>
              <w:rPr>
                <w:rFonts w:hint="default"/>
                <w:lang w:val="en-US" w:eastAsia="zh-CN"/>
              </w:rPr>
              <w:t>目前我国市场上的上千种装饰材料中，化学建材占的比重相当大，油漆、乳胶漆、喷塑剂、黏合剂、墙纸、屋顶石膏板等，一般都含有对人体有害的物质。这些物质一般是甲醛、甲苯、二甲苯、氯化烃、铅和铅的化合物等。因装修过程中，较难估计装修材料使用量，在此只作定性分析。</w:t>
            </w:r>
          </w:p>
          <w:p>
            <w:pPr>
              <w:ind w:left="0" w:leftChars="0" w:firstLine="0" w:firstLineChars="0"/>
              <w:rPr>
                <w:rFonts w:hint="eastAsia"/>
                <w:b/>
                <w:bCs/>
                <w:color w:val="auto"/>
                <w:lang w:val="en-US" w:eastAsia="zh-CN"/>
              </w:rPr>
            </w:pPr>
            <w:r>
              <w:rPr>
                <w:rFonts w:hint="eastAsia"/>
                <w:b/>
                <w:bCs/>
                <w:color w:val="auto"/>
                <w:lang w:val="en-US" w:eastAsia="zh-CN"/>
              </w:rPr>
              <w:t>3、声环境影响分析</w:t>
            </w:r>
          </w:p>
          <w:p>
            <w:pPr>
              <w:numPr>
                <w:ilvl w:val="0"/>
                <w:numId w:val="9"/>
              </w:numPr>
              <w:bidi w:val="0"/>
              <w:spacing w:line="360" w:lineRule="auto"/>
              <w:ind w:leftChars="0" w:firstLine="480" w:firstLineChars="200"/>
              <w:rPr>
                <w:rFonts w:hint="eastAsia"/>
                <w:b w:val="0"/>
                <w:bCs w:val="0"/>
                <w:color w:val="auto"/>
                <w:lang w:val="en-US" w:eastAsia="zh-CN"/>
              </w:rPr>
            </w:pPr>
            <w:r>
              <w:rPr>
                <w:rFonts w:hint="eastAsia"/>
                <w:b w:val="0"/>
                <w:bCs w:val="0"/>
                <w:color w:val="auto"/>
                <w:lang w:val="en-US" w:eastAsia="zh-CN"/>
              </w:rPr>
              <w:t>噪声源强</w:t>
            </w:r>
          </w:p>
          <w:p>
            <w:pPr>
              <w:keepNext w:val="0"/>
              <w:keepLines w:val="0"/>
              <w:suppressLineNumbers w:val="0"/>
              <w:bidi w:val="0"/>
              <w:spacing w:beforeAutospacing="0" w:afterAutospacing="0" w:line="360" w:lineRule="auto"/>
              <w:ind w:firstLine="480" w:firstLineChars="200"/>
              <w:rPr>
                <w:rFonts w:hint="default"/>
                <w:color w:val="auto"/>
              </w:rPr>
            </w:pPr>
            <w:r>
              <w:rPr>
                <w:rFonts w:hint="default"/>
                <w:color w:val="auto"/>
              </w:rPr>
              <w:t>施工期间的噪声主要是建筑施工机械运转所带来的工作噪声，例如挖掘机、钻机、打桩机、重型卡车、空压机、电锯等产生的工作噪声，根据《环境噪声与振动控制工程技术导则》（HJ2034-2013）查得这些机械设备在运转时的噪声源强值，见</w:t>
            </w:r>
            <w:r>
              <w:rPr>
                <w:rFonts w:hint="eastAsia" w:eastAsia="宋体"/>
                <w:color w:val="auto"/>
                <w:lang w:val="en-US" w:eastAsia="zh-CN"/>
              </w:rPr>
              <w:t>下表</w:t>
            </w:r>
            <w:r>
              <w:rPr>
                <w:rFonts w:hint="default"/>
                <w:color w:val="auto"/>
              </w:rPr>
              <w:t>。</w:t>
            </w:r>
          </w:p>
          <w:p>
            <w:pPr>
              <w:pStyle w:val="18"/>
              <w:bidi w:val="0"/>
              <w:rPr>
                <w:rFonts w:hint="default"/>
                <w:color w:val="auto"/>
              </w:rPr>
            </w:pPr>
            <w:r>
              <w:rPr>
                <w:rFonts w:hint="default"/>
                <w:color w:val="auto"/>
              </w:rPr>
              <w:t>表</w:t>
            </w:r>
            <w:r>
              <w:rPr>
                <w:rFonts w:hint="eastAsia"/>
                <w:color w:val="auto"/>
                <w:lang w:val="en-US" w:eastAsia="zh-CN"/>
              </w:rPr>
              <w:t xml:space="preserve">25 </w:t>
            </w:r>
            <w:r>
              <w:rPr>
                <w:rFonts w:hint="default"/>
                <w:color w:val="auto"/>
              </w:rPr>
              <w:t>施工机械工作噪声源强值</w:t>
            </w:r>
          </w:p>
          <w:tbl>
            <w:tblPr>
              <w:tblStyle w:val="15"/>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02"/>
              <w:gridCol w:w="1111"/>
              <w:gridCol w:w="1348"/>
              <w:gridCol w:w="1632"/>
              <w:gridCol w:w="1378"/>
              <w:gridCol w:w="136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3" w:hRule="atLeast"/>
                <w:jc w:val="center"/>
              </w:trPr>
              <w:tc>
                <w:tcPr>
                  <w:tcW w:w="1502" w:type="dxa"/>
                  <w:tcBorders>
                    <w:bottom w:val="single" w:color="000000" w:sz="6" w:space="0"/>
                    <w:right w:val="single" w:color="000000" w:sz="6" w:space="0"/>
                  </w:tcBorders>
                  <w:noWrap w:val="0"/>
                  <w:vAlign w:val="center"/>
                </w:tcPr>
                <w:p>
                  <w:pPr>
                    <w:pStyle w:val="19"/>
                    <w:bidi w:val="0"/>
                    <w:rPr>
                      <w:rFonts w:hint="default"/>
                      <w:color w:val="auto"/>
                    </w:rPr>
                  </w:pPr>
                  <w:r>
                    <w:rPr>
                      <w:rFonts w:hint="default"/>
                      <w:color w:val="auto"/>
                    </w:rPr>
                    <w:t>施工设备名称</w:t>
                  </w:r>
                </w:p>
              </w:tc>
              <w:tc>
                <w:tcPr>
                  <w:tcW w:w="1111" w:type="dxa"/>
                  <w:tcBorders>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距声源5m</w:t>
                  </w:r>
                </w:p>
              </w:tc>
              <w:tc>
                <w:tcPr>
                  <w:tcW w:w="1348" w:type="dxa"/>
                  <w:tcBorders>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距声源10m</w:t>
                  </w:r>
                </w:p>
              </w:tc>
              <w:tc>
                <w:tcPr>
                  <w:tcW w:w="1632" w:type="dxa"/>
                  <w:tcBorders>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施工设备名称</w:t>
                  </w:r>
                </w:p>
              </w:tc>
              <w:tc>
                <w:tcPr>
                  <w:tcW w:w="1378" w:type="dxa"/>
                  <w:tcBorders>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距声源5m</w:t>
                  </w:r>
                </w:p>
              </w:tc>
              <w:tc>
                <w:tcPr>
                  <w:tcW w:w="1366" w:type="dxa"/>
                  <w:tcBorders>
                    <w:left w:val="single" w:color="000000" w:sz="6" w:space="0"/>
                    <w:bottom w:val="single" w:color="000000" w:sz="6" w:space="0"/>
                  </w:tcBorders>
                  <w:noWrap w:val="0"/>
                  <w:vAlign w:val="center"/>
                </w:tcPr>
                <w:p>
                  <w:pPr>
                    <w:pStyle w:val="19"/>
                    <w:bidi w:val="0"/>
                    <w:rPr>
                      <w:rFonts w:hint="default"/>
                      <w:color w:val="auto"/>
                    </w:rPr>
                  </w:pPr>
                  <w:r>
                    <w:rPr>
                      <w:rFonts w:hint="default"/>
                      <w:color w:val="auto"/>
                    </w:rPr>
                    <w:t>距声源10m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3" w:hRule="atLeast"/>
                <w:jc w:val="center"/>
              </w:trPr>
              <w:tc>
                <w:tcPr>
                  <w:tcW w:w="1502" w:type="dxa"/>
                  <w:tcBorders>
                    <w:top w:val="single" w:color="000000" w:sz="6" w:space="0"/>
                    <w:bottom w:val="single" w:color="000000" w:sz="6" w:space="0"/>
                    <w:right w:val="single" w:color="000000" w:sz="6" w:space="0"/>
                  </w:tcBorders>
                  <w:noWrap w:val="0"/>
                  <w:vAlign w:val="center"/>
                </w:tcPr>
                <w:p>
                  <w:pPr>
                    <w:pStyle w:val="19"/>
                    <w:bidi w:val="0"/>
                    <w:rPr>
                      <w:rFonts w:hint="eastAsia"/>
                      <w:color w:val="auto"/>
                    </w:rPr>
                  </w:pPr>
                  <w:r>
                    <w:rPr>
                      <w:rFonts w:hint="eastAsia"/>
                      <w:color w:val="auto"/>
                    </w:rPr>
                    <w:t>液压挖掘机</w:t>
                  </w:r>
                </w:p>
              </w:tc>
              <w:tc>
                <w:tcPr>
                  <w:tcW w:w="1111"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82~90</w:t>
                  </w:r>
                </w:p>
              </w:tc>
              <w:tc>
                <w:tcPr>
                  <w:tcW w:w="1348"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78~86</w:t>
                  </w:r>
                </w:p>
              </w:tc>
              <w:tc>
                <w:tcPr>
                  <w:tcW w:w="1632"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振动夯锤</w:t>
                  </w:r>
                </w:p>
              </w:tc>
              <w:tc>
                <w:tcPr>
                  <w:tcW w:w="1378"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92~100</w:t>
                  </w:r>
                </w:p>
              </w:tc>
              <w:tc>
                <w:tcPr>
                  <w:tcW w:w="1366" w:type="dxa"/>
                  <w:tcBorders>
                    <w:top w:val="single" w:color="000000" w:sz="6" w:space="0"/>
                    <w:left w:val="single" w:color="000000" w:sz="6" w:space="0"/>
                    <w:bottom w:val="single" w:color="000000" w:sz="6" w:space="0"/>
                  </w:tcBorders>
                  <w:noWrap w:val="0"/>
                  <w:vAlign w:val="center"/>
                </w:tcPr>
                <w:p>
                  <w:pPr>
                    <w:pStyle w:val="19"/>
                    <w:bidi w:val="0"/>
                    <w:rPr>
                      <w:rFonts w:hint="default"/>
                      <w:color w:val="auto"/>
                    </w:rPr>
                  </w:pPr>
                  <w:r>
                    <w:rPr>
                      <w:rFonts w:hint="default"/>
                      <w:color w:val="auto"/>
                    </w:rPr>
                    <w:t>86~94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1502" w:type="dxa"/>
                  <w:tcBorders>
                    <w:top w:val="single" w:color="000000" w:sz="6" w:space="0"/>
                    <w:bottom w:val="single" w:color="000000" w:sz="6" w:space="0"/>
                    <w:right w:val="single" w:color="000000" w:sz="6" w:space="0"/>
                  </w:tcBorders>
                  <w:noWrap w:val="0"/>
                  <w:vAlign w:val="center"/>
                </w:tcPr>
                <w:p>
                  <w:pPr>
                    <w:pStyle w:val="19"/>
                    <w:bidi w:val="0"/>
                    <w:rPr>
                      <w:rFonts w:hint="eastAsia"/>
                      <w:color w:val="auto"/>
                    </w:rPr>
                  </w:pPr>
                  <w:r>
                    <w:rPr>
                      <w:rFonts w:hint="eastAsia"/>
                      <w:color w:val="auto"/>
                    </w:rPr>
                    <w:t>电动挖掘机</w:t>
                  </w:r>
                </w:p>
              </w:tc>
              <w:tc>
                <w:tcPr>
                  <w:tcW w:w="1111"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80~86</w:t>
                  </w:r>
                </w:p>
              </w:tc>
              <w:tc>
                <w:tcPr>
                  <w:tcW w:w="1348"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75~83</w:t>
                  </w:r>
                </w:p>
              </w:tc>
              <w:tc>
                <w:tcPr>
                  <w:tcW w:w="1632"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打桩机</w:t>
                  </w:r>
                </w:p>
              </w:tc>
              <w:tc>
                <w:tcPr>
                  <w:tcW w:w="1378"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100~110</w:t>
                  </w:r>
                </w:p>
              </w:tc>
              <w:tc>
                <w:tcPr>
                  <w:tcW w:w="1366" w:type="dxa"/>
                  <w:tcBorders>
                    <w:top w:val="single" w:color="000000" w:sz="6" w:space="0"/>
                    <w:left w:val="single" w:color="000000" w:sz="6" w:space="0"/>
                    <w:bottom w:val="single" w:color="000000" w:sz="6" w:space="0"/>
                  </w:tcBorders>
                  <w:noWrap w:val="0"/>
                  <w:vAlign w:val="center"/>
                </w:tcPr>
                <w:p>
                  <w:pPr>
                    <w:pStyle w:val="19"/>
                    <w:bidi w:val="0"/>
                    <w:rPr>
                      <w:rFonts w:hint="default"/>
                      <w:color w:val="auto"/>
                    </w:rPr>
                  </w:pPr>
                  <w:r>
                    <w:rPr>
                      <w:rFonts w:hint="default"/>
                      <w:color w:val="auto"/>
                    </w:rPr>
                    <w:t>95~105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3" w:hRule="atLeast"/>
                <w:jc w:val="center"/>
              </w:trPr>
              <w:tc>
                <w:tcPr>
                  <w:tcW w:w="1502" w:type="dxa"/>
                  <w:tcBorders>
                    <w:top w:val="single" w:color="000000" w:sz="6" w:space="0"/>
                    <w:bottom w:val="single" w:color="000000" w:sz="6" w:space="0"/>
                    <w:right w:val="single" w:color="000000" w:sz="6" w:space="0"/>
                  </w:tcBorders>
                  <w:noWrap w:val="0"/>
                  <w:vAlign w:val="center"/>
                </w:tcPr>
                <w:p>
                  <w:pPr>
                    <w:pStyle w:val="19"/>
                    <w:bidi w:val="0"/>
                    <w:rPr>
                      <w:rFonts w:hint="eastAsia"/>
                      <w:color w:val="auto"/>
                    </w:rPr>
                  </w:pPr>
                  <w:r>
                    <w:rPr>
                      <w:rFonts w:hint="eastAsia"/>
                      <w:color w:val="auto"/>
                    </w:rPr>
                    <w:t>轮式装载机</w:t>
                  </w:r>
                </w:p>
              </w:tc>
              <w:tc>
                <w:tcPr>
                  <w:tcW w:w="1111"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90~95</w:t>
                  </w:r>
                </w:p>
              </w:tc>
              <w:tc>
                <w:tcPr>
                  <w:tcW w:w="1348"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85~91</w:t>
                  </w:r>
                </w:p>
              </w:tc>
              <w:tc>
                <w:tcPr>
                  <w:tcW w:w="1632"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静力压桩机</w:t>
                  </w:r>
                </w:p>
              </w:tc>
              <w:tc>
                <w:tcPr>
                  <w:tcW w:w="1378"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70~75</w:t>
                  </w:r>
                </w:p>
              </w:tc>
              <w:tc>
                <w:tcPr>
                  <w:tcW w:w="1366" w:type="dxa"/>
                  <w:tcBorders>
                    <w:top w:val="single" w:color="000000" w:sz="6" w:space="0"/>
                    <w:left w:val="single" w:color="000000" w:sz="6" w:space="0"/>
                    <w:bottom w:val="single" w:color="000000" w:sz="6" w:space="0"/>
                  </w:tcBorders>
                  <w:noWrap w:val="0"/>
                  <w:vAlign w:val="center"/>
                </w:tcPr>
                <w:p>
                  <w:pPr>
                    <w:pStyle w:val="19"/>
                    <w:bidi w:val="0"/>
                    <w:rPr>
                      <w:rFonts w:hint="default"/>
                      <w:color w:val="auto"/>
                    </w:rPr>
                  </w:pPr>
                  <w:r>
                    <w:rPr>
                      <w:rFonts w:hint="default"/>
                      <w:color w:val="auto"/>
                    </w:rPr>
                    <w:t>68~73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3" w:hRule="atLeast"/>
                <w:jc w:val="center"/>
              </w:trPr>
              <w:tc>
                <w:tcPr>
                  <w:tcW w:w="1502" w:type="dxa"/>
                  <w:tcBorders>
                    <w:top w:val="single" w:color="000000" w:sz="6" w:space="0"/>
                    <w:bottom w:val="single" w:color="000000" w:sz="6" w:space="0"/>
                    <w:right w:val="single" w:color="000000" w:sz="6" w:space="0"/>
                  </w:tcBorders>
                  <w:noWrap w:val="0"/>
                  <w:vAlign w:val="center"/>
                </w:tcPr>
                <w:p>
                  <w:pPr>
                    <w:pStyle w:val="19"/>
                    <w:bidi w:val="0"/>
                    <w:rPr>
                      <w:rFonts w:hint="eastAsia"/>
                      <w:color w:val="auto"/>
                    </w:rPr>
                  </w:pPr>
                  <w:r>
                    <w:rPr>
                      <w:rFonts w:hint="eastAsia"/>
                      <w:color w:val="auto"/>
                    </w:rPr>
                    <w:t>推土机</w:t>
                  </w:r>
                </w:p>
              </w:tc>
              <w:tc>
                <w:tcPr>
                  <w:tcW w:w="1111"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83~88</w:t>
                  </w:r>
                </w:p>
              </w:tc>
              <w:tc>
                <w:tcPr>
                  <w:tcW w:w="1348"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80~85</w:t>
                  </w:r>
                </w:p>
              </w:tc>
              <w:tc>
                <w:tcPr>
                  <w:tcW w:w="1632"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风镐</w:t>
                  </w:r>
                </w:p>
              </w:tc>
              <w:tc>
                <w:tcPr>
                  <w:tcW w:w="1378"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88~92</w:t>
                  </w:r>
                </w:p>
              </w:tc>
              <w:tc>
                <w:tcPr>
                  <w:tcW w:w="1366" w:type="dxa"/>
                  <w:tcBorders>
                    <w:top w:val="single" w:color="000000" w:sz="6" w:space="0"/>
                    <w:left w:val="single" w:color="000000" w:sz="6" w:space="0"/>
                    <w:bottom w:val="single" w:color="000000" w:sz="6" w:space="0"/>
                  </w:tcBorders>
                  <w:noWrap w:val="0"/>
                  <w:vAlign w:val="center"/>
                </w:tcPr>
                <w:p>
                  <w:pPr>
                    <w:pStyle w:val="19"/>
                    <w:bidi w:val="0"/>
                    <w:rPr>
                      <w:rFonts w:hint="default"/>
                      <w:color w:val="auto"/>
                    </w:rPr>
                  </w:pPr>
                  <w:r>
                    <w:rPr>
                      <w:rFonts w:hint="default"/>
                      <w:color w:val="auto"/>
                    </w:rPr>
                    <w:t>83~87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1502" w:type="dxa"/>
                  <w:tcBorders>
                    <w:top w:val="single" w:color="000000" w:sz="6" w:space="0"/>
                    <w:bottom w:val="single" w:color="000000" w:sz="6" w:space="0"/>
                    <w:right w:val="single" w:color="000000" w:sz="6" w:space="0"/>
                  </w:tcBorders>
                  <w:noWrap w:val="0"/>
                  <w:vAlign w:val="center"/>
                </w:tcPr>
                <w:p>
                  <w:pPr>
                    <w:pStyle w:val="19"/>
                    <w:bidi w:val="0"/>
                    <w:rPr>
                      <w:rFonts w:hint="eastAsia"/>
                      <w:color w:val="auto"/>
                    </w:rPr>
                  </w:pPr>
                  <w:r>
                    <w:rPr>
                      <w:rFonts w:hint="eastAsia"/>
                      <w:color w:val="auto"/>
                    </w:rPr>
                    <w:t>移动式发电机</w:t>
                  </w:r>
                </w:p>
              </w:tc>
              <w:tc>
                <w:tcPr>
                  <w:tcW w:w="1111"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95~102</w:t>
                  </w:r>
                </w:p>
              </w:tc>
              <w:tc>
                <w:tcPr>
                  <w:tcW w:w="1348"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90~98</w:t>
                  </w:r>
                </w:p>
              </w:tc>
              <w:tc>
                <w:tcPr>
                  <w:tcW w:w="1632"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混凝土输送泵</w:t>
                  </w:r>
                </w:p>
              </w:tc>
              <w:tc>
                <w:tcPr>
                  <w:tcW w:w="1378"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88~95</w:t>
                  </w:r>
                </w:p>
              </w:tc>
              <w:tc>
                <w:tcPr>
                  <w:tcW w:w="1366" w:type="dxa"/>
                  <w:tcBorders>
                    <w:top w:val="single" w:color="000000" w:sz="6" w:space="0"/>
                    <w:left w:val="single" w:color="000000" w:sz="6" w:space="0"/>
                    <w:bottom w:val="single" w:color="000000" w:sz="6" w:space="0"/>
                  </w:tcBorders>
                  <w:noWrap w:val="0"/>
                  <w:vAlign w:val="center"/>
                </w:tcPr>
                <w:p>
                  <w:pPr>
                    <w:pStyle w:val="19"/>
                    <w:bidi w:val="0"/>
                    <w:rPr>
                      <w:rFonts w:hint="default"/>
                      <w:color w:val="auto"/>
                    </w:rPr>
                  </w:pPr>
                  <w:r>
                    <w:rPr>
                      <w:rFonts w:hint="default"/>
                      <w:color w:val="auto"/>
                    </w:rPr>
                    <w:t>84~90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3" w:hRule="atLeast"/>
                <w:jc w:val="center"/>
              </w:trPr>
              <w:tc>
                <w:tcPr>
                  <w:tcW w:w="1502" w:type="dxa"/>
                  <w:tcBorders>
                    <w:top w:val="single" w:color="000000" w:sz="6" w:space="0"/>
                    <w:bottom w:val="single" w:color="000000" w:sz="6" w:space="0"/>
                    <w:right w:val="single" w:color="000000" w:sz="6" w:space="0"/>
                  </w:tcBorders>
                  <w:noWrap w:val="0"/>
                  <w:vAlign w:val="center"/>
                </w:tcPr>
                <w:p>
                  <w:pPr>
                    <w:pStyle w:val="19"/>
                    <w:bidi w:val="0"/>
                    <w:rPr>
                      <w:rFonts w:hint="eastAsia"/>
                      <w:color w:val="auto"/>
                    </w:rPr>
                  </w:pPr>
                  <w:r>
                    <w:rPr>
                      <w:rFonts w:hint="eastAsia"/>
                      <w:color w:val="auto"/>
                    </w:rPr>
                    <w:t>各类压路机</w:t>
                  </w:r>
                </w:p>
              </w:tc>
              <w:tc>
                <w:tcPr>
                  <w:tcW w:w="1111"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80~90</w:t>
                  </w:r>
                </w:p>
              </w:tc>
              <w:tc>
                <w:tcPr>
                  <w:tcW w:w="1348"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76~86</w:t>
                  </w:r>
                </w:p>
              </w:tc>
              <w:tc>
                <w:tcPr>
                  <w:tcW w:w="1632"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商砼搅拌车</w:t>
                  </w:r>
                </w:p>
              </w:tc>
              <w:tc>
                <w:tcPr>
                  <w:tcW w:w="1378"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85~90</w:t>
                  </w:r>
                </w:p>
              </w:tc>
              <w:tc>
                <w:tcPr>
                  <w:tcW w:w="1366" w:type="dxa"/>
                  <w:tcBorders>
                    <w:top w:val="single" w:color="000000" w:sz="6" w:space="0"/>
                    <w:left w:val="single" w:color="000000" w:sz="6" w:space="0"/>
                    <w:bottom w:val="single" w:color="000000" w:sz="6" w:space="0"/>
                  </w:tcBorders>
                  <w:noWrap w:val="0"/>
                  <w:vAlign w:val="center"/>
                </w:tcPr>
                <w:p>
                  <w:pPr>
                    <w:pStyle w:val="19"/>
                    <w:bidi w:val="0"/>
                    <w:rPr>
                      <w:rFonts w:hint="default"/>
                      <w:color w:val="auto"/>
                    </w:rPr>
                  </w:pPr>
                  <w:r>
                    <w:rPr>
                      <w:rFonts w:hint="default"/>
                      <w:color w:val="auto"/>
                    </w:rPr>
                    <w:t>82~84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3" w:hRule="atLeast"/>
                <w:jc w:val="center"/>
              </w:trPr>
              <w:tc>
                <w:tcPr>
                  <w:tcW w:w="1502" w:type="dxa"/>
                  <w:tcBorders>
                    <w:top w:val="single" w:color="000000" w:sz="6" w:space="0"/>
                    <w:bottom w:val="single" w:color="000000" w:sz="6" w:space="0"/>
                    <w:right w:val="single" w:color="000000" w:sz="6" w:space="0"/>
                  </w:tcBorders>
                  <w:noWrap w:val="0"/>
                  <w:vAlign w:val="center"/>
                </w:tcPr>
                <w:p>
                  <w:pPr>
                    <w:pStyle w:val="19"/>
                    <w:bidi w:val="0"/>
                    <w:rPr>
                      <w:rFonts w:hint="eastAsia"/>
                      <w:color w:val="auto"/>
                    </w:rPr>
                  </w:pPr>
                  <w:r>
                    <w:rPr>
                      <w:rFonts w:hint="eastAsia"/>
                      <w:color w:val="auto"/>
                    </w:rPr>
                    <w:t>重型运输车</w:t>
                  </w:r>
                </w:p>
              </w:tc>
              <w:tc>
                <w:tcPr>
                  <w:tcW w:w="1111"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82~90</w:t>
                  </w:r>
                </w:p>
              </w:tc>
              <w:tc>
                <w:tcPr>
                  <w:tcW w:w="1348"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78~86</w:t>
                  </w:r>
                </w:p>
              </w:tc>
              <w:tc>
                <w:tcPr>
                  <w:tcW w:w="1632"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混凝土振捣器</w:t>
                  </w:r>
                </w:p>
              </w:tc>
              <w:tc>
                <w:tcPr>
                  <w:tcW w:w="1378"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80~88</w:t>
                  </w:r>
                </w:p>
              </w:tc>
              <w:tc>
                <w:tcPr>
                  <w:tcW w:w="1366" w:type="dxa"/>
                  <w:tcBorders>
                    <w:top w:val="single" w:color="000000" w:sz="6" w:space="0"/>
                    <w:left w:val="single" w:color="000000" w:sz="6" w:space="0"/>
                    <w:bottom w:val="single" w:color="000000" w:sz="6" w:space="0"/>
                  </w:tcBorders>
                  <w:noWrap w:val="0"/>
                  <w:vAlign w:val="center"/>
                </w:tcPr>
                <w:p>
                  <w:pPr>
                    <w:pStyle w:val="19"/>
                    <w:bidi w:val="0"/>
                    <w:rPr>
                      <w:rFonts w:hint="default"/>
                      <w:color w:val="auto"/>
                    </w:rPr>
                  </w:pPr>
                  <w:r>
                    <w:rPr>
                      <w:rFonts w:hint="default"/>
                      <w:color w:val="auto"/>
                    </w:rPr>
                    <w:t>75~84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3" w:hRule="atLeast"/>
                <w:jc w:val="center"/>
              </w:trPr>
              <w:tc>
                <w:tcPr>
                  <w:tcW w:w="1502" w:type="dxa"/>
                  <w:tcBorders>
                    <w:top w:val="single" w:color="000000" w:sz="6" w:space="0"/>
                    <w:bottom w:val="single" w:color="000000" w:sz="6" w:space="0"/>
                    <w:right w:val="single" w:color="000000" w:sz="6" w:space="0"/>
                  </w:tcBorders>
                  <w:noWrap w:val="0"/>
                  <w:vAlign w:val="center"/>
                </w:tcPr>
                <w:p>
                  <w:pPr>
                    <w:pStyle w:val="19"/>
                    <w:bidi w:val="0"/>
                    <w:rPr>
                      <w:rFonts w:hint="eastAsia"/>
                      <w:color w:val="auto"/>
                    </w:rPr>
                  </w:pPr>
                  <w:r>
                    <w:rPr>
                      <w:rFonts w:hint="eastAsia"/>
                      <w:color w:val="auto"/>
                    </w:rPr>
                    <w:t>木工电锯</w:t>
                  </w:r>
                </w:p>
              </w:tc>
              <w:tc>
                <w:tcPr>
                  <w:tcW w:w="1111"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93~99</w:t>
                  </w:r>
                </w:p>
              </w:tc>
              <w:tc>
                <w:tcPr>
                  <w:tcW w:w="1348"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90~95</w:t>
                  </w:r>
                </w:p>
              </w:tc>
              <w:tc>
                <w:tcPr>
                  <w:tcW w:w="1632"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云石机、角磨机</w:t>
                  </w:r>
                </w:p>
              </w:tc>
              <w:tc>
                <w:tcPr>
                  <w:tcW w:w="1378" w:type="dxa"/>
                  <w:tcBorders>
                    <w:top w:val="single" w:color="000000" w:sz="6" w:space="0"/>
                    <w:left w:val="single" w:color="000000" w:sz="6" w:space="0"/>
                    <w:bottom w:val="single" w:color="000000" w:sz="6" w:space="0"/>
                    <w:right w:val="single" w:color="000000" w:sz="6" w:space="0"/>
                  </w:tcBorders>
                  <w:noWrap w:val="0"/>
                  <w:vAlign w:val="center"/>
                </w:tcPr>
                <w:p>
                  <w:pPr>
                    <w:pStyle w:val="19"/>
                    <w:bidi w:val="0"/>
                    <w:rPr>
                      <w:rFonts w:hint="default"/>
                      <w:color w:val="auto"/>
                    </w:rPr>
                  </w:pPr>
                  <w:r>
                    <w:rPr>
                      <w:rFonts w:hint="default"/>
                      <w:color w:val="auto"/>
                    </w:rPr>
                    <w:t>90~96</w:t>
                  </w:r>
                </w:p>
              </w:tc>
              <w:tc>
                <w:tcPr>
                  <w:tcW w:w="1366" w:type="dxa"/>
                  <w:tcBorders>
                    <w:top w:val="single" w:color="000000" w:sz="6" w:space="0"/>
                    <w:left w:val="single" w:color="000000" w:sz="6" w:space="0"/>
                    <w:bottom w:val="single" w:color="000000" w:sz="6" w:space="0"/>
                  </w:tcBorders>
                  <w:noWrap w:val="0"/>
                  <w:vAlign w:val="center"/>
                </w:tcPr>
                <w:p>
                  <w:pPr>
                    <w:pStyle w:val="19"/>
                    <w:bidi w:val="0"/>
                    <w:rPr>
                      <w:rFonts w:hint="default"/>
                      <w:color w:val="auto"/>
                    </w:rPr>
                  </w:pPr>
                  <w:r>
                    <w:rPr>
                      <w:rFonts w:hint="default"/>
                      <w:color w:val="auto"/>
                    </w:rPr>
                    <w:t>84~90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jc w:val="center"/>
              </w:trPr>
              <w:tc>
                <w:tcPr>
                  <w:tcW w:w="1502" w:type="dxa"/>
                  <w:tcBorders>
                    <w:top w:val="single" w:color="000000" w:sz="6" w:space="0"/>
                    <w:right w:val="single" w:color="000000" w:sz="6" w:space="0"/>
                  </w:tcBorders>
                  <w:noWrap w:val="0"/>
                  <w:vAlign w:val="center"/>
                </w:tcPr>
                <w:p>
                  <w:pPr>
                    <w:pStyle w:val="19"/>
                    <w:bidi w:val="0"/>
                    <w:rPr>
                      <w:rFonts w:hint="eastAsia"/>
                      <w:color w:val="auto"/>
                    </w:rPr>
                  </w:pPr>
                  <w:r>
                    <w:rPr>
                      <w:rFonts w:hint="eastAsia"/>
                      <w:color w:val="auto"/>
                    </w:rPr>
                    <w:t>电锤</w:t>
                  </w:r>
                </w:p>
              </w:tc>
              <w:tc>
                <w:tcPr>
                  <w:tcW w:w="1111" w:type="dxa"/>
                  <w:tcBorders>
                    <w:top w:val="single" w:color="000000" w:sz="6" w:space="0"/>
                    <w:left w:val="single" w:color="000000" w:sz="6" w:space="0"/>
                    <w:right w:val="single" w:color="000000" w:sz="6" w:space="0"/>
                  </w:tcBorders>
                  <w:noWrap w:val="0"/>
                  <w:vAlign w:val="center"/>
                </w:tcPr>
                <w:p>
                  <w:pPr>
                    <w:pStyle w:val="19"/>
                    <w:bidi w:val="0"/>
                    <w:rPr>
                      <w:rFonts w:hint="default"/>
                      <w:color w:val="auto"/>
                    </w:rPr>
                  </w:pPr>
                  <w:r>
                    <w:rPr>
                      <w:rFonts w:hint="default"/>
                      <w:color w:val="auto"/>
                    </w:rPr>
                    <w:t>100~105</w:t>
                  </w:r>
                </w:p>
              </w:tc>
              <w:tc>
                <w:tcPr>
                  <w:tcW w:w="1348" w:type="dxa"/>
                  <w:tcBorders>
                    <w:top w:val="single" w:color="000000" w:sz="6" w:space="0"/>
                    <w:left w:val="single" w:color="000000" w:sz="6" w:space="0"/>
                    <w:right w:val="single" w:color="000000" w:sz="6" w:space="0"/>
                  </w:tcBorders>
                  <w:noWrap w:val="0"/>
                  <w:vAlign w:val="center"/>
                </w:tcPr>
                <w:p>
                  <w:pPr>
                    <w:pStyle w:val="19"/>
                    <w:bidi w:val="0"/>
                    <w:rPr>
                      <w:rFonts w:hint="default"/>
                      <w:color w:val="auto"/>
                    </w:rPr>
                  </w:pPr>
                  <w:r>
                    <w:rPr>
                      <w:rFonts w:hint="default"/>
                      <w:color w:val="auto"/>
                    </w:rPr>
                    <w:t>95~99</w:t>
                  </w:r>
                </w:p>
              </w:tc>
              <w:tc>
                <w:tcPr>
                  <w:tcW w:w="1632" w:type="dxa"/>
                  <w:tcBorders>
                    <w:top w:val="single" w:color="000000" w:sz="6" w:space="0"/>
                    <w:left w:val="single" w:color="000000" w:sz="6" w:space="0"/>
                    <w:right w:val="single" w:color="000000" w:sz="6" w:space="0"/>
                  </w:tcBorders>
                  <w:noWrap w:val="0"/>
                  <w:vAlign w:val="center"/>
                </w:tcPr>
                <w:p>
                  <w:pPr>
                    <w:pStyle w:val="19"/>
                    <w:bidi w:val="0"/>
                    <w:rPr>
                      <w:rFonts w:hint="default"/>
                      <w:color w:val="auto"/>
                    </w:rPr>
                  </w:pPr>
                  <w:r>
                    <w:rPr>
                      <w:rFonts w:hint="default"/>
                      <w:color w:val="auto"/>
                    </w:rPr>
                    <w:t>空压机</w:t>
                  </w:r>
                </w:p>
              </w:tc>
              <w:tc>
                <w:tcPr>
                  <w:tcW w:w="1378" w:type="dxa"/>
                  <w:tcBorders>
                    <w:top w:val="single" w:color="000000" w:sz="6" w:space="0"/>
                    <w:left w:val="single" w:color="000000" w:sz="6" w:space="0"/>
                    <w:right w:val="single" w:color="000000" w:sz="6" w:space="0"/>
                  </w:tcBorders>
                  <w:noWrap w:val="0"/>
                  <w:vAlign w:val="center"/>
                </w:tcPr>
                <w:p>
                  <w:pPr>
                    <w:pStyle w:val="19"/>
                    <w:bidi w:val="0"/>
                    <w:rPr>
                      <w:rFonts w:hint="default"/>
                      <w:color w:val="auto"/>
                    </w:rPr>
                  </w:pPr>
                  <w:r>
                    <w:rPr>
                      <w:rFonts w:hint="default"/>
                      <w:color w:val="auto"/>
                    </w:rPr>
                    <w:t>88~92</w:t>
                  </w:r>
                </w:p>
              </w:tc>
              <w:tc>
                <w:tcPr>
                  <w:tcW w:w="1366" w:type="dxa"/>
                  <w:tcBorders>
                    <w:top w:val="single" w:color="000000" w:sz="6" w:space="0"/>
                    <w:left w:val="single" w:color="000000" w:sz="6" w:space="0"/>
                  </w:tcBorders>
                  <w:noWrap w:val="0"/>
                  <w:vAlign w:val="center"/>
                </w:tcPr>
                <w:p>
                  <w:pPr>
                    <w:pStyle w:val="19"/>
                    <w:bidi w:val="0"/>
                    <w:rPr>
                      <w:rFonts w:hint="default"/>
                      <w:color w:val="auto"/>
                    </w:rPr>
                  </w:pPr>
                  <w:r>
                    <w:rPr>
                      <w:rFonts w:hint="default"/>
                      <w:color w:val="auto"/>
                    </w:rPr>
                    <w:t>83~88</w:t>
                  </w:r>
                </w:p>
              </w:tc>
            </w:tr>
          </w:tbl>
          <w:p>
            <w:pPr>
              <w:numPr>
                <w:ilvl w:val="0"/>
                <w:numId w:val="9"/>
              </w:numPr>
              <w:bidi w:val="0"/>
              <w:spacing w:line="360" w:lineRule="auto"/>
              <w:ind w:left="0" w:leftChars="0" w:firstLine="480" w:firstLineChars="200"/>
              <w:rPr>
                <w:rFonts w:hint="eastAsia"/>
                <w:b w:val="0"/>
                <w:bCs w:val="0"/>
                <w:color w:val="auto"/>
                <w:lang w:val="en-US" w:eastAsia="zh-CN"/>
              </w:rPr>
            </w:pPr>
            <w:r>
              <w:rPr>
                <w:rFonts w:hint="eastAsia"/>
                <w:b w:val="0"/>
                <w:bCs w:val="0"/>
                <w:color w:val="auto"/>
                <w:lang w:val="en-US" w:eastAsia="zh-CN"/>
              </w:rPr>
              <w:t>噪声影响分析</w:t>
            </w:r>
          </w:p>
          <w:p>
            <w:pPr>
              <w:bidi w:val="0"/>
              <w:rPr>
                <w:rFonts w:hint="eastAsia"/>
                <w:color w:val="auto"/>
                <w:lang w:val="en-US" w:eastAsia="zh-CN"/>
              </w:rPr>
            </w:pPr>
            <w:r>
              <w:rPr>
                <w:rFonts w:hint="eastAsia"/>
                <w:color w:val="auto"/>
                <w:lang w:val="en-US" w:eastAsia="zh-CN"/>
              </w:rPr>
              <w:t>①预测模式</w:t>
            </w:r>
          </w:p>
          <w:p>
            <w:pPr>
              <w:bidi w:val="0"/>
              <w:rPr>
                <w:rFonts w:hint="eastAsia" w:eastAsia="宋体"/>
                <w:b w:val="0"/>
                <w:bCs w:val="0"/>
                <w:color w:val="auto"/>
                <w:lang w:eastAsia="zh-CN"/>
              </w:rPr>
            </w:pPr>
            <w:r>
              <w:rPr>
                <w:rFonts w:hint="default"/>
                <w:b w:val="0"/>
                <w:bCs w:val="0"/>
                <w:color w:val="auto"/>
              </w:rPr>
              <w:t>单台设备噪声影响预测模式</w:t>
            </w:r>
            <w:r>
              <w:rPr>
                <w:rFonts w:hint="eastAsia"/>
                <w:b w:val="0"/>
                <w:bCs w:val="0"/>
                <w:color w:val="auto"/>
                <w:lang w:eastAsia="zh-CN"/>
              </w:rPr>
              <w:t>：</w:t>
            </w:r>
          </w:p>
          <w:p>
            <w:pPr>
              <w:bidi w:val="0"/>
              <w:rPr>
                <w:rFonts w:hint="default"/>
                <w:color w:val="auto"/>
              </w:rPr>
            </w:pPr>
            <w:r>
              <w:rPr>
                <w:rFonts w:hint="default"/>
                <w:color w:val="auto"/>
              </w:rPr>
              <w:t>工程施工机械噪声主要属于中低频噪声，噪声源均在地面产生，可只考虑扩散衰减，将声源看成半自由空间，若在距离声源r0处的声压级为LA(r0)时，则在r处的噪声为（忽略空气吸收的作用）：</w:t>
            </w:r>
          </w:p>
          <w:p>
            <w:pPr>
              <w:bidi w:val="0"/>
              <w:ind w:left="0" w:leftChars="0" w:firstLine="0" w:firstLineChars="0"/>
              <w:jc w:val="center"/>
              <w:rPr>
                <w:color w:val="auto"/>
              </w:rPr>
            </w:pPr>
            <w:r>
              <w:rPr>
                <w:color w:val="auto"/>
              </w:rPr>
              <w:drawing>
                <wp:inline distT="0" distB="0" distL="114300" distR="114300">
                  <wp:extent cx="2049780" cy="563245"/>
                  <wp:effectExtent l="0" t="0" r="7620" b="8255"/>
                  <wp:docPr id="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29"/>
                          <pic:cNvPicPr>
                            <a:picLocks noChangeAspect="1"/>
                          </pic:cNvPicPr>
                        </pic:nvPicPr>
                        <pic:blipFill>
                          <a:blip r:embed="rId29"/>
                          <a:stretch>
                            <a:fillRect/>
                          </a:stretch>
                        </pic:blipFill>
                        <pic:spPr>
                          <a:xfrm>
                            <a:off x="0" y="0"/>
                            <a:ext cx="2049780" cy="563245"/>
                          </a:xfrm>
                          <a:prstGeom prst="rect">
                            <a:avLst/>
                          </a:prstGeom>
                          <a:noFill/>
                          <a:ln>
                            <a:noFill/>
                          </a:ln>
                        </pic:spPr>
                      </pic:pic>
                    </a:graphicData>
                  </a:graphic>
                </wp:inline>
              </w:drawing>
            </w:r>
          </w:p>
          <w:p>
            <w:pPr>
              <w:bidi w:val="0"/>
              <w:ind w:left="0" w:leftChars="0" w:firstLine="0" w:firstLineChars="0"/>
              <w:jc w:val="both"/>
              <w:rPr>
                <w:rFonts w:hint="default"/>
                <w:color w:val="auto"/>
                <w:lang w:val="en-US" w:eastAsia="zh-CN"/>
              </w:rPr>
            </w:pPr>
            <w:r>
              <w:rPr>
                <w:rFonts w:hint="default"/>
                <w:color w:val="auto"/>
                <w:lang w:val="en-US" w:eastAsia="zh-CN"/>
              </w:rPr>
              <w:t>式中：r</w:t>
            </w:r>
            <w:r>
              <w:rPr>
                <w:rFonts w:hint="default"/>
                <w:color w:val="auto"/>
                <w:vertAlign w:val="subscript"/>
                <w:lang w:val="en-US" w:eastAsia="zh-CN"/>
              </w:rPr>
              <w:t>0</w:t>
            </w:r>
            <w:r>
              <w:rPr>
                <w:rFonts w:hint="default"/>
                <w:color w:val="auto"/>
                <w:lang w:val="en-US" w:eastAsia="zh-CN"/>
              </w:rPr>
              <w:t>、r ——离声源的距离（m）；</w:t>
            </w:r>
          </w:p>
          <w:p>
            <w:pPr>
              <w:bidi w:val="0"/>
              <w:ind w:left="0" w:leftChars="0" w:firstLine="480" w:firstLineChars="200"/>
              <w:jc w:val="both"/>
              <w:rPr>
                <w:rFonts w:hint="default"/>
                <w:color w:val="auto"/>
                <w:lang w:val="en-US" w:eastAsia="zh-CN"/>
              </w:rPr>
            </w:pPr>
            <w:r>
              <w:rPr>
                <w:rFonts w:hint="default"/>
                <w:color w:val="auto"/>
                <w:lang w:val="en-US" w:eastAsia="zh-CN"/>
              </w:rPr>
              <w:t xml:space="preserve">  L</w:t>
            </w:r>
            <w:r>
              <w:rPr>
                <w:rFonts w:hint="eastAsia"/>
                <w:color w:val="auto"/>
                <w:vertAlign w:val="subscript"/>
                <w:lang w:val="en-US" w:eastAsia="zh-CN"/>
              </w:rPr>
              <w:t>A</w:t>
            </w:r>
            <w:r>
              <w:rPr>
                <w:rFonts w:hint="eastAsia"/>
                <w:color w:val="auto"/>
                <w:lang w:val="en-US" w:eastAsia="zh-CN"/>
              </w:rPr>
              <w:t>(r</w:t>
            </w:r>
            <w:r>
              <w:rPr>
                <w:rFonts w:hint="eastAsia"/>
                <w:color w:val="auto"/>
                <w:vertAlign w:val="subscript"/>
                <w:lang w:val="en-US" w:eastAsia="zh-CN"/>
              </w:rPr>
              <w:t>0</w:t>
            </w:r>
            <w:r>
              <w:rPr>
                <w:rFonts w:hint="eastAsia"/>
                <w:color w:val="auto"/>
                <w:lang w:val="en-US" w:eastAsia="zh-CN"/>
              </w:rPr>
              <w:t>)</w:t>
            </w:r>
            <w:r>
              <w:rPr>
                <w:rFonts w:hint="default"/>
                <w:color w:val="auto"/>
                <w:lang w:val="en-US" w:eastAsia="zh-CN"/>
              </w:rPr>
              <w:t xml:space="preserve"> ——离声源距离 r0 处的声压级 dB(A)；</w:t>
            </w:r>
          </w:p>
          <w:p>
            <w:pPr>
              <w:bidi w:val="0"/>
              <w:ind w:left="0" w:leftChars="0" w:firstLine="720" w:firstLineChars="300"/>
              <w:jc w:val="both"/>
              <w:rPr>
                <w:rFonts w:hint="default"/>
                <w:color w:val="auto"/>
                <w:lang w:val="en-US" w:eastAsia="zh-CN"/>
              </w:rPr>
            </w:pPr>
            <w:r>
              <w:rPr>
                <w:rFonts w:hint="default"/>
                <w:color w:val="auto"/>
                <w:lang w:val="en-US" w:eastAsia="zh-CN"/>
              </w:rPr>
              <w:t>L</w:t>
            </w:r>
            <w:r>
              <w:rPr>
                <w:rFonts w:hint="eastAsia"/>
                <w:color w:val="auto"/>
                <w:vertAlign w:val="subscript"/>
                <w:lang w:val="en-US" w:eastAsia="zh-CN"/>
              </w:rPr>
              <w:t>A</w:t>
            </w:r>
            <w:r>
              <w:rPr>
                <w:rFonts w:hint="eastAsia"/>
                <w:color w:val="auto"/>
                <w:lang w:val="en-US" w:eastAsia="zh-CN"/>
              </w:rPr>
              <w:t xml:space="preserve">(r) </w:t>
            </w:r>
            <w:r>
              <w:rPr>
                <w:rFonts w:hint="default"/>
                <w:color w:val="auto"/>
                <w:lang w:val="en-US" w:eastAsia="zh-CN"/>
              </w:rPr>
              <w:t>——离声源距离 r 处的声压级 dB(A)。</w:t>
            </w:r>
          </w:p>
          <w:p>
            <w:pPr>
              <w:bidi w:val="0"/>
              <w:rPr>
                <w:rFonts w:hint="eastAsia" w:eastAsia="宋体"/>
                <w:b w:val="0"/>
                <w:bCs w:val="0"/>
                <w:color w:val="auto"/>
                <w:lang w:eastAsia="zh-CN"/>
              </w:rPr>
            </w:pPr>
            <w:r>
              <w:rPr>
                <w:rFonts w:hint="eastAsia"/>
                <w:b w:val="0"/>
                <w:bCs w:val="0"/>
                <w:color w:val="auto"/>
              </w:rPr>
              <w:t>多个噪声源迭加的影响预测模式</w:t>
            </w:r>
            <w:r>
              <w:rPr>
                <w:rFonts w:hint="eastAsia"/>
                <w:b w:val="0"/>
                <w:bCs w:val="0"/>
                <w:color w:val="auto"/>
                <w:lang w:eastAsia="zh-CN"/>
              </w:rPr>
              <w:t>：</w:t>
            </w:r>
          </w:p>
          <w:p>
            <w:pPr>
              <w:bidi w:val="0"/>
              <w:ind w:left="0" w:leftChars="0" w:firstLine="480" w:firstLineChars="200"/>
              <w:rPr>
                <w:rFonts w:hint="eastAsia" w:eastAsia="宋体"/>
                <w:color w:val="auto"/>
                <w:lang w:val="en-US" w:eastAsia="zh-CN"/>
              </w:rPr>
            </w:pPr>
            <w:r>
              <w:rPr>
                <w:rFonts w:hint="eastAsia"/>
                <w:color w:val="auto"/>
              </w:rPr>
              <w:t>现场施工时有多台设备同时运转，其噪声情况应是这些设备总迭加。多个噪声源叠加后的总声压级，按下式计算</w:t>
            </w:r>
            <w:r>
              <w:rPr>
                <w:rFonts w:hint="eastAsia"/>
                <w:color w:val="auto"/>
                <w:lang w:eastAsia="zh-CN"/>
              </w:rPr>
              <w:t>：</w:t>
            </w:r>
          </w:p>
          <w:p>
            <w:pPr>
              <w:bidi w:val="0"/>
              <w:ind w:left="0" w:leftChars="0" w:firstLine="0" w:firstLineChars="0"/>
              <w:jc w:val="center"/>
              <w:rPr>
                <w:color w:val="auto"/>
              </w:rPr>
            </w:pPr>
            <w:r>
              <w:rPr>
                <w:color w:val="auto"/>
              </w:rPr>
              <w:drawing>
                <wp:inline distT="0" distB="0" distL="114300" distR="114300">
                  <wp:extent cx="1610995" cy="504825"/>
                  <wp:effectExtent l="0" t="0" r="8255" b="9525"/>
                  <wp:docPr id="18"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34"/>
                          <pic:cNvPicPr>
                            <a:picLocks noChangeAspect="1"/>
                          </pic:cNvPicPr>
                        </pic:nvPicPr>
                        <pic:blipFill>
                          <a:blip r:embed="rId30"/>
                          <a:stretch>
                            <a:fillRect/>
                          </a:stretch>
                        </pic:blipFill>
                        <pic:spPr>
                          <a:xfrm>
                            <a:off x="0" y="0"/>
                            <a:ext cx="1610995" cy="504825"/>
                          </a:xfrm>
                          <a:prstGeom prst="rect">
                            <a:avLst/>
                          </a:prstGeom>
                          <a:noFill/>
                          <a:ln>
                            <a:noFill/>
                          </a:ln>
                        </pic:spPr>
                      </pic:pic>
                    </a:graphicData>
                  </a:graphic>
                </wp:inline>
              </w:drawing>
            </w:r>
          </w:p>
          <w:p>
            <w:pPr>
              <w:bidi w:val="0"/>
              <w:ind w:left="0" w:leftChars="0" w:firstLine="0" w:firstLineChars="0"/>
              <w:jc w:val="both"/>
              <w:rPr>
                <w:rFonts w:hint="default"/>
                <w:color w:val="auto"/>
                <w:lang w:val="en-US" w:eastAsia="zh-CN"/>
              </w:rPr>
            </w:pPr>
            <w:r>
              <w:rPr>
                <w:rFonts w:hint="default"/>
                <w:color w:val="auto"/>
                <w:lang w:val="en-US" w:eastAsia="zh-CN"/>
              </w:rPr>
              <w:t>式中：n ——声源总数；</w:t>
            </w:r>
          </w:p>
          <w:p>
            <w:pPr>
              <w:bidi w:val="0"/>
              <w:ind w:left="0" w:leftChars="0" w:firstLine="720" w:firstLineChars="300"/>
              <w:jc w:val="both"/>
              <w:rPr>
                <w:rFonts w:hint="default"/>
                <w:color w:val="auto"/>
                <w:lang w:val="en-US" w:eastAsia="zh-CN"/>
              </w:rPr>
            </w:pPr>
            <w:r>
              <w:rPr>
                <w:rFonts w:hint="default"/>
                <w:color w:val="auto"/>
                <w:lang w:val="en-US" w:eastAsia="zh-CN"/>
              </w:rPr>
              <w:t>L</w:t>
            </w:r>
            <w:r>
              <w:rPr>
                <w:rFonts w:hint="default"/>
                <w:color w:val="auto"/>
                <w:vertAlign w:val="subscript"/>
                <w:lang w:val="en-US" w:eastAsia="zh-CN"/>
              </w:rPr>
              <w:t>pi</w:t>
            </w:r>
            <w:r>
              <w:rPr>
                <w:rFonts w:hint="default"/>
                <w:color w:val="auto"/>
                <w:lang w:val="en-US" w:eastAsia="zh-CN"/>
              </w:rPr>
              <w:t xml:space="preserve"> ——第i个声源对某点产生的声压级 dB(A)；</w:t>
            </w:r>
          </w:p>
          <w:p>
            <w:pPr>
              <w:bidi w:val="0"/>
              <w:ind w:left="0" w:leftChars="0" w:firstLine="720" w:firstLineChars="300"/>
              <w:jc w:val="both"/>
              <w:rPr>
                <w:rFonts w:hint="default"/>
                <w:color w:val="auto"/>
                <w:lang w:val="en-US" w:eastAsia="zh-CN"/>
              </w:rPr>
            </w:pPr>
            <w:r>
              <w:rPr>
                <w:rFonts w:hint="default"/>
                <w:color w:val="auto"/>
                <w:lang w:val="en-US" w:eastAsia="zh-CN"/>
              </w:rPr>
              <w:t>L</w:t>
            </w:r>
            <w:r>
              <w:rPr>
                <w:rFonts w:hint="default"/>
                <w:color w:val="auto"/>
                <w:vertAlign w:val="subscript"/>
                <w:lang w:val="en-US" w:eastAsia="zh-CN"/>
              </w:rPr>
              <w:t>t</w:t>
            </w:r>
            <w:r>
              <w:rPr>
                <w:rFonts w:hint="default"/>
                <w:color w:val="auto"/>
                <w:lang w:val="en-US" w:eastAsia="zh-CN"/>
              </w:rPr>
              <w:t xml:space="preserve"> ——某点总的声压级 dB（A）。</w:t>
            </w:r>
          </w:p>
          <w:p>
            <w:pPr>
              <w:bidi w:val="0"/>
              <w:ind w:left="0" w:leftChars="0" w:firstLine="720" w:firstLineChars="300"/>
              <w:jc w:val="both"/>
              <w:rPr>
                <w:rFonts w:hint="eastAsia"/>
                <w:color w:val="auto"/>
                <w:lang w:val="en-US" w:eastAsia="zh-CN"/>
              </w:rPr>
            </w:pPr>
            <w:r>
              <w:rPr>
                <w:rFonts w:hint="eastAsia"/>
                <w:color w:val="auto"/>
                <w:lang w:val="en-US" w:eastAsia="zh-CN"/>
              </w:rPr>
              <w:t>②预测结果</w:t>
            </w:r>
          </w:p>
          <w:p>
            <w:pPr>
              <w:bidi w:val="0"/>
              <w:ind w:left="0" w:leftChars="0" w:firstLine="720" w:firstLineChars="300"/>
              <w:jc w:val="both"/>
              <w:rPr>
                <w:rFonts w:hint="default"/>
                <w:color w:val="auto"/>
                <w:lang w:val="en-US" w:eastAsia="zh-CN"/>
              </w:rPr>
            </w:pPr>
            <w:r>
              <w:rPr>
                <w:rFonts w:hint="default"/>
                <w:color w:val="auto"/>
                <w:lang w:val="en-US" w:eastAsia="zh-CN"/>
              </w:rPr>
              <w:t>由于施工机械噪声主要属中低频噪声，故施工期噪声对周边环境只考虑扩散衰减，且施工噪声源可近似作为点声源处理（施工车辆靠近工地或进入工地，作怠速处理，可近似作为点声源）。</w:t>
            </w:r>
          </w:p>
          <w:p>
            <w:pPr>
              <w:bidi w:val="0"/>
              <w:ind w:left="0" w:leftChars="0" w:firstLine="720" w:firstLineChars="300"/>
              <w:jc w:val="both"/>
              <w:rPr>
                <w:rFonts w:hint="default"/>
                <w:color w:val="auto"/>
                <w:lang w:val="en-US" w:eastAsia="zh-CN"/>
              </w:rPr>
            </w:pPr>
            <w:r>
              <w:rPr>
                <w:rFonts w:hint="default"/>
                <w:color w:val="auto"/>
                <w:lang w:val="en-US" w:eastAsia="zh-CN"/>
              </w:rPr>
              <w:t>根据点声源噪声衰减模式，可估算其施工期间离噪声源不同距离处的噪声值，预测模式如下：</w:t>
            </w:r>
          </w:p>
          <w:p>
            <w:pPr>
              <w:bidi w:val="0"/>
              <w:ind w:left="0" w:leftChars="0" w:firstLine="0" w:firstLineChars="0"/>
              <w:jc w:val="center"/>
              <w:rPr>
                <w:color w:val="auto"/>
              </w:rPr>
            </w:pPr>
            <w:r>
              <w:rPr>
                <w:color w:val="auto"/>
              </w:rPr>
              <w:drawing>
                <wp:inline distT="0" distB="0" distL="114300" distR="114300">
                  <wp:extent cx="1924050" cy="321310"/>
                  <wp:effectExtent l="0" t="0" r="0" b="2540"/>
                  <wp:docPr id="23"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31"/>
                          <pic:cNvPicPr>
                            <a:picLocks noChangeAspect="1"/>
                          </pic:cNvPicPr>
                        </pic:nvPicPr>
                        <pic:blipFill>
                          <a:blip r:embed="rId31"/>
                          <a:stretch>
                            <a:fillRect/>
                          </a:stretch>
                        </pic:blipFill>
                        <pic:spPr>
                          <a:xfrm>
                            <a:off x="0" y="0"/>
                            <a:ext cx="1924050" cy="321310"/>
                          </a:xfrm>
                          <a:prstGeom prst="rect">
                            <a:avLst/>
                          </a:prstGeom>
                          <a:noFill/>
                          <a:ln>
                            <a:noFill/>
                          </a:ln>
                        </pic:spPr>
                      </pic:pic>
                    </a:graphicData>
                  </a:graphic>
                </wp:inline>
              </w:drawing>
            </w:r>
          </w:p>
          <w:p>
            <w:pPr>
              <w:bidi w:val="0"/>
              <w:ind w:left="0" w:leftChars="0" w:firstLine="0" w:firstLineChars="0"/>
              <w:jc w:val="left"/>
              <w:rPr>
                <w:rFonts w:hint="default"/>
                <w:color w:val="auto"/>
                <w:lang w:val="en-US" w:eastAsia="zh-CN"/>
              </w:rPr>
            </w:pPr>
            <w:r>
              <w:rPr>
                <w:rFonts w:hint="default"/>
                <w:color w:val="auto"/>
                <w:lang w:val="en-US" w:eastAsia="zh-CN"/>
              </w:rPr>
              <w:t>式中，L</w:t>
            </w:r>
            <w:r>
              <w:rPr>
                <w:rFonts w:hint="default"/>
                <w:color w:val="auto"/>
                <w:vertAlign w:val="subscript"/>
                <w:lang w:val="en-US" w:eastAsia="zh-CN"/>
              </w:rPr>
              <w:t>2</w:t>
            </w:r>
            <w:r>
              <w:rPr>
                <w:rFonts w:hint="eastAsia"/>
                <w:color w:val="auto"/>
                <w:lang w:val="en-US" w:eastAsia="zh-CN"/>
              </w:rPr>
              <w:t xml:space="preserve"> </w:t>
            </w:r>
            <w:r>
              <w:rPr>
                <w:rFonts w:hint="default"/>
                <w:color w:val="auto"/>
                <w:lang w:val="en-US" w:eastAsia="zh-CN"/>
              </w:rPr>
              <w:t>—点声源在预测点产生的声压级；</w:t>
            </w:r>
          </w:p>
          <w:p>
            <w:pPr>
              <w:bidi w:val="0"/>
              <w:ind w:left="0" w:leftChars="0" w:firstLine="720" w:firstLineChars="300"/>
              <w:jc w:val="left"/>
              <w:rPr>
                <w:rFonts w:hint="default"/>
                <w:color w:val="auto"/>
                <w:lang w:val="en-US" w:eastAsia="zh-CN"/>
              </w:rPr>
            </w:pPr>
            <w:r>
              <w:rPr>
                <w:rFonts w:hint="default"/>
                <w:color w:val="auto"/>
                <w:lang w:val="en-US" w:eastAsia="zh-CN"/>
              </w:rPr>
              <w:t>L</w:t>
            </w:r>
            <w:r>
              <w:rPr>
                <w:rFonts w:hint="default"/>
                <w:color w:val="auto"/>
                <w:vertAlign w:val="subscript"/>
                <w:lang w:val="en-US" w:eastAsia="zh-CN"/>
              </w:rPr>
              <w:t>1</w:t>
            </w:r>
            <w:r>
              <w:rPr>
                <w:rFonts w:hint="eastAsia"/>
                <w:color w:val="auto"/>
                <w:lang w:val="en-US" w:eastAsia="zh-CN"/>
              </w:rPr>
              <w:t xml:space="preserve"> </w:t>
            </w:r>
            <w:r>
              <w:rPr>
                <w:rFonts w:hint="default"/>
                <w:color w:val="auto"/>
                <w:lang w:val="en-US" w:eastAsia="zh-CN"/>
              </w:rPr>
              <w:t xml:space="preserve">—点声源在参考点产生的声压级； </w:t>
            </w:r>
          </w:p>
          <w:p>
            <w:pPr>
              <w:bidi w:val="0"/>
              <w:ind w:left="0" w:leftChars="0" w:firstLine="720" w:firstLineChars="300"/>
              <w:jc w:val="left"/>
              <w:rPr>
                <w:rFonts w:hint="eastAsia"/>
                <w:color w:val="auto"/>
                <w:lang w:val="en-US" w:eastAsia="zh-CN"/>
              </w:rPr>
            </w:pPr>
            <w:r>
              <w:rPr>
                <w:rFonts w:hint="default"/>
                <w:color w:val="auto"/>
                <w:lang w:val="en-US" w:eastAsia="zh-CN"/>
              </w:rPr>
              <w:t>r</w:t>
            </w:r>
            <w:r>
              <w:rPr>
                <w:rFonts w:hint="default"/>
                <w:color w:val="auto"/>
                <w:vertAlign w:val="subscript"/>
                <w:lang w:val="en-US" w:eastAsia="zh-CN"/>
              </w:rPr>
              <w:t>2</w:t>
            </w:r>
            <w:r>
              <w:rPr>
                <w:rFonts w:hint="eastAsia"/>
                <w:color w:val="auto"/>
                <w:lang w:val="en-US" w:eastAsia="zh-CN"/>
              </w:rPr>
              <w:t xml:space="preserve"> </w:t>
            </w:r>
            <w:r>
              <w:rPr>
                <w:rFonts w:hint="default"/>
                <w:color w:val="auto"/>
                <w:lang w:val="en-US" w:eastAsia="zh-CN"/>
              </w:rPr>
              <w:t>—预测点距声源的距离</w:t>
            </w:r>
            <w:r>
              <w:rPr>
                <w:rFonts w:hint="eastAsia"/>
                <w:color w:val="auto"/>
                <w:lang w:val="en-US" w:eastAsia="zh-CN"/>
              </w:rPr>
              <w:t>。</w:t>
            </w:r>
          </w:p>
          <w:p>
            <w:pPr>
              <w:bidi w:val="0"/>
              <w:ind w:left="0" w:leftChars="0" w:firstLine="720" w:firstLineChars="300"/>
              <w:jc w:val="left"/>
              <w:rPr>
                <w:rFonts w:hint="default"/>
                <w:color w:val="auto"/>
                <w:lang w:val="en-US" w:eastAsia="zh-CN"/>
              </w:rPr>
            </w:pPr>
            <w:r>
              <w:rPr>
                <w:rFonts w:hint="default"/>
                <w:color w:val="auto"/>
                <w:lang w:val="en-US" w:eastAsia="zh-CN"/>
              </w:rPr>
              <w:t>r</w:t>
            </w:r>
            <w:r>
              <w:rPr>
                <w:rFonts w:hint="default"/>
                <w:color w:val="auto"/>
                <w:vertAlign w:val="subscript"/>
                <w:lang w:val="en-US" w:eastAsia="zh-CN"/>
              </w:rPr>
              <w:t>1</w:t>
            </w:r>
            <w:r>
              <w:rPr>
                <w:rFonts w:hint="eastAsia"/>
                <w:color w:val="auto"/>
                <w:lang w:val="en-US" w:eastAsia="zh-CN"/>
              </w:rPr>
              <w:t xml:space="preserve"> </w:t>
            </w:r>
            <w:r>
              <w:rPr>
                <w:rFonts w:hint="default"/>
                <w:color w:val="auto"/>
                <w:lang w:val="en-US" w:eastAsia="zh-CN"/>
              </w:rPr>
              <w:t>—参考点距声源的距离；</w:t>
            </w:r>
          </w:p>
          <w:p>
            <w:pPr>
              <w:bidi w:val="0"/>
              <w:ind w:left="0" w:leftChars="0" w:firstLine="720" w:firstLineChars="300"/>
              <w:jc w:val="left"/>
              <w:rPr>
                <w:rFonts w:hint="default"/>
                <w:color w:val="auto"/>
                <w:lang w:val="en-US" w:eastAsia="zh-CN"/>
              </w:rPr>
            </w:pPr>
            <w:r>
              <w:rPr>
                <w:rFonts w:hint="default"/>
                <w:color w:val="auto"/>
                <w:lang w:val="en-US" w:eastAsia="zh-CN"/>
              </w:rPr>
              <w:t>△L</w:t>
            </w:r>
            <w:r>
              <w:rPr>
                <w:rFonts w:hint="eastAsia"/>
                <w:color w:val="auto"/>
                <w:lang w:val="en-US" w:eastAsia="zh-CN"/>
              </w:rPr>
              <w:t xml:space="preserve"> </w:t>
            </w:r>
            <w:r>
              <w:rPr>
                <w:rFonts w:hint="default"/>
                <w:color w:val="auto"/>
                <w:lang w:val="en-US" w:eastAsia="zh-CN"/>
              </w:rPr>
              <w:t xml:space="preserve">—各种因素引起的衰减量（包括声屏障、空气吸收等引起的衰减量）。对两个以上多个声源同时存在时，其预测点总声级采用下面公式： </w:t>
            </w:r>
          </w:p>
          <w:p>
            <w:pPr>
              <w:bidi w:val="0"/>
              <w:ind w:left="0" w:leftChars="0" w:firstLine="0" w:firstLineChars="0"/>
              <w:jc w:val="center"/>
              <w:rPr>
                <w:rFonts w:hint="default"/>
                <w:color w:val="auto"/>
                <w:lang w:val="en-US" w:eastAsia="zh-CN"/>
              </w:rPr>
            </w:pPr>
            <w:r>
              <w:rPr>
                <w:rFonts w:hint="default"/>
                <w:color w:val="auto"/>
                <w:lang w:val="en-US" w:eastAsia="zh-CN"/>
              </w:rPr>
              <w:t>Leq=10log(∑100</w:t>
            </w:r>
            <w:r>
              <w:rPr>
                <w:rFonts w:hint="eastAsia"/>
                <w:color w:val="auto"/>
                <w:lang w:val="en-US" w:eastAsia="zh-CN"/>
              </w:rPr>
              <w:t>·</w:t>
            </w:r>
            <w:r>
              <w:rPr>
                <w:rFonts w:hint="default"/>
                <w:color w:val="auto"/>
                <w:lang w:val="en-US" w:eastAsia="zh-CN"/>
              </w:rPr>
              <w:t>1Li)</w:t>
            </w:r>
          </w:p>
          <w:p>
            <w:pPr>
              <w:bidi w:val="0"/>
              <w:ind w:left="0" w:leftChars="0" w:firstLine="0" w:firstLineChars="0"/>
              <w:jc w:val="left"/>
              <w:rPr>
                <w:rFonts w:hint="default"/>
                <w:color w:val="auto"/>
                <w:lang w:val="en-US" w:eastAsia="zh-CN"/>
              </w:rPr>
            </w:pPr>
            <w:r>
              <w:rPr>
                <w:rFonts w:hint="default"/>
                <w:color w:val="auto"/>
                <w:lang w:val="en-US" w:eastAsia="zh-CN"/>
              </w:rPr>
              <w:t>式中：Leq</w:t>
            </w:r>
            <w:r>
              <w:rPr>
                <w:rFonts w:hint="eastAsia"/>
                <w:color w:val="auto"/>
                <w:lang w:val="en-US" w:eastAsia="zh-CN"/>
              </w:rPr>
              <w:t xml:space="preserve"> </w:t>
            </w:r>
            <w:r>
              <w:rPr>
                <w:rFonts w:hint="default"/>
                <w:color w:val="auto"/>
                <w:lang w:val="en-US" w:eastAsia="zh-CN"/>
              </w:rPr>
              <w:t>—预测点的总等效声级；</w:t>
            </w:r>
          </w:p>
          <w:p>
            <w:pPr>
              <w:bidi w:val="0"/>
              <w:ind w:left="0" w:leftChars="0" w:firstLine="720" w:firstLineChars="300"/>
              <w:jc w:val="left"/>
              <w:rPr>
                <w:rFonts w:hint="default"/>
                <w:color w:val="auto"/>
                <w:lang w:val="en-US" w:eastAsia="zh-CN"/>
              </w:rPr>
            </w:pPr>
            <w:r>
              <w:rPr>
                <w:rFonts w:hint="default"/>
                <w:color w:val="auto"/>
                <w:lang w:val="en-US" w:eastAsia="zh-CN"/>
              </w:rPr>
              <w:t>Li</w:t>
            </w:r>
            <w:r>
              <w:rPr>
                <w:rFonts w:hint="eastAsia"/>
                <w:color w:val="auto"/>
                <w:lang w:val="en-US" w:eastAsia="zh-CN"/>
              </w:rPr>
              <w:t xml:space="preserve"> </w:t>
            </w:r>
            <w:r>
              <w:rPr>
                <w:rFonts w:hint="default"/>
                <w:color w:val="auto"/>
                <w:lang w:val="en-US" w:eastAsia="zh-CN"/>
              </w:rPr>
              <w:t>—第i个声源对预测点的声级影响，dB（A）。</w:t>
            </w:r>
          </w:p>
          <w:p>
            <w:pPr>
              <w:bidi w:val="0"/>
              <w:ind w:left="0" w:leftChars="0" w:firstLine="720" w:firstLineChars="300"/>
              <w:jc w:val="left"/>
              <w:rPr>
                <w:rFonts w:hint="eastAsia"/>
                <w:color w:val="auto"/>
                <w:lang w:val="en-US" w:eastAsia="zh-CN"/>
              </w:rPr>
            </w:pPr>
            <w:r>
              <w:rPr>
                <w:rFonts w:hint="default"/>
                <w:color w:val="auto"/>
                <w:lang w:val="en-US" w:eastAsia="zh-CN"/>
              </w:rPr>
              <w:t>按不同施工阶段施工机械组合作业规划情况，在未采取任何降噪措施的情况下得出不同施工阶段在不同距离处的噪声预测值，</w:t>
            </w:r>
            <w:r>
              <w:rPr>
                <w:rFonts w:hint="eastAsia"/>
                <w:color w:val="auto"/>
                <w:lang w:val="en-US" w:eastAsia="zh-CN"/>
              </w:rPr>
              <w:t>见下表。</w:t>
            </w:r>
          </w:p>
          <w:p>
            <w:pPr>
              <w:pStyle w:val="18"/>
              <w:bidi w:val="0"/>
              <w:rPr>
                <w:rFonts w:hint="default"/>
                <w:color w:val="auto"/>
              </w:rPr>
            </w:pPr>
            <w:r>
              <w:rPr>
                <w:rFonts w:hint="default"/>
                <w:color w:val="auto"/>
              </w:rPr>
              <w:t>表</w:t>
            </w:r>
            <w:r>
              <w:rPr>
                <w:rFonts w:hint="eastAsia"/>
                <w:color w:val="auto"/>
                <w:lang w:val="en-US" w:eastAsia="zh-CN"/>
              </w:rPr>
              <w:t>26</w:t>
            </w:r>
            <w:r>
              <w:rPr>
                <w:rFonts w:hint="default"/>
                <w:color w:val="auto"/>
              </w:rPr>
              <w:t xml:space="preserve"> 施工机械噪声在不同距离处的等效声级</w:t>
            </w:r>
            <w:r>
              <w:rPr>
                <w:rFonts w:hint="eastAsia"/>
                <w:color w:val="auto"/>
                <w:lang w:val="en-US" w:eastAsia="zh-CN"/>
              </w:rPr>
              <w:t xml:space="preserve"> </w:t>
            </w:r>
            <w:r>
              <w:rPr>
                <w:rFonts w:hint="default"/>
                <w:color w:val="auto"/>
              </w:rPr>
              <w:t>单位：dB(A)</w:t>
            </w:r>
          </w:p>
          <w:tbl>
            <w:tblPr>
              <w:tblStyle w:val="15"/>
              <w:tblW w:w="8395"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18"/>
              <w:gridCol w:w="724"/>
              <w:gridCol w:w="660"/>
              <w:gridCol w:w="752"/>
              <w:gridCol w:w="682"/>
              <w:gridCol w:w="763"/>
              <w:gridCol w:w="705"/>
              <w:gridCol w:w="698"/>
              <w:gridCol w:w="1148"/>
              <w:gridCol w:w="1245"/>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39" w:hRule="atLeast"/>
                <w:jc w:val="center"/>
              </w:trPr>
              <w:tc>
                <w:tcPr>
                  <w:tcW w:w="1018" w:type="dxa"/>
                  <w:noWrap w:val="0"/>
                  <w:vAlign w:val="center"/>
                </w:tcPr>
                <w:p>
                  <w:pPr>
                    <w:pStyle w:val="19"/>
                    <w:bidi w:val="0"/>
                    <w:rPr>
                      <w:rFonts w:hint="eastAsia"/>
                      <w:color w:val="auto"/>
                      <w:lang w:val="en-US" w:eastAsia="zh-CN"/>
                    </w:rPr>
                  </w:pPr>
                  <w:r>
                    <w:rPr>
                      <w:rFonts w:hint="default"/>
                      <w:color w:val="auto"/>
                    </w:rPr>
                    <w:t>施工阶</w:t>
                  </w:r>
                  <w:r>
                    <w:rPr>
                      <w:rFonts w:hint="eastAsia"/>
                      <w:color w:val="auto"/>
                      <w:lang w:val="en-US" w:eastAsia="zh-CN"/>
                    </w:rPr>
                    <w:t>段</w:t>
                  </w:r>
                </w:p>
              </w:tc>
              <w:tc>
                <w:tcPr>
                  <w:tcW w:w="724" w:type="dxa"/>
                  <w:noWrap w:val="0"/>
                  <w:vAlign w:val="center"/>
                </w:tcPr>
                <w:p>
                  <w:pPr>
                    <w:pStyle w:val="19"/>
                    <w:bidi w:val="0"/>
                    <w:rPr>
                      <w:rFonts w:hint="default"/>
                      <w:color w:val="auto"/>
                    </w:rPr>
                  </w:pPr>
                  <w:r>
                    <w:rPr>
                      <w:rFonts w:hint="default"/>
                      <w:color w:val="auto"/>
                    </w:rPr>
                    <w:t>场界</w:t>
                  </w:r>
                </w:p>
              </w:tc>
              <w:tc>
                <w:tcPr>
                  <w:tcW w:w="660" w:type="dxa"/>
                  <w:noWrap w:val="0"/>
                  <w:vAlign w:val="center"/>
                </w:tcPr>
                <w:p>
                  <w:pPr>
                    <w:pStyle w:val="19"/>
                    <w:bidi w:val="0"/>
                    <w:rPr>
                      <w:rFonts w:hint="default"/>
                      <w:color w:val="auto"/>
                    </w:rPr>
                  </w:pPr>
                  <w:r>
                    <w:rPr>
                      <w:rFonts w:hint="default"/>
                      <w:color w:val="auto"/>
                    </w:rPr>
                    <w:t>10m</w:t>
                  </w:r>
                </w:p>
              </w:tc>
              <w:tc>
                <w:tcPr>
                  <w:tcW w:w="752" w:type="dxa"/>
                  <w:noWrap w:val="0"/>
                  <w:vAlign w:val="center"/>
                </w:tcPr>
                <w:p>
                  <w:pPr>
                    <w:pStyle w:val="19"/>
                    <w:bidi w:val="0"/>
                    <w:rPr>
                      <w:rFonts w:hint="default"/>
                      <w:color w:val="auto"/>
                    </w:rPr>
                  </w:pPr>
                  <w:r>
                    <w:rPr>
                      <w:rFonts w:hint="default"/>
                      <w:color w:val="auto"/>
                    </w:rPr>
                    <w:t>20m</w:t>
                  </w:r>
                </w:p>
              </w:tc>
              <w:tc>
                <w:tcPr>
                  <w:tcW w:w="682" w:type="dxa"/>
                  <w:noWrap w:val="0"/>
                  <w:vAlign w:val="center"/>
                </w:tcPr>
                <w:p>
                  <w:pPr>
                    <w:pStyle w:val="19"/>
                    <w:bidi w:val="0"/>
                    <w:rPr>
                      <w:rFonts w:hint="default"/>
                      <w:color w:val="auto"/>
                    </w:rPr>
                  </w:pPr>
                  <w:r>
                    <w:rPr>
                      <w:rFonts w:hint="default"/>
                      <w:color w:val="auto"/>
                    </w:rPr>
                    <w:t>50m</w:t>
                  </w:r>
                </w:p>
              </w:tc>
              <w:tc>
                <w:tcPr>
                  <w:tcW w:w="763" w:type="dxa"/>
                  <w:noWrap w:val="0"/>
                  <w:vAlign w:val="center"/>
                </w:tcPr>
                <w:p>
                  <w:pPr>
                    <w:pStyle w:val="19"/>
                    <w:bidi w:val="0"/>
                    <w:rPr>
                      <w:rFonts w:hint="default"/>
                      <w:color w:val="auto"/>
                    </w:rPr>
                  </w:pPr>
                  <w:r>
                    <w:rPr>
                      <w:rFonts w:hint="default"/>
                      <w:color w:val="auto"/>
                    </w:rPr>
                    <w:t>100m</w:t>
                  </w:r>
                </w:p>
              </w:tc>
              <w:tc>
                <w:tcPr>
                  <w:tcW w:w="705" w:type="dxa"/>
                  <w:noWrap w:val="0"/>
                  <w:vAlign w:val="center"/>
                </w:tcPr>
                <w:p>
                  <w:pPr>
                    <w:pStyle w:val="19"/>
                    <w:bidi w:val="0"/>
                    <w:rPr>
                      <w:rFonts w:hint="default"/>
                      <w:color w:val="auto"/>
                    </w:rPr>
                  </w:pPr>
                  <w:r>
                    <w:rPr>
                      <w:rFonts w:hint="default"/>
                      <w:color w:val="auto"/>
                    </w:rPr>
                    <w:t>150m</w:t>
                  </w:r>
                </w:p>
              </w:tc>
              <w:tc>
                <w:tcPr>
                  <w:tcW w:w="698" w:type="dxa"/>
                  <w:noWrap w:val="0"/>
                  <w:vAlign w:val="center"/>
                </w:tcPr>
                <w:p>
                  <w:pPr>
                    <w:pStyle w:val="19"/>
                    <w:bidi w:val="0"/>
                    <w:rPr>
                      <w:rFonts w:hint="default"/>
                      <w:color w:val="auto"/>
                    </w:rPr>
                  </w:pPr>
                  <w:r>
                    <w:rPr>
                      <w:rFonts w:hint="default"/>
                      <w:color w:val="auto"/>
                    </w:rPr>
                    <w:t>200m</w:t>
                  </w:r>
                </w:p>
              </w:tc>
              <w:tc>
                <w:tcPr>
                  <w:tcW w:w="1148" w:type="dxa"/>
                  <w:noWrap w:val="0"/>
                  <w:vAlign w:val="center"/>
                </w:tcPr>
                <w:p>
                  <w:pPr>
                    <w:pStyle w:val="19"/>
                    <w:bidi w:val="0"/>
                    <w:rPr>
                      <w:rFonts w:hint="default"/>
                      <w:color w:val="auto"/>
                    </w:rPr>
                  </w:pPr>
                  <w:r>
                    <w:rPr>
                      <w:rFonts w:hint="default"/>
                      <w:color w:val="auto"/>
                    </w:rPr>
                    <w:t>施工场界限值</w:t>
                  </w:r>
                </w:p>
              </w:tc>
              <w:tc>
                <w:tcPr>
                  <w:tcW w:w="1245" w:type="dxa"/>
                  <w:noWrap w:val="0"/>
                  <w:vAlign w:val="center"/>
                </w:tcPr>
                <w:p>
                  <w:pPr>
                    <w:pStyle w:val="19"/>
                    <w:bidi w:val="0"/>
                    <w:rPr>
                      <w:rFonts w:hint="default"/>
                      <w:color w:val="auto"/>
                    </w:rPr>
                  </w:pPr>
                  <w:r>
                    <w:rPr>
                      <w:rFonts w:hint="default"/>
                      <w:color w:val="auto"/>
                    </w:rPr>
                    <w:t>声环境2类</w:t>
                  </w:r>
                </w:p>
                <w:p>
                  <w:pPr>
                    <w:pStyle w:val="19"/>
                    <w:bidi w:val="0"/>
                    <w:rPr>
                      <w:rFonts w:hint="default"/>
                      <w:color w:val="auto"/>
                    </w:rPr>
                  </w:pPr>
                  <w:r>
                    <w:rPr>
                      <w:rFonts w:hint="default"/>
                      <w:color w:val="auto"/>
                    </w:rPr>
                    <w:t>标准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40" w:hRule="atLeast"/>
                <w:jc w:val="center"/>
              </w:trPr>
              <w:tc>
                <w:tcPr>
                  <w:tcW w:w="1018" w:type="dxa"/>
                  <w:noWrap w:val="0"/>
                  <w:vAlign w:val="center"/>
                </w:tcPr>
                <w:p>
                  <w:pPr>
                    <w:pStyle w:val="19"/>
                    <w:bidi w:val="0"/>
                    <w:rPr>
                      <w:rFonts w:hint="default"/>
                      <w:color w:val="auto"/>
                    </w:rPr>
                  </w:pPr>
                  <w:r>
                    <w:rPr>
                      <w:rFonts w:hint="default"/>
                      <w:color w:val="auto"/>
                    </w:rPr>
                    <w:t>土方工程</w:t>
                  </w:r>
                </w:p>
              </w:tc>
              <w:tc>
                <w:tcPr>
                  <w:tcW w:w="724" w:type="dxa"/>
                  <w:noWrap w:val="0"/>
                  <w:vAlign w:val="center"/>
                </w:tcPr>
                <w:p>
                  <w:pPr>
                    <w:pStyle w:val="19"/>
                    <w:bidi w:val="0"/>
                    <w:rPr>
                      <w:rFonts w:hint="default"/>
                      <w:color w:val="auto"/>
                    </w:rPr>
                  </w:pPr>
                  <w:r>
                    <w:rPr>
                      <w:rFonts w:hint="default"/>
                      <w:color w:val="auto"/>
                    </w:rPr>
                    <w:t>109.6</w:t>
                  </w:r>
                </w:p>
              </w:tc>
              <w:tc>
                <w:tcPr>
                  <w:tcW w:w="660" w:type="dxa"/>
                  <w:noWrap w:val="0"/>
                  <w:vAlign w:val="center"/>
                </w:tcPr>
                <w:p>
                  <w:pPr>
                    <w:pStyle w:val="19"/>
                    <w:bidi w:val="0"/>
                    <w:rPr>
                      <w:rFonts w:hint="default"/>
                      <w:color w:val="auto"/>
                    </w:rPr>
                  </w:pPr>
                  <w:r>
                    <w:rPr>
                      <w:rFonts w:hint="default"/>
                      <w:color w:val="auto"/>
                    </w:rPr>
                    <w:t>89.6</w:t>
                  </w:r>
                </w:p>
              </w:tc>
              <w:tc>
                <w:tcPr>
                  <w:tcW w:w="752" w:type="dxa"/>
                  <w:noWrap w:val="0"/>
                  <w:vAlign w:val="center"/>
                </w:tcPr>
                <w:p>
                  <w:pPr>
                    <w:pStyle w:val="19"/>
                    <w:bidi w:val="0"/>
                    <w:rPr>
                      <w:rFonts w:hint="default"/>
                      <w:color w:val="auto"/>
                    </w:rPr>
                  </w:pPr>
                  <w:r>
                    <w:rPr>
                      <w:rFonts w:hint="default"/>
                      <w:color w:val="auto"/>
                    </w:rPr>
                    <w:t>83.6</w:t>
                  </w:r>
                </w:p>
              </w:tc>
              <w:tc>
                <w:tcPr>
                  <w:tcW w:w="682" w:type="dxa"/>
                  <w:noWrap w:val="0"/>
                  <w:vAlign w:val="center"/>
                </w:tcPr>
                <w:p>
                  <w:pPr>
                    <w:pStyle w:val="19"/>
                    <w:bidi w:val="0"/>
                    <w:rPr>
                      <w:rFonts w:hint="default"/>
                      <w:color w:val="auto"/>
                    </w:rPr>
                  </w:pPr>
                  <w:r>
                    <w:rPr>
                      <w:rFonts w:hint="default"/>
                      <w:color w:val="auto"/>
                    </w:rPr>
                    <w:t>75.6</w:t>
                  </w:r>
                </w:p>
              </w:tc>
              <w:tc>
                <w:tcPr>
                  <w:tcW w:w="763" w:type="dxa"/>
                  <w:noWrap w:val="0"/>
                  <w:vAlign w:val="center"/>
                </w:tcPr>
                <w:p>
                  <w:pPr>
                    <w:pStyle w:val="19"/>
                    <w:bidi w:val="0"/>
                    <w:rPr>
                      <w:rFonts w:hint="default"/>
                      <w:color w:val="auto"/>
                    </w:rPr>
                  </w:pPr>
                  <w:r>
                    <w:rPr>
                      <w:rFonts w:hint="default"/>
                      <w:color w:val="auto"/>
                    </w:rPr>
                    <w:t>69.6</w:t>
                  </w:r>
                </w:p>
              </w:tc>
              <w:tc>
                <w:tcPr>
                  <w:tcW w:w="705" w:type="dxa"/>
                  <w:noWrap w:val="0"/>
                  <w:vAlign w:val="center"/>
                </w:tcPr>
                <w:p>
                  <w:pPr>
                    <w:pStyle w:val="19"/>
                    <w:bidi w:val="0"/>
                    <w:rPr>
                      <w:rFonts w:hint="default"/>
                      <w:color w:val="auto"/>
                    </w:rPr>
                  </w:pPr>
                  <w:r>
                    <w:rPr>
                      <w:rFonts w:hint="default"/>
                      <w:color w:val="auto"/>
                    </w:rPr>
                    <w:t>66.1</w:t>
                  </w:r>
                </w:p>
              </w:tc>
              <w:tc>
                <w:tcPr>
                  <w:tcW w:w="698" w:type="dxa"/>
                  <w:noWrap w:val="0"/>
                  <w:vAlign w:val="center"/>
                </w:tcPr>
                <w:p>
                  <w:pPr>
                    <w:pStyle w:val="19"/>
                    <w:bidi w:val="0"/>
                    <w:rPr>
                      <w:rFonts w:hint="default"/>
                      <w:color w:val="auto"/>
                    </w:rPr>
                  </w:pPr>
                  <w:r>
                    <w:rPr>
                      <w:rFonts w:hint="default"/>
                      <w:color w:val="auto"/>
                    </w:rPr>
                    <w:t>63.6</w:t>
                  </w:r>
                </w:p>
              </w:tc>
              <w:tc>
                <w:tcPr>
                  <w:tcW w:w="1148" w:type="dxa"/>
                  <w:vMerge w:val="restart"/>
                  <w:noWrap w:val="0"/>
                  <w:vAlign w:val="center"/>
                </w:tcPr>
                <w:p>
                  <w:pPr>
                    <w:pStyle w:val="19"/>
                    <w:bidi w:val="0"/>
                    <w:rPr>
                      <w:rFonts w:hint="default"/>
                      <w:color w:val="auto"/>
                    </w:rPr>
                  </w:pPr>
                  <w:r>
                    <w:rPr>
                      <w:rFonts w:hint="default"/>
                      <w:color w:val="auto"/>
                    </w:rPr>
                    <w:t>昼间：70</w:t>
                  </w:r>
                </w:p>
                <w:p>
                  <w:pPr>
                    <w:pStyle w:val="19"/>
                    <w:bidi w:val="0"/>
                    <w:rPr>
                      <w:rFonts w:hint="default"/>
                      <w:color w:val="auto"/>
                    </w:rPr>
                  </w:pPr>
                  <w:r>
                    <w:rPr>
                      <w:rFonts w:hint="default"/>
                      <w:color w:val="auto"/>
                    </w:rPr>
                    <w:t>夜间：55</w:t>
                  </w:r>
                </w:p>
              </w:tc>
              <w:tc>
                <w:tcPr>
                  <w:tcW w:w="1245" w:type="dxa"/>
                  <w:vMerge w:val="restart"/>
                  <w:noWrap w:val="0"/>
                  <w:vAlign w:val="center"/>
                </w:tcPr>
                <w:p>
                  <w:pPr>
                    <w:pStyle w:val="19"/>
                    <w:bidi w:val="0"/>
                    <w:rPr>
                      <w:rFonts w:hint="default"/>
                      <w:color w:val="auto"/>
                    </w:rPr>
                  </w:pPr>
                  <w:r>
                    <w:rPr>
                      <w:rFonts w:hint="default"/>
                      <w:color w:val="auto"/>
                    </w:rPr>
                    <w:t>昼间：60</w:t>
                  </w:r>
                </w:p>
                <w:p>
                  <w:pPr>
                    <w:pStyle w:val="19"/>
                    <w:bidi w:val="0"/>
                    <w:rPr>
                      <w:rFonts w:hint="default"/>
                      <w:color w:val="auto"/>
                    </w:rPr>
                  </w:pPr>
                  <w:r>
                    <w:rPr>
                      <w:rFonts w:hint="default"/>
                      <w:color w:val="auto"/>
                    </w:rPr>
                    <w:t>夜间：50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39" w:hRule="atLeast"/>
                <w:jc w:val="center"/>
              </w:trPr>
              <w:tc>
                <w:tcPr>
                  <w:tcW w:w="1018" w:type="dxa"/>
                  <w:noWrap w:val="0"/>
                  <w:vAlign w:val="center"/>
                </w:tcPr>
                <w:p>
                  <w:pPr>
                    <w:pStyle w:val="19"/>
                    <w:bidi w:val="0"/>
                    <w:rPr>
                      <w:rFonts w:hint="default"/>
                      <w:color w:val="auto"/>
                    </w:rPr>
                  </w:pPr>
                  <w:r>
                    <w:rPr>
                      <w:rFonts w:hint="default"/>
                      <w:color w:val="auto"/>
                    </w:rPr>
                    <w:t>基础工程</w:t>
                  </w:r>
                </w:p>
              </w:tc>
              <w:tc>
                <w:tcPr>
                  <w:tcW w:w="724" w:type="dxa"/>
                  <w:noWrap w:val="0"/>
                  <w:vAlign w:val="center"/>
                </w:tcPr>
                <w:p>
                  <w:pPr>
                    <w:pStyle w:val="19"/>
                    <w:bidi w:val="0"/>
                    <w:rPr>
                      <w:rFonts w:hint="default"/>
                      <w:color w:val="auto"/>
                    </w:rPr>
                  </w:pPr>
                  <w:r>
                    <w:rPr>
                      <w:rFonts w:hint="default"/>
                      <w:color w:val="auto"/>
                    </w:rPr>
                    <w:t>94.2</w:t>
                  </w:r>
                </w:p>
              </w:tc>
              <w:tc>
                <w:tcPr>
                  <w:tcW w:w="660" w:type="dxa"/>
                  <w:noWrap w:val="0"/>
                  <w:vAlign w:val="center"/>
                </w:tcPr>
                <w:p>
                  <w:pPr>
                    <w:pStyle w:val="19"/>
                    <w:bidi w:val="0"/>
                    <w:rPr>
                      <w:rFonts w:hint="default"/>
                      <w:color w:val="auto"/>
                    </w:rPr>
                  </w:pPr>
                  <w:r>
                    <w:rPr>
                      <w:rFonts w:hint="default"/>
                      <w:color w:val="auto"/>
                    </w:rPr>
                    <w:t>74.2</w:t>
                  </w:r>
                </w:p>
              </w:tc>
              <w:tc>
                <w:tcPr>
                  <w:tcW w:w="752" w:type="dxa"/>
                  <w:noWrap w:val="0"/>
                  <w:vAlign w:val="center"/>
                </w:tcPr>
                <w:p>
                  <w:pPr>
                    <w:pStyle w:val="19"/>
                    <w:bidi w:val="0"/>
                    <w:rPr>
                      <w:rFonts w:hint="default"/>
                      <w:color w:val="auto"/>
                    </w:rPr>
                  </w:pPr>
                  <w:r>
                    <w:rPr>
                      <w:rFonts w:hint="default"/>
                      <w:color w:val="auto"/>
                    </w:rPr>
                    <w:t>68.2</w:t>
                  </w:r>
                </w:p>
              </w:tc>
              <w:tc>
                <w:tcPr>
                  <w:tcW w:w="682" w:type="dxa"/>
                  <w:noWrap w:val="0"/>
                  <w:vAlign w:val="center"/>
                </w:tcPr>
                <w:p>
                  <w:pPr>
                    <w:pStyle w:val="19"/>
                    <w:bidi w:val="0"/>
                    <w:rPr>
                      <w:rFonts w:hint="default"/>
                      <w:color w:val="auto"/>
                    </w:rPr>
                  </w:pPr>
                  <w:r>
                    <w:rPr>
                      <w:rFonts w:hint="default"/>
                      <w:color w:val="auto"/>
                    </w:rPr>
                    <w:t>60.2</w:t>
                  </w:r>
                </w:p>
              </w:tc>
              <w:tc>
                <w:tcPr>
                  <w:tcW w:w="763" w:type="dxa"/>
                  <w:noWrap w:val="0"/>
                  <w:vAlign w:val="center"/>
                </w:tcPr>
                <w:p>
                  <w:pPr>
                    <w:pStyle w:val="19"/>
                    <w:bidi w:val="0"/>
                    <w:rPr>
                      <w:rFonts w:hint="default"/>
                      <w:color w:val="auto"/>
                    </w:rPr>
                  </w:pPr>
                  <w:r>
                    <w:rPr>
                      <w:rFonts w:hint="default"/>
                      <w:color w:val="auto"/>
                    </w:rPr>
                    <w:t>54.2</w:t>
                  </w:r>
                </w:p>
              </w:tc>
              <w:tc>
                <w:tcPr>
                  <w:tcW w:w="705" w:type="dxa"/>
                  <w:noWrap w:val="0"/>
                  <w:vAlign w:val="center"/>
                </w:tcPr>
                <w:p>
                  <w:pPr>
                    <w:pStyle w:val="19"/>
                    <w:bidi w:val="0"/>
                    <w:rPr>
                      <w:rFonts w:hint="default"/>
                      <w:color w:val="auto"/>
                    </w:rPr>
                  </w:pPr>
                  <w:r>
                    <w:rPr>
                      <w:rFonts w:hint="default"/>
                      <w:color w:val="auto"/>
                    </w:rPr>
                    <w:t>50.7</w:t>
                  </w:r>
                </w:p>
              </w:tc>
              <w:tc>
                <w:tcPr>
                  <w:tcW w:w="698" w:type="dxa"/>
                  <w:noWrap w:val="0"/>
                  <w:vAlign w:val="center"/>
                </w:tcPr>
                <w:p>
                  <w:pPr>
                    <w:pStyle w:val="19"/>
                    <w:bidi w:val="0"/>
                    <w:rPr>
                      <w:rFonts w:hint="default"/>
                      <w:color w:val="auto"/>
                    </w:rPr>
                  </w:pPr>
                  <w:r>
                    <w:rPr>
                      <w:rFonts w:hint="default"/>
                      <w:color w:val="auto"/>
                    </w:rPr>
                    <w:t>48.2</w:t>
                  </w:r>
                </w:p>
              </w:tc>
              <w:tc>
                <w:tcPr>
                  <w:tcW w:w="1148" w:type="dxa"/>
                  <w:vMerge w:val="continue"/>
                  <w:tcBorders>
                    <w:top w:val="nil"/>
                  </w:tcBorders>
                  <w:noWrap w:val="0"/>
                  <w:vAlign w:val="top"/>
                </w:tcPr>
                <w:p>
                  <w:pPr>
                    <w:keepNext w:val="0"/>
                    <w:keepLines w:val="0"/>
                    <w:pageBreakBefore w:val="0"/>
                    <w:widowControl w:val="0"/>
                    <w:suppressLineNumbers w:val="0"/>
                    <w:kinsoku/>
                    <w:overflowPunct/>
                    <w:topLinePunct w:val="0"/>
                    <w:autoSpaceDE w:val="0"/>
                    <w:autoSpaceDN w:val="0"/>
                    <w:bidi w:val="0"/>
                    <w:adjustRightInd/>
                    <w:snapToGrid/>
                    <w:spacing w:before="0" w:beforeAutospacing="0" w:afterAutospacing="0" w:line="240" w:lineRule="auto"/>
                    <w:ind w:left="0" w:right="0" w:firstLine="0"/>
                    <w:textAlignment w:val="auto"/>
                    <w:rPr>
                      <w:rFonts w:hint="default" w:ascii="Times New Roman" w:hAnsi="Times New Roman" w:cs="Times New Roman"/>
                      <w:color w:val="auto"/>
                    </w:rPr>
                  </w:pPr>
                </w:p>
              </w:tc>
              <w:tc>
                <w:tcPr>
                  <w:tcW w:w="1245" w:type="dxa"/>
                  <w:vMerge w:val="continue"/>
                  <w:tcBorders>
                    <w:top w:val="nil"/>
                  </w:tcBorders>
                  <w:noWrap w:val="0"/>
                  <w:vAlign w:val="top"/>
                </w:tcPr>
                <w:p>
                  <w:pPr>
                    <w:keepNext w:val="0"/>
                    <w:keepLines w:val="0"/>
                    <w:pageBreakBefore w:val="0"/>
                    <w:widowControl w:val="0"/>
                    <w:suppressLineNumbers w:val="0"/>
                    <w:kinsoku/>
                    <w:overflowPunct/>
                    <w:topLinePunct w:val="0"/>
                    <w:autoSpaceDE w:val="0"/>
                    <w:autoSpaceDN w:val="0"/>
                    <w:bidi w:val="0"/>
                    <w:adjustRightInd/>
                    <w:snapToGrid/>
                    <w:spacing w:before="0" w:beforeAutospacing="0" w:afterAutospacing="0" w:line="240" w:lineRule="auto"/>
                    <w:ind w:left="0" w:right="0" w:firstLine="0"/>
                    <w:textAlignment w:val="auto"/>
                    <w:rPr>
                      <w:rFonts w:hint="default" w:ascii="Times New Roman" w:hAnsi="Times New Roman" w:cs="Times New Roman"/>
                      <w:color w:val="auto"/>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2" w:hRule="atLeast"/>
                <w:jc w:val="center"/>
              </w:trPr>
              <w:tc>
                <w:tcPr>
                  <w:tcW w:w="1018" w:type="dxa"/>
                  <w:noWrap w:val="0"/>
                  <w:vAlign w:val="center"/>
                </w:tcPr>
                <w:p>
                  <w:pPr>
                    <w:pStyle w:val="19"/>
                    <w:bidi w:val="0"/>
                    <w:rPr>
                      <w:rFonts w:hint="default"/>
                      <w:color w:val="auto"/>
                    </w:rPr>
                  </w:pPr>
                  <w:r>
                    <w:rPr>
                      <w:rFonts w:hint="default"/>
                      <w:color w:val="auto"/>
                    </w:rPr>
                    <w:t>结构工程</w:t>
                  </w:r>
                </w:p>
              </w:tc>
              <w:tc>
                <w:tcPr>
                  <w:tcW w:w="724" w:type="dxa"/>
                  <w:noWrap w:val="0"/>
                  <w:vAlign w:val="center"/>
                </w:tcPr>
                <w:p>
                  <w:pPr>
                    <w:pStyle w:val="19"/>
                    <w:bidi w:val="0"/>
                    <w:rPr>
                      <w:rFonts w:hint="default"/>
                      <w:color w:val="auto"/>
                    </w:rPr>
                  </w:pPr>
                  <w:r>
                    <w:rPr>
                      <w:rFonts w:hint="default"/>
                      <w:color w:val="auto"/>
                    </w:rPr>
                    <w:t>104.7</w:t>
                  </w:r>
                </w:p>
              </w:tc>
              <w:tc>
                <w:tcPr>
                  <w:tcW w:w="660" w:type="dxa"/>
                  <w:noWrap w:val="0"/>
                  <w:vAlign w:val="center"/>
                </w:tcPr>
                <w:p>
                  <w:pPr>
                    <w:pStyle w:val="19"/>
                    <w:bidi w:val="0"/>
                    <w:rPr>
                      <w:rFonts w:hint="default"/>
                      <w:color w:val="auto"/>
                    </w:rPr>
                  </w:pPr>
                  <w:r>
                    <w:rPr>
                      <w:rFonts w:hint="default"/>
                      <w:color w:val="auto"/>
                    </w:rPr>
                    <w:t>84.8</w:t>
                  </w:r>
                </w:p>
              </w:tc>
              <w:tc>
                <w:tcPr>
                  <w:tcW w:w="752" w:type="dxa"/>
                  <w:noWrap w:val="0"/>
                  <w:vAlign w:val="center"/>
                </w:tcPr>
                <w:p>
                  <w:pPr>
                    <w:pStyle w:val="19"/>
                    <w:bidi w:val="0"/>
                    <w:rPr>
                      <w:rFonts w:hint="default"/>
                      <w:color w:val="auto"/>
                    </w:rPr>
                  </w:pPr>
                  <w:r>
                    <w:rPr>
                      <w:rFonts w:hint="default"/>
                      <w:color w:val="auto"/>
                    </w:rPr>
                    <w:t>78.7</w:t>
                  </w:r>
                </w:p>
              </w:tc>
              <w:tc>
                <w:tcPr>
                  <w:tcW w:w="682" w:type="dxa"/>
                  <w:noWrap w:val="0"/>
                  <w:vAlign w:val="center"/>
                </w:tcPr>
                <w:p>
                  <w:pPr>
                    <w:pStyle w:val="19"/>
                    <w:bidi w:val="0"/>
                    <w:rPr>
                      <w:rFonts w:hint="default"/>
                      <w:color w:val="auto"/>
                    </w:rPr>
                  </w:pPr>
                  <w:r>
                    <w:rPr>
                      <w:rFonts w:hint="default"/>
                      <w:color w:val="auto"/>
                    </w:rPr>
                    <w:t>70.8</w:t>
                  </w:r>
                </w:p>
              </w:tc>
              <w:tc>
                <w:tcPr>
                  <w:tcW w:w="763" w:type="dxa"/>
                  <w:noWrap w:val="0"/>
                  <w:vAlign w:val="center"/>
                </w:tcPr>
                <w:p>
                  <w:pPr>
                    <w:pStyle w:val="19"/>
                    <w:bidi w:val="0"/>
                    <w:rPr>
                      <w:rFonts w:hint="default"/>
                      <w:color w:val="auto"/>
                    </w:rPr>
                  </w:pPr>
                  <w:r>
                    <w:rPr>
                      <w:rFonts w:hint="default"/>
                      <w:color w:val="auto"/>
                    </w:rPr>
                    <w:t>64.8</w:t>
                  </w:r>
                </w:p>
              </w:tc>
              <w:tc>
                <w:tcPr>
                  <w:tcW w:w="705" w:type="dxa"/>
                  <w:noWrap w:val="0"/>
                  <w:vAlign w:val="center"/>
                </w:tcPr>
                <w:p>
                  <w:pPr>
                    <w:pStyle w:val="19"/>
                    <w:bidi w:val="0"/>
                    <w:rPr>
                      <w:rFonts w:hint="default"/>
                      <w:color w:val="auto"/>
                    </w:rPr>
                  </w:pPr>
                  <w:r>
                    <w:rPr>
                      <w:rFonts w:hint="default"/>
                      <w:color w:val="auto"/>
                    </w:rPr>
                    <w:t>61.2</w:t>
                  </w:r>
                </w:p>
              </w:tc>
              <w:tc>
                <w:tcPr>
                  <w:tcW w:w="698" w:type="dxa"/>
                  <w:noWrap w:val="0"/>
                  <w:vAlign w:val="center"/>
                </w:tcPr>
                <w:p>
                  <w:pPr>
                    <w:pStyle w:val="19"/>
                    <w:bidi w:val="0"/>
                    <w:rPr>
                      <w:rFonts w:hint="default"/>
                      <w:color w:val="auto"/>
                    </w:rPr>
                  </w:pPr>
                  <w:r>
                    <w:rPr>
                      <w:rFonts w:hint="default"/>
                      <w:color w:val="auto"/>
                    </w:rPr>
                    <w:t>58.7</w:t>
                  </w:r>
                </w:p>
              </w:tc>
              <w:tc>
                <w:tcPr>
                  <w:tcW w:w="1148" w:type="dxa"/>
                  <w:vMerge w:val="continue"/>
                  <w:tcBorders>
                    <w:top w:val="nil"/>
                  </w:tcBorders>
                  <w:noWrap w:val="0"/>
                  <w:vAlign w:val="top"/>
                </w:tcPr>
                <w:p>
                  <w:pPr>
                    <w:keepNext w:val="0"/>
                    <w:keepLines w:val="0"/>
                    <w:pageBreakBefore w:val="0"/>
                    <w:widowControl w:val="0"/>
                    <w:suppressLineNumbers w:val="0"/>
                    <w:kinsoku/>
                    <w:overflowPunct/>
                    <w:topLinePunct w:val="0"/>
                    <w:autoSpaceDE w:val="0"/>
                    <w:autoSpaceDN w:val="0"/>
                    <w:bidi w:val="0"/>
                    <w:adjustRightInd/>
                    <w:snapToGrid/>
                    <w:spacing w:before="0" w:beforeAutospacing="0" w:afterAutospacing="0" w:line="240" w:lineRule="auto"/>
                    <w:ind w:left="0" w:right="0" w:firstLine="0"/>
                    <w:textAlignment w:val="auto"/>
                    <w:rPr>
                      <w:rFonts w:hint="default" w:ascii="Times New Roman" w:hAnsi="Times New Roman" w:cs="Times New Roman"/>
                      <w:color w:val="auto"/>
                    </w:rPr>
                  </w:pPr>
                </w:p>
              </w:tc>
              <w:tc>
                <w:tcPr>
                  <w:tcW w:w="1245" w:type="dxa"/>
                  <w:vMerge w:val="continue"/>
                  <w:tcBorders>
                    <w:top w:val="nil"/>
                  </w:tcBorders>
                  <w:noWrap w:val="0"/>
                  <w:vAlign w:val="top"/>
                </w:tcPr>
                <w:p>
                  <w:pPr>
                    <w:keepNext w:val="0"/>
                    <w:keepLines w:val="0"/>
                    <w:pageBreakBefore w:val="0"/>
                    <w:widowControl w:val="0"/>
                    <w:suppressLineNumbers w:val="0"/>
                    <w:kinsoku/>
                    <w:overflowPunct/>
                    <w:topLinePunct w:val="0"/>
                    <w:autoSpaceDE w:val="0"/>
                    <w:autoSpaceDN w:val="0"/>
                    <w:bidi w:val="0"/>
                    <w:adjustRightInd/>
                    <w:snapToGrid/>
                    <w:spacing w:before="0" w:beforeAutospacing="0" w:afterAutospacing="0" w:line="240" w:lineRule="auto"/>
                    <w:ind w:left="0" w:right="0" w:firstLine="0"/>
                    <w:textAlignment w:val="auto"/>
                    <w:rPr>
                      <w:rFonts w:hint="default" w:ascii="Times New Roman" w:hAnsi="Times New Roman" w:cs="Times New Roman"/>
                      <w:color w:val="auto"/>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54" w:hRule="atLeast"/>
                <w:jc w:val="center"/>
              </w:trPr>
              <w:tc>
                <w:tcPr>
                  <w:tcW w:w="1018" w:type="dxa"/>
                  <w:noWrap w:val="0"/>
                  <w:vAlign w:val="center"/>
                </w:tcPr>
                <w:p>
                  <w:pPr>
                    <w:pStyle w:val="19"/>
                    <w:bidi w:val="0"/>
                    <w:rPr>
                      <w:rFonts w:hint="default"/>
                      <w:color w:val="auto"/>
                    </w:rPr>
                  </w:pPr>
                  <w:r>
                    <w:rPr>
                      <w:rFonts w:hint="default"/>
                      <w:color w:val="auto"/>
                    </w:rPr>
                    <w:t>装修工程</w:t>
                  </w:r>
                </w:p>
              </w:tc>
              <w:tc>
                <w:tcPr>
                  <w:tcW w:w="724" w:type="dxa"/>
                  <w:noWrap w:val="0"/>
                  <w:vAlign w:val="center"/>
                </w:tcPr>
                <w:p>
                  <w:pPr>
                    <w:pStyle w:val="19"/>
                    <w:bidi w:val="0"/>
                    <w:rPr>
                      <w:rFonts w:hint="default"/>
                      <w:color w:val="auto"/>
                    </w:rPr>
                  </w:pPr>
                  <w:r>
                    <w:rPr>
                      <w:rFonts w:hint="default"/>
                      <w:color w:val="auto"/>
                    </w:rPr>
                    <w:t>89.6</w:t>
                  </w:r>
                </w:p>
              </w:tc>
              <w:tc>
                <w:tcPr>
                  <w:tcW w:w="660" w:type="dxa"/>
                  <w:noWrap w:val="0"/>
                  <w:vAlign w:val="center"/>
                </w:tcPr>
                <w:p>
                  <w:pPr>
                    <w:pStyle w:val="19"/>
                    <w:bidi w:val="0"/>
                    <w:rPr>
                      <w:rFonts w:hint="default"/>
                      <w:color w:val="auto"/>
                    </w:rPr>
                  </w:pPr>
                  <w:r>
                    <w:rPr>
                      <w:rFonts w:hint="default"/>
                      <w:color w:val="auto"/>
                    </w:rPr>
                    <w:t>69.6</w:t>
                  </w:r>
                </w:p>
              </w:tc>
              <w:tc>
                <w:tcPr>
                  <w:tcW w:w="752" w:type="dxa"/>
                  <w:noWrap w:val="0"/>
                  <w:vAlign w:val="center"/>
                </w:tcPr>
                <w:p>
                  <w:pPr>
                    <w:pStyle w:val="19"/>
                    <w:bidi w:val="0"/>
                    <w:rPr>
                      <w:rFonts w:hint="default"/>
                      <w:color w:val="auto"/>
                    </w:rPr>
                  </w:pPr>
                  <w:r>
                    <w:rPr>
                      <w:rFonts w:hint="default"/>
                      <w:color w:val="auto"/>
                    </w:rPr>
                    <w:t>63.6</w:t>
                  </w:r>
                </w:p>
              </w:tc>
              <w:tc>
                <w:tcPr>
                  <w:tcW w:w="682" w:type="dxa"/>
                  <w:noWrap w:val="0"/>
                  <w:vAlign w:val="center"/>
                </w:tcPr>
                <w:p>
                  <w:pPr>
                    <w:pStyle w:val="19"/>
                    <w:bidi w:val="0"/>
                    <w:rPr>
                      <w:rFonts w:hint="default"/>
                      <w:color w:val="auto"/>
                    </w:rPr>
                  </w:pPr>
                  <w:r>
                    <w:rPr>
                      <w:rFonts w:hint="default"/>
                      <w:color w:val="auto"/>
                    </w:rPr>
                    <w:t>55.6</w:t>
                  </w:r>
                </w:p>
              </w:tc>
              <w:tc>
                <w:tcPr>
                  <w:tcW w:w="763" w:type="dxa"/>
                  <w:noWrap w:val="0"/>
                  <w:vAlign w:val="center"/>
                </w:tcPr>
                <w:p>
                  <w:pPr>
                    <w:pStyle w:val="19"/>
                    <w:bidi w:val="0"/>
                    <w:rPr>
                      <w:rFonts w:hint="default"/>
                      <w:color w:val="auto"/>
                    </w:rPr>
                  </w:pPr>
                  <w:r>
                    <w:rPr>
                      <w:rFonts w:hint="default"/>
                      <w:color w:val="auto"/>
                    </w:rPr>
                    <w:t>49.6</w:t>
                  </w:r>
                </w:p>
              </w:tc>
              <w:tc>
                <w:tcPr>
                  <w:tcW w:w="705" w:type="dxa"/>
                  <w:noWrap w:val="0"/>
                  <w:vAlign w:val="center"/>
                </w:tcPr>
                <w:p>
                  <w:pPr>
                    <w:pStyle w:val="19"/>
                    <w:bidi w:val="0"/>
                    <w:rPr>
                      <w:rFonts w:hint="default"/>
                      <w:color w:val="auto"/>
                    </w:rPr>
                  </w:pPr>
                  <w:r>
                    <w:rPr>
                      <w:rFonts w:hint="default"/>
                      <w:color w:val="auto"/>
                    </w:rPr>
                    <w:t>46.1</w:t>
                  </w:r>
                </w:p>
              </w:tc>
              <w:tc>
                <w:tcPr>
                  <w:tcW w:w="698" w:type="dxa"/>
                  <w:noWrap w:val="0"/>
                  <w:vAlign w:val="center"/>
                </w:tcPr>
                <w:p>
                  <w:pPr>
                    <w:pStyle w:val="19"/>
                    <w:bidi w:val="0"/>
                    <w:rPr>
                      <w:rFonts w:hint="default"/>
                      <w:color w:val="auto"/>
                    </w:rPr>
                  </w:pPr>
                  <w:r>
                    <w:rPr>
                      <w:rFonts w:hint="default"/>
                      <w:color w:val="auto"/>
                    </w:rPr>
                    <w:t>43.6</w:t>
                  </w:r>
                </w:p>
              </w:tc>
              <w:tc>
                <w:tcPr>
                  <w:tcW w:w="1148" w:type="dxa"/>
                  <w:vMerge w:val="continue"/>
                  <w:tcBorders>
                    <w:top w:val="nil"/>
                  </w:tcBorders>
                  <w:noWrap w:val="0"/>
                  <w:vAlign w:val="top"/>
                </w:tcPr>
                <w:p>
                  <w:pPr>
                    <w:keepNext w:val="0"/>
                    <w:keepLines w:val="0"/>
                    <w:pageBreakBefore w:val="0"/>
                    <w:widowControl w:val="0"/>
                    <w:suppressLineNumbers w:val="0"/>
                    <w:kinsoku/>
                    <w:overflowPunct/>
                    <w:topLinePunct w:val="0"/>
                    <w:autoSpaceDE w:val="0"/>
                    <w:autoSpaceDN w:val="0"/>
                    <w:bidi w:val="0"/>
                    <w:adjustRightInd/>
                    <w:snapToGrid/>
                    <w:spacing w:before="0" w:beforeAutospacing="0" w:afterAutospacing="0" w:line="240" w:lineRule="auto"/>
                    <w:ind w:left="0" w:right="0" w:firstLine="0"/>
                    <w:textAlignment w:val="auto"/>
                    <w:rPr>
                      <w:rFonts w:hint="default" w:ascii="Times New Roman" w:hAnsi="Times New Roman" w:cs="Times New Roman"/>
                      <w:color w:val="auto"/>
                    </w:rPr>
                  </w:pPr>
                </w:p>
              </w:tc>
              <w:tc>
                <w:tcPr>
                  <w:tcW w:w="1245" w:type="dxa"/>
                  <w:vMerge w:val="continue"/>
                  <w:tcBorders>
                    <w:top w:val="nil"/>
                  </w:tcBorders>
                  <w:noWrap w:val="0"/>
                  <w:vAlign w:val="top"/>
                </w:tcPr>
                <w:p>
                  <w:pPr>
                    <w:keepNext w:val="0"/>
                    <w:keepLines w:val="0"/>
                    <w:pageBreakBefore w:val="0"/>
                    <w:widowControl w:val="0"/>
                    <w:suppressLineNumbers w:val="0"/>
                    <w:kinsoku/>
                    <w:overflowPunct/>
                    <w:topLinePunct w:val="0"/>
                    <w:autoSpaceDE w:val="0"/>
                    <w:autoSpaceDN w:val="0"/>
                    <w:bidi w:val="0"/>
                    <w:adjustRightInd/>
                    <w:snapToGrid/>
                    <w:spacing w:before="0" w:beforeAutospacing="0" w:afterAutospacing="0" w:line="240" w:lineRule="auto"/>
                    <w:ind w:left="0" w:right="0" w:firstLine="0"/>
                    <w:textAlignment w:val="auto"/>
                    <w:rPr>
                      <w:rFonts w:hint="default" w:ascii="Times New Roman" w:hAnsi="Times New Roman" w:cs="Times New Roman"/>
                      <w:color w:val="auto"/>
                    </w:rPr>
                  </w:pPr>
                </w:p>
              </w:tc>
            </w:tr>
          </w:tbl>
          <w:p>
            <w:pPr>
              <w:bidi w:val="0"/>
              <w:ind w:left="0" w:leftChars="0" w:firstLine="480" w:firstLineChars="200"/>
              <w:rPr>
                <w:rFonts w:hint="eastAsia"/>
                <w:color w:val="auto"/>
                <w:lang w:val="en-US" w:eastAsia="zh-CN"/>
              </w:rPr>
            </w:pPr>
            <w:r>
              <w:rPr>
                <w:rFonts w:hint="default" w:ascii="Times New Roman" w:hAnsi="Times New Roman" w:cs="Times New Roman"/>
                <w:color w:val="auto"/>
              </w:rPr>
              <w:t>预测结果表明，在建筑施工的不同阶段如果不采取任何噪声控制措施</w:t>
            </w:r>
            <w:r>
              <w:rPr>
                <w:rFonts w:hint="eastAsia" w:cs="Times New Roman"/>
                <w:color w:val="auto"/>
                <w:lang w:eastAsia="zh-CN"/>
              </w:rPr>
              <w:t>，</w:t>
            </w:r>
            <w:r>
              <w:rPr>
                <w:rFonts w:hint="default"/>
                <w:color w:val="auto"/>
              </w:rPr>
              <w:t>施工场界噪声均不能满足《建筑施工场界环境噪声排放标准》（GB12523-2011）的要</w:t>
            </w:r>
            <w:r>
              <w:rPr>
                <w:rFonts w:hint="eastAsia"/>
                <w:color w:val="auto"/>
                <w:lang w:val="en-US" w:eastAsia="zh-CN"/>
              </w:rPr>
              <w:t>求。</w:t>
            </w:r>
          </w:p>
          <w:p>
            <w:pPr>
              <w:bidi w:val="0"/>
              <w:ind w:left="0" w:leftChars="0" w:firstLine="0" w:firstLineChars="0"/>
              <w:rPr>
                <w:rFonts w:hint="eastAsia"/>
                <w:color w:val="auto"/>
                <w:lang w:val="en-US" w:eastAsia="zh-CN"/>
              </w:rPr>
            </w:pPr>
            <w:r>
              <w:rPr>
                <w:rFonts w:hint="eastAsia"/>
                <w:b/>
                <w:bCs/>
                <w:color w:val="auto"/>
                <w:lang w:val="en-US" w:eastAsia="zh-CN"/>
              </w:rPr>
              <w:t>4、固体废物环境影响分析</w:t>
            </w:r>
          </w:p>
          <w:p>
            <w:pPr>
              <w:bidi w:val="0"/>
              <w:rPr>
                <w:rFonts w:hint="default"/>
                <w:lang w:val="en-US" w:eastAsia="zh-CN"/>
              </w:rPr>
            </w:pPr>
            <w:r>
              <w:rPr>
                <w:rFonts w:hint="default"/>
                <w:color w:val="auto"/>
                <w:lang w:val="en-US" w:eastAsia="zh-CN"/>
              </w:rPr>
              <w:t>根据建设方提供的设计方案，项目基坑开挖的土方全部用于回填，不需要外运处置。项目固体废物主要来自施工阶段产生的建筑垃</w:t>
            </w:r>
            <w:r>
              <w:rPr>
                <w:rFonts w:hint="default"/>
                <w:lang w:val="en-US" w:eastAsia="zh-CN"/>
              </w:rPr>
              <w:t>圾、施工人员生活垃圾。</w:t>
            </w:r>
          </w:p>
          <w:p>
            <w:pPr>
              <w:bidi w:val="0"/>
              <w:rPr>
                <w:rFonts w:hint="default"/>
                <w:b w:val="0"/>
                <w:bCs w:val="0"/>
                <w:lang w:val="en-US" w:eastAsia="zh-CN"/>
              </w:rPr>
            </w:pPr>
            <w:r>
              <w:rPr>
                <w:rFonts w:hint="default"/>
                <w:b w:val="0"/>
                <w:bCs w:val="0"/>
                <w:lang w:val="en-US" w:eastAsia="zh-CN"/>
              </w:rPr>
              <w:t>（1）施工期各种类型的建筑垃圾</w:t>
            </w:r>
          </w:p>
          <w:p>
            <w:pPr>
              <w:bidi w:val="0"/>
              <w:rPr>
                <w:rFonts w:hint="default"/>
                <w:lang w:val="en-US" w:eastAsia="zh-CN"/>
              </w:rPr>
            </w:pPr>
            <w:r>
              <w:rPr>
                <w:rFonts w:hint="default"/>
                <w:lang w:val="en-US" w:eastAsia="zh-CN"/>
              </w:rPr>
              <w:t>施工期产生的建筑废物主要成分有土、渣土、废钢筋、废铁丝和各种废钢配件、金属管线废料、废竹木、木屑、刨花、各种装饰材料的包装箱、包装袋、散落的砂浆和混凝土、碎砖和碎混凝土块、搬运过程中散落的黄砂、石子和块石等。</w:t>
            </w:r>
          </w:p>
          <w:p>
            <w:pPr>
              <w:bidi w:val="0"/>
              <w:rPr>
                <w:rFonts w:hint="default"/>
                <w:lang w:val="en-US" w:eastAsia="zh-CN"/>
              </w:rPr>
            </w:pPr>
            <w:r>
              <w:rPr>
                <w:rFonts w:hint="default"/>
                <w:lang w:val="en-US" w:eastAsia="zh-CN"/>
              </w:rPr>
              <w:t>采用建筑面积发展预测建筑废物的产生量：</w:t>
            </w:r>
          </w:p>
          <w:p>
            <w:pPr>
              <w:bidi w:val="0"/>
              <w:rPr>
                <w:rFonts w:hint="default"/>
                <w:lang w:val="en-US" w:eastAsia="zh-CN"/>
              </w:rPr>
            </w:pPr>
            <w:r>
              <w:rPr>
                <w:rFonts w:hint="default"/>
                <w:lang w:val="en-US" w:eastAsia="zh-CN"/>
              </w:rPr>
              <w:t>J</w:t>
            </w:r>
            <w:r>
              <w:rPr>
                <w:rFonts w:hint="default"/>
                <w:vertAlign w:val="subscript"/>
                <w:lang w:val="en-US" w:eastAsia="zh-CN"/>
              </w:rPr>
              <w:t>S</w:t>
            </w:r>
            <w:r>
              <w:rPr>
                <w:rFonts w:hint="eastAsia"/>
                <w:vertAlign w:val="subscript"/>
                <w:lang w:val="en-US" w:eastAsia="zh-CN"/>
              </w:rPr>
              <w:t xml:space="preserve"> </w:t>
            </w:r>
            <w:r>
              <w:rPr>
                <w:rFonts w:hint="default"/>
                <w:lang w:val="en-US" w:eastAsia="zh-CN"/>
              </w:rPr>
              <w:t>=</w:t>
            </w:r>
            <w:r>
              <w:rPr>
                <w:rFonts w:hint="eastAsia"/>
                <w:lang w:val="en-US" w:eastAsia="zh-CN"/>
              </w:rPr>
              <w:t xml:space="preserve"> </w:t>
            </w:r>
            <w:r>
              <w:rPr>
                <w:rFonts w:hint="default"/>
                <w:lang w:val="en-US" w:eastAsia="zh-CN"/>
              </w:rPr>
              <w:t>Q</w:t>
            </w:r>
            <w:r>
              <w:rPr>
                <w:rFonts w:hint="eastAsia"/>
                <w:lang w:val="en-US" w:eastAsia="zh-CN"/>
              </w:rPr>
              <w:t xml:space="preserve"> </w:t>
            </w:r>
            <w:r>
              <w:rPr>
                <w:rFonts w:hint="default"/>
                <w:vertAlign w:val="subscript"/>
                <w:lang w:val="en-US" w:eastAsia="zh-CN"/>
              </w:rPr>
              <w:t>S</w:t>
            </w:r>
            <w:r>
              <w:rPr>
                <w:rFonts w:hint="default" w:ascii="Arial" w:hAnsi="Arial" w:cs="Arial"/>
                <w:lang w:val="en-US" w:eastAsia="zh-CN"/>
              </w:rPr>
              <w:t>×</w:t>
            </w:r>
            <w:r>
              <w:rPr>
                <w:rFonts w:hint="eastAsia" w:ascii="Arial" w:hAnsi="Arial" w:cs="Arial"/>
                <w:lang w:val="en-US" w:eastAsia="zh-CN"/>
              </w:rPr>
              <w:t xml:space="preserve"> </w:t>
            </w:r>
            <w:r>
              <w:rPr>
                <w:rFonts w:hint="default"/>
                <w:lang w:val="en-US" w:eastAsia="zh-CN"/>
              </w:rPr>
              <w:t>C</w:t>
            </w:r>
            <w:r>
              <w:rPr>
                <w:rFonts w:hint="default"/>
                <w:vertAlign w:val="subscript"/>
                <w:lang w:val="en-US" w:eastAsia="zh-CN"/>
              </w:rPr>
              <w:t>S</w:t>
            </w:r>
          </w:p>
          <w:p>
            <w:pPr>
              <w:bidi w:val="0"/>
              <w:rPr>
                <w:rFonts w:hint="default"/>
                <w:sz w:val="21"/>
                <w:szCs w:val="21"/>
                <w:lang w:val="en-US" w:eastAsia="zh-CN"/>
              </w:rPr>
            </w:pPr>
            <w:r>
              <w:rPr>
                <w:rFonts w:hint="default"/>
                <w:lang w:val="en-US" w:eastAsia="zh-CN"/>
              </w:rPr>
              <w:t>式中：J</w:t>
            </w:r>
            <w:r>
              <w:rPr>
                <w:rFonts w:hint="default"/>
                <w:vertAlign w:val="subscript"/>
                <w:lang w:val="en-US" w:eastAsia="zh-CN"/>
              </w:rPr>
              <w:t>S</w:t>
            </w:r>
            <w:r>
              <w:rPr>
                <w:rFonts w:hint="default"/>
                <w:lang w:val="en-US" w:eastAsia="zh-CN"/>
              </w:rPr>
              <w:t>：建筑垃圾总产生量(t)</w:t>
            </w:r>
          </w:p>
          <w:p>
            <w:pPr>
              <w:bidi w:val="0"/>
              <w:rPr>
                <w:rFonts w:hint="default"/>
                <w:lang w:val="en-US" w:eastAsia="zh-CN"/>
              </w:rPr>
            </w:pPr>
            <w:r>
              <w:rPr>
                <w:rFonts w:hint="default"/>
                <w:lang w:val="en-US" w:eastAsia="zh-CN"/>
              </w:rPr>
              <w:t>Q</w:t>
            </w:r>
            <w:r>
              <w:rPr>
                <w:rFonts w:hint="default"/>
                <w:vertAlign w:val="subscript"/>
                <w:lang w:val="en-US" w:eastAsia="zh-CN"/>
              </w:rPr>
              <w:t>S</w:t>
            </w:r>
            <w:r>
              <w:rPr>
                <w:rFonts w:hint="eastAsia"/>
                <w:vertAlign w:val="subscript"/>
                <w:lang w:val="en-US" w:eastAsia="zh-CN"/>
              </w:rPr>
              <w:t xml:space="preserve"> </w:t>
            </w:r>
            <w:r>
              <w:rPr>
                <w:rFonts w:hint="default"/>
                <w:lang w:val="en-US" w:eastAsia="zh-CN"/>
              </w:rPr>
              <w:t>：总建筑面积(m</w:t>
            </w:r>
            <w:r>
              <w:rPr>
                <w:rFonts w:hint="default"/>
                <w:vertAlign w:val="superscript"/>
                <w:lang w:val="en-US" w:eastAsia="zh-CN"/>
              </w:rPr>
              <w:t>2</w:t>
            </w:r>
            <w:r>
              <w:rPr>
                <w:rFonts w:hint="default"/>
                <w:lang w:val="en-US" w:eastAsia="zh-CN"/>
              </w:rPr>
              <w:t>)，36087.91m</w:t>
            </w:r>
            <w:r>
              <w:rPr>
                <w:rFonts w:hint="default"/>
                <w:vertAlign w:val="superscript"/>
                <w:lang w:val="en-US" w:eastAsia="zh-CN"/>
              </w:rPr>
              <w:t>2</w:t>
            </w:r>
            <w:r>
              <w:rPr>
                <w:rFonts w:hint="default"/>
                <w:lang w:val="en-US" w:eastAsia="zh-CN"/>
              </w:rPr>
              <w:t>；</w:t>
            </w:r>
          </w:p>
          <w:p>
            <w:pPr>
              <w:bidi w:val="0"/>
              <w:rPr>
                <w:rFonts w:hint="default"/>
                <w:lang w:val="en-US" w:eastAsia="zh-CN"/>
              </w:rPr>
            </w:pPr>
            <w:r>
              <w:rPr>
                <w:rFonts w:hint="default"/>
                <w:lang w:val="en-US" w:eastAsia="zh-CN"/>
              </w:rPr>
              <w:t>C</w:t>
            </w:r>
            <w:r>
              <w:rPr>
                <w:rFonts w:hint="default"/>
                <w:vertAlign w:val="subscript"/>
                <w:lang w:val="en-US" w:eastAsia="zh-CN"/>
              </w:rPr>
              <w:t>S</w:t>
            </w:r>
            <w:r>
              <w:rPr>
                <w:rFonts w:hint="eastAsia"/>
                <w:vertAlign w:val="subscript"/>
                <w:lang w:val="en-US" w:eastAsia="zh-CN"/>
              </w:rPr>
              <w:t xml:space="preserve"> </w:t>
            </w:r>
            <w:r>
              <w:rPr>
                <w:rFonts w:hint="eastAsia"/>
                <w:lang w:val="en-US" w:eastAsia="zh-CN"/>
              </w:rPr>
              <w:t>：</w:t>
            </w:r>
            <w:r>
              <w:rPr>
                <w:rFonts w:hint="default"/>
                <w:lang w:val="en-US" w:eastAsia="zh-CN"/>
              </w:rPr>
              <w:t>平均每</w:t>
            </w:r>
            <w:r>
              <w:rPr>
                <w:rFonts w:hint="eastAsia"/>
                <w:lang w:val="en-US" w:eastAsia="zh-CN"/>
              </w:rPr>
              <w:t>平方米</w:t>
            </w:r>
            <w:r>
              <w:rPr>
                <w:rFonts w:hint="default"/>
                <w:lang w:val="en-US" w:eastAsia="zh-CN"/>
              </w:rPr>
              <w:t>建筑面积垃圾产生量，0.0</w:t>
            </w:r>
            <w:r>
              <w:rPr>
                <w:rFonts w:hint="eastAsia"/>
                <w:lang w:val="en-US" w:eastAsia="zh-CN"/>
              </w:rPr>
              <w:t>2</w:t>
            </w:r>
            <w:r>
              <w:rPr>
                <w:rFonts w:hint="default"/>
                <w:lang w:val="en-US" w:eastAsia="zh-CN"/>
              </w:rPr>
              <w:t>t/m</w:t>
            </w:r>
            <w:r>
              <w:rPr>
                <w:rFonts w:hint="default"/>
                <w:vertAlign w:val="superscript"/>
                <w:lang w:val="en-US" w:eastAsia="zh-CN"/>
              </w:rPr>
              <w:t>2</w:t>
            </w:r>
          </w:p>
          <w:p>
            <w:pPr>
              <w:bidi w:val="0"/>
              <w:rPr>
                <w:rFonts w:hint="default"/>
                <w:lang w:val="en-US" w:eastAsia="zh-CN"/>
              </w:rPr>
            </w:pPr>
            <w:r>
              <w:rPr>
                <w:rFonts w:hint="default"/>
                <w:lang w:val="en-US" w:eastAsia="zh-CN"/>
              </w:rPr>
              <w:t>根据上式计算所得该项目建筑垃圾总产生量约为</w:t>
            </w:r>
            <w:r>
              <w:rPr>
                <w:rFonts w:hint="eastAsia"/>
                <w:lang w:val="en-US" w:eastAsia="zh-CN"/>
              </w:rPr>
              <w:t>721.76</w:t>
            </w:r>
            <w:r>
              <w:rPr>
                <w:rFonts w:hint="default"/>
                <w:lang w:val="en-US" w:eastAsia="zh-CN"/>
              </w:rPr>
              <w:t>吨。</w:t>
            </w:r>
          </w:p>
          <w:p>
            <w:pPr>
              <w:bidi w:val="0"/>
              <w:rPr>
                <w:rFonts w:hint="default"/>
                <w:lang w:val="en-US" w:eastAsia="zh-CN"/>
              </w:rPr>
            </w:pPr>
            <w:r>
              <w:rPr>
                <w:rFonts w:hint="default"/>
                <w:lang w:val="en-US" w:eastAsia="zh-CN"/>
              </w:rPr>
              <w:t>建筑固废、弃土一般不会挥发产生废气污染，但衡阳市暴雨频率高、强度大，此类固废如不妥善处置、堆放，如遇暴雨冲刷极易引起水土流失，且会造成二次污染，一些建筑固废如废零件、容器表面可能含有石油类或其他化学物质，雨水冲刷会污染水体，固体废物乱堆乱放对环境的影响还表现在破坏景观，影响市容。</w:t>
            </w:r>
          </w:p>
          <w:p>
            <w:pPr>
              <w:bidi w:val="0"/>
              <w:rPr>
                <w:rFonts w:hint="default"/>
                <w:b w:val="0"/>
                <w:bCs w:val="0"/>
                <w:lang w:val="en-US" w:eastAsia="zh-CN"/>
              </w:rPr>
            </w:pPr>
            <w:r>
              <w:rPr>
                <w:rFonts w:hint="eastAsia"/>
                <w:b w:val="0"/>
                <w:bCs w:val="0"/>
                <w:lang w:val="en-US" w:eastAsia="zh-CN"/>
              </w:rPr>
              <w:t>（2）</w:t>
            </w:r>
            <w:r>
              <w:rPr>
                <w:rFonts w:hint="default"/>
                <w:b w:val="0"/>
                <w:bCs w:val="0"/>
                <w:lang w:val="en-US" w:eastAsia="zh-CN"/>
              </w:rPr>
              <w:t>施工人员产生的生活垃圾</w:t>
            </w:r>
          </w:p>
          <w:p>
            <w:pPr>
              <w:bidi w:val="0"/>
              <w:rPr>
                <w:rFonts w:hint="default"/>
                <w:lang w:val="en-US" w:eastAsia="zh-CN"/>
              </w:rPr>
            </w:pPr>
            <w:r>
              <w:rPr>
                <w:rFonts w:hint="default"/>
                <w:lang w:val="en-US" w:eastAsia="zh-CN"/>
              </w:rPr>
              <w:t>生活垃圾的主要成分有塑料饭盒和塑料袋、碎玻璃、废金属、果皮核屑等。采用人口发展预测：</w:t>
            </w:r>
          </w:p>
          <w:p>
            <w:pPr>
              <w:bidi w:val="0"/>
              <w:rPr>
                <w:rFonts w:hint="default"/>
                <w:lang w:val="en-US" w:eastAsia="zh-CN"/>
              </w:rPr>
            </w:pPr>
            <w:r>
              <w:rPr>
                <w:rFonts w:hint="default"/>
                <w:lang w:val="en-US" w:eastAsia="zh-CN"/>
              </w:rPr>
              <w:t>W</w:t>
            </w:r>
            <w:r>
              <w:rPr>
                <w:rFonts w:hint="default"/>
                <w:vertAlign w:val="subscript"/>
                <w:lang w:val="en-US" w:eastAsia="zh-CN"/>
              </w:rPr>
              <w:t>S</w:t>
            </w:r>
            <w:r>
              <w:rPr>
                <w:rFonts w:hint="default"/>
                <w:lang w:val="en-US" w:eastAsia="zh-CN"/>
              </w:rPr>
              <w:t>=</w:t>
            </w:r>
            <w:r>
              <w:rPr>
                <w:rFonts w:hint="eastAsia"/>
                <w:lang w:val="en-US" w:eastAsia="zh-CN"/>
              </w:rPr>
              <w:t xml:space="preserve"> </w:t>
            </w:r>
            <w:r>
              <w:rPr>
                <w:rFonts w:hint="default"/>
                <w:lang w:val="en-US" w:eastAsia="zh-CN"/>
              </w:rPr>
              <w:t>P</w:t>
            </w:r>
            <w:r>
              <w:rPr>
                <w:rFonts w:hint="default"/>
                <w:vertAlign w:val="subscript"/>
                <w:lang w:val="en-US" w:eastAsia="zh-CN"/>
              </w:rPr>
              <w:t>S</w:t>
            </w:r>
            <w:r>
              <w:rPr>
                <w:rFonts w:hint="eastAsia"/>
                <w:vertAlign w:val="subscript"/>
                <w:lang w:val="en-US" w:eastAsia="zh-CN"/>
              </w:rPr>
              <w:t xml:space="preserve"> </w:t>
            </w:r>
            <w:r>
              <w:rPr>
                <w:rFonts w:hint="default" w:ascii="Arial" w:hAnsi="Arial" w:cs="Arial"/>
                <w:lang w:val="en-US" w:eastAsia="zh-CN"/>
              </w:rPr>
              <w:t>×</w:t>
            </w:r>
            <w:r>
              <w:rPr>
                <w:rFonts w:hint="eastAsia" w:ascii="Arial" w:hAnsi="Arial" w:cs="Arial"/>
                <w:lang w:val="en-US" w:eastAsia="zh-CN"/>
              </w:rPr>
              <w:t xml:space="preserve"> </w:t>
            </w:r>
            <w:r>
              <w:rPr>
                <w:rFonts w:hint="default"/>
                <w:lang w:val="en-US" w:eastAsia="zh-CN"/>
              </w:rPr>
              <w:t>C</w:t>
            </w:r>
            <w:r>
              <w:rPr>
                <w:rFonts w:hint="default"/>
                <w:vertAlign w:val="subscript"/>
                <w:lang w:val="en-US" w:eastAsia="zh-CN"/>
              </w:rPr>
              <w:t>S</w:t>
            </w:r>
          </w:p>
          <w:p>
            <w:pPr>
              <w:bidi w:val="0"/>
              <w:rPr>
                <w:rFonts w:hint="default"/>
                <w:lang w:val="en-US" w:eastAsia="zh-CN"/>
              </w:rPr>
            </w:pPr>
            <w:r>
              <w:rPr>
                <w:rFonts w:hint="default"/>
                <w:lang w:val="en-US" w:eastAsia="zh-CN"/>
              </w:rPr>
              <w:t>式中：W</w:t>
            </w:r>
            <w:r>
              <w:rPr>
                <w:rFonts w:hint="default"/>
                <w:vertAlign w:val="subscript"/>
                <w:lang w:val="en-US" w:eastAsia="zh-CN"/>
              </w:rPr>
              <w:t>S</w:t>
            </w:r>
            <w:r>
              <w:rPr>
                <w:rFonts w:hint="default"/>
                <w:lang w:val="en-US" w:eastAsia="zh-CN"/>
              </w:rPr>
              <w:t>：生活垃圾产生量</w:t>
            </w:r>
            <w:r>
              <w:rPr>
                <w:rFonts w:hint="eastAsia"/>
                <w:lang w:val="en-US" w:eastAsia="zh-CN"/>
              </w:rPr>
              <w:t>（</w:t>
            </w:r>
            <w:r>
              <w:rPr>
                <w:rFonts w:hint="default"/>
                <w:lang w:val="en-US" w:eastAsia="zh-CN"/>
              </w:rPr>
              <w:t>kg/d</w:t>
            </w:r>
            <w:r>
              <w:rPr>
                <w:rFonts w:hint="eastAsia"/>
                <w:lang w:val="en-US" w:eastAsia="zh-CN"/>
              </w:rPr>
              <w:t>）</w:t>
            </w:r>
          </w:p>
          <w:p>
            <w:pPr>
              <w:bidi w:val="0"/>
              <w:rPr>
                <w:rFonts w:hint="default"/>
                <w:lang w:val="en-US" w:eastAsia="zh-CN"/>
              </w:rPr>
            </w:pPr>
            <w:r>
              <w:rPr>
                <w:rFonts w:hint="default"/>
                <w:lang w:val="en-US" w:eastAsia="zh-CN"/>
              </w:rPr>
              <w:t>P</w:t>
            </w:r>
            <w:r>
              <w:rPr>
                <w:rFonts w:hint="default"/>
                <w:vertAlign w:val="subscript"/>
                <w:lang w:val="en-US" w:eastAsia="zh-CN"/>
              </w:rPr>
              <w:t>S</w:t>
            </w:r>
            <w:r>
              <w:rPr>
                <w:rFonts w:hint="eastAsia"/>
                <w:vertAlign w:val="subscript"/>
                <w:lang w:val="en-US" w:eastAsia="zh-CN"/>
              </w:rPr>
              <w:t xml:space="preserve"> </w:t>
            </w:r>
            <w:r>
              <w:rPr>
                <w:rFonts w:hint="default"/>
                <w:lang w:val="en-US" w:eastAsia="zh-CN"/>
              </w:rPr>
              <w:t>：施工人员人数，200人；</w:t>
            </w:r>
          </w:p>
          <w:p>
            <w:pPr>
              <w:bidi w:val="0"/>
              <w:rPr>
                <w:rFonts w:hint="default"/>
                <w:lang w:val="en-US" w:eastAsia="zh-CN"/>
              </w:rPr>
            </w:pPr>
            <w:r>
              <w:rPr>
                <w:rFonts w:hint="default"/>
                <w:lang w:val="en-US" w:eastAsia="zh-CN"/>
              </w:rPr>
              <w:t>C</w:t>
            </w:r>
            <w:r>
              <w:rPr>
                <w:rFonts w:hint="default"/>
                <w:vertAlign w:val="subscript"/>
                <w:lang w:val="en-US" w:eastAsia="zh-CN"/>
              </w:rPr>
              <w:t>S</w:t>
            </w:r>
            <w:r>
              <w:rPr>
                <w:rFonts w:hint="eastAsia"/>
                <w:vertAlign w:val="subscript"/>
                <w:lang w:val="en-US" w:eastAsia="zh-CN"/>
              </w:rPr>
              <w:t xml:space="preserve"> </w:t>
            </w:r>
            <w:r>
              <w:rPr>
                <w:rFonts w:hint="default"/>
                <w:lang w:val="en-US" w:eastAsia="zh-CN"/>
              </w:rPr>
              <w:t>：人均生活垃圾产生量</w:t>
            </w:r>
            <w:r>
              <w:rPr>
                <w:rFonts w:hint="eastAsia"/>
                <w:lang w:val="en-US" w:eastAsia="zh-CN"/>
              </w:rPr>
              <w:t>（</w:t>
            </w:r>
            <w:r>
              <w:rPr>
                <w:rFonts w:hint="default"/>
                <w:lang w:val="en-US" w:eastAsia="zh-CN"/>
              </w:rPr>
              <w:t>0.5kg/d</w:t>
            </w:r>
            <w:r>
              <w:rPr>
                <w:rFonts w:hint="eastAsia"/>
                <w:lang w:val="en-US" w:eastAsia="zh-CN"/>
              </w:rPr>
              <w:t>·</w:t>
            </w:r>
            <w:r>
              <w:rPr>
                <w:rFonts w:hint="default"/>
                <w:lang w:val="en-US" w:eastAsia="zh-CN"/>
              </w:rPr>
              <w:t>人</w:t>
            </w:r>
            <w:r>
              <w:rPr>
                <w:rFonts w:hint="eastAsia"/>
                <w:lang w:val="en-US" w:eastAsia="zh-CN"/>
              </w:rPr>
              <w:t>）</w:t>
            </w:r>
          </w:p>
          <w:p>
            <w:pPr>
              <w:bidi w:val="0"/>
              <w:rPr>
                <w:rFonts w:hint="default"/>
                <w:lang w:val="en-US" w:eastAsia="zh-CN"/>
              </w:rPr>
            </w:pPr>
            <w:r>
              <w:rPr>
                <w:rFonts w:hint="default"/>
                <w:lang w:val="en-US" w:eastAsia="zh-CN"/>
              </w:rPr>
              <w:t>根据上式计算所得该项目生活垃圾产生量约为100kg/d，施工期间产生量</w:t>
            </w:r>
            <w:r>
              <w:rPr>
                <w:rFonts w:hint="eastAsia"/>
                <w:lang w:val="en-US" w:eastAsia="zh-CN"/>
              </w:rPr>
              <w:t>42.5</w:t>
            </w:r>
            <w:r>
              <w:rPr>
                <w:rFonts w:hint="default"/>
                <w:lang w:val="en-US" w:eastAsia="zh-CN"/>
              </w:rPr>
              <w:t>t</w:t>
            </w:r>
            <w:r>
              <w:rPr>
                <w:rFonts w:hint="eastAsia"/>
                <w:lang w:val="en-US" w:eastAsia="zh-CN"/>
              </w:rPr>
              <w:t>（</w:t>
            </w:r>
            <w:r>
              <w:rPr>
                <w:rFonts w:hint="default"/>
                <w:lang w:val="en-US" w:eastAsia="zh-CN"/>
              </w:rPr>
              <w:t>施工期按</w:t>
            </w:r>
            <w:r>
              <w:rPr>
                <w:rFonts w:hint="eastAsia"/>
                <w:lang w:val="en-US" w:eastAsia="zh-CN"/>
              </w:rPr>
              <w:t>425天</w:t>
            </w:r>
            <w:r>
              <w:rPr>
                <w:rFonts w:hint="default"/>
                <w:lang w:val="en-US" w:eastAsia="zh-CN"/>
              </w:rPr>
              <w:t>计</w:t>
            </w:r>
            <w:r>
              <w:rPr>
                <w:rFonts w:hint="eastAsia"/>
                <w:lang w:val="en-US" w:eastAsia="zh-CN"/>
              </w:rPr>
              <w:t>）</w:t>
            </w:r>
            <w:r>
              <w:rPr>
                <w:rFonts w:hint="default"/>
                <w:lang w:val="en-US" w:eastAsia="zh-CN"/>
              </w:rPr>
              <w:t>。</w:t>
            </w:r>
          </w:p>
          <w:p>
            <w:pPr>
              <w:bidi w:val="0"/>
              <w:rPr>
                <w:rFonts w:hint="eastAsia"/>
                <w:lang w:val="en-US" w:eastAsia="zh-CN"/>
              </w:rPr>
            </w:pPr>
            <w:r>
              <w:rPr>
                <w:rFonts w:hint="default"/>
                <w:lang w:val="en-US" w:eastAsia="zh-CN"/>
              </w:rPr>
              <w:t>项目在施工期间应建立垃圾集中收集点，由环卫部门统一收集后进入城区垃圾清运系统，则不会对周围环境造成不良影响。</w:t>
            </w:r>
          </w:p>
          <w:p>
            <w:pPr>
              <w:bidi w:val="0"/>
              <w:ind w:left="0" w:leftChars="0" w:firstLine="0" w:firstLineChars="0"/>
              <w:rPr>
                <w:rFonts w:hint="default"/>
                <w:b/>
                <w:bCs/>
                <w:color w:val="auto"/>
                <w:lang w:val="en-US" w:eastAsia="zh-CN"/>
              </w:rPr>
            </w:pPr>
            <w:r>
              <w:rPr>
                <w:rFonts w:hint="eastAsia"/>
                <w:b/>
                <w:bCs/>
                <w:color w:val="auto"/>
                <w:lang w:val="en-US" w:eastAsia="zh-CN"/>
              </w:rPr>
              <w:t>5、生态环境影响分析</w:t>
            </w:r>
          </w:p>
          <w:p>
            <w:pPr>
              <w:bidi w:val="0"/>
              <w:rPr>
                <w:rFonts w:hint="default"/>
                <w:color w:val="auto"/>
                <w:lang w:val="en-US" w:eastAsia="zh-CN"/>
              </w:rPr>
            </w:pPr>
            <w:r>
              <w:rPr>
                <w:rFonts w:hint="eastAsia"/>
                <w:color w:val="auto"/>
                <w:lang w:val="en-US" w:eastAsia="zh-CN"/>
              </w:rPr>
              <w:t>（1）工程占地影响分析</w:t>
            </w:r>
          </w:p>
          <w:p>
            <w:pPr>
              <w:bidi w:val="0"/>
              <w:rPr>
                <w:rFonts w:hint="default"/>
                <w:color w:val="auto"/>
                <w:lang w:val="en-US" w:eastAsia="zh-CN"/>
              </w:rPr>
            </w:pPr>
            <w:r>
              <w:rPr>
                <w:rFonts w:hint="eastAsia"/>
                <w:color w:val="auto"/>
                <w:lang w:val="en-US" w:eastAsia="zh-CN"/>
              </w:rPr>
              <w:t>项目施工场地占地生态影响主要体现在工程施工占地、开挖等施工活动对土地、植被造成一定的影响和破坏，使局部地区地表裸露、土壤疏松，在风力及雨水冲刷等作用下，将产生一定的水土流失。施工过程中通过采取绿化等防治措施，待工程结束后采取植被恢复措施，进行一定程度的恢复，</w:t>
            </w:r>
            <w:r>
              <w:rPr>
                <w:rFonts w:hint="eastAsia"/>
                <w:b w:val="0"/>
                <w:bCs w:val="0"/>
                <w:color w:val="auto"/>
                <w:lang w:val="en-US" w:eastAsia="zh-CN"/>
              </w:rPr>
              <w:t>施工工程对占地影响较小</w:t>
            </w:r>
            <w:r>
              <w:rPr>
                <w:rFonts w:hint="eastAsia"/>
                <w:color w:val="auto"/>
                <w:lang w:val="en-US" w:eastAsia="zh-CN"/>
              </w:rPr>
              <w:t>。</w:t>
            </w:r>
          </w:p>
          <w:p>
            <w:pPr>
              <w:bidi w:val="0"/>
              <w:rPr>
                <w:rFonts w:hint="default"/>
                <w:color w:val="auto"/>
                <w:lang w:val="en-US" w:eastAsia="zh-CN"/>
              </w:rPr>
            </w:pPr>
            <w:r>
              <w:rPr>
                <w:rFonts w:hint="eastAsia"/>
                <w:color w:val="auto"/>
                <w:lang w:val="en-US" w:eastAsia="zh-CN"/>
              </w:rPr>
              <w:t>项目营运期的工程永久占地主要为建筑构物区、道路广场区、绿化区、水域区、拓展用地等，面积14.6795hm</w:t>
            </w:r>
            <w:r>
              <w:rPr>
                <w:rFonts w:hint="eastAsia"/>
                <w:color w:val="auto"/>
                <w:vertAlign w:val="superscript"/>
                <w:lang w:val="en-US" w:eastAsia="zh-CN"/>
              </w:rPr>
              <w:t>2</w:t>
            </w:r>
            <w:r>
              <w:rPr>
                <w:rFonts w:hint="eastAsia"/>
                <w:color w:val="auto"/>
                <w:lang w:val="en-US" w:eastAsia="zh-CN"/>
              </w:rPr>
              <w:t>，包括园地、水塘和建筑用地；临时占地主要为停车场，面积3hm</w:t>
            </w:r>
            <w:r>
              <w:rPr>
                <w:rFonts w:hint="eastAsia"/>
                <w:color w:val="auto"/>
                <w:vertAlign w:val="superscript"/>
                <w:lang w:val="en-US" w:eastAsia="zh-CN"/>
              </w:rPr>
              <w:t>2</w:t>
            </w:r>
            <w:r>
              <w:rPr>
                <w:rFonts w:hint="eastAsia"/>
                <w:color w:val="auto"/>
                <w:lang w:val="en-US" w:eastAsia="zh-CN"/>
              </w:rPr>
              <w:t>，包括园地和水塘。工程建设完成后所占用的土地性质改变为娱乐康体用地。</w:t>
            </w:r>
          </w:p>
          <w:p>
            <w:pPr>
              <w:bidi w:val="0"/>
              <w:rPr>
                <w:rFonts w:hint="default"/>
                <w:color w:val="auto"/>
                <w:lang w:val="en-US"/>
              </w:rPr>
            </w:pPr>
            <w:r>
              <w:rPr>
                <w:rFonts w:hint="eastAsia"/>
                <w:color w:val="auto"/>
                <w:lang w:val="en-US" w:eastAsia="zh-CN"/>
              </w:rPr>
              <w:t>（2）对植被现状的影响分析</w:t>
            </w:r>
          </w:p>
          <w:p>
            <w:pPr>
              <w:bidi w:val="0"/>
              <w:rPr>
                <w:rFonts w:hint="default"/>
                <w:color w:val="auto"/>
                <w:lang w:val="en-US" w:eastAsia="zh-CN"/>
              </w:rPr>
            </w:pPr>
            <w:r>
              <w:rPr>
                <w:rFonts w:hint="eastAsia"/>
                <w:color w:val="auto"/>
                <w:lang w:val="en-US" w:eastAsia="zh-CN"/>
              </w:rPr>
              <w:t>本项目的施工建设必然会对所在区域的植被现状带来一定的破坏。项目占地范围内自然植被类型均为区域广布或常见类型，无国家重点保护的珍稀濒危植物和野生植物。因此，项目建设施工对植物区系、植被类型的影响较小，不会导致区域内现有植物种类和植物类型消失灭绝，且随着施工期的结束，经过绿化恢复措施，植被会得到逐步恢复。</w:t>
            </w:r>
          </w:p>
          <w:p>
            <w:pPr>
              <w:bidi w:val="0"/>
              <w:rPr>
                <w:rFonts w:hint="default"/>
                <w:lang w:val="en-US"/>
              </w:rPr>
            </w:pPr>
            <w:r>
              <w:rPr>
                <w:rFonts w:hint="eastAsia"/>
                <w:lang w:val="en-US" w:eastAsia="zh-CN"/>
              </w:rPr>
              <w:t>（3）对陆生动物的影响分析</w:t>
            </w:r>
          </w:p>
          <w:p>
            <w:pPr>
              <w:bidi w:val="0"/>
              <w:rPr>
                <w:color w:val="auto"/>
              </w:rPr>
            </w:pPr>
            <w:r>
              <w:rPr>
                <w:rFonts w:hint="eastAsia"/>
                <w:color w:val="auto"/>
                <w:lang w:val="en-US" w:eastAsia="zh-CN"/>
              </w:rPr>
              <w:t>本项目占地将导致动物生境丧失，缩小野生动物的栖息空间，限制部分陆生动物的活动区域、觅食范围等，从而对陆生动物的生存产生一定的影响。</w:t>
            </w:r>
          </w:p>
          <w:p>
            <w:pPr>
              <w:bidi w:val="0"/>
              <w:rPr>
                <w:color w:val="auto"/>
              </w:rPr>
            </w:pPr>
            <w:r>
              <w:rPr>
                <w:rFonts w:hint="eastAsia"/>
                <w:color w:val="auto"/>
                <w:lang w:val="en-US" w:eastAsia="zh-CN"/>
              </w:rPr>
              <w:t>本项目影响区内不涉及重点保护动物，施工对陆生动物的影响主要为施工机械及人员活动产生的噪声会对动物会造成惊吓，在繁殖季节，噪声可影响鸟类的孵化率，重者可造成鸟类弃巢。施工过程中产生的噪声在施工结束后停止，临时占地区域进行植被恢复等措施，因此，噪声对鸟类的影响也较小。</w:t>
            </w:r>
          </w:p>
          <w:p>
            <w:pPr>
              <w:bidi w:val="0"/>
              <w:ind w:left="0" w:leftChars="0" w:firstLine="0" w:firstLineChars="0"/>
              <w:rPr>
                <w:rFonts w:hint="eastAsia"/>
                <w:b/>
                <w:bCs/>
                <w:color w:val="auto"/>
                <w:lang w:val="en-US" w:eastAsia="zh-CN"/>
              </w:rPr>
            </w:pPr>
            <w:r>
              <w:rPr>
                <w:rFonts w:hint="eastAsia"/>
                <w:b/>
                <w:bCs/>
                <w:color w:val="auto"/>
                <w:lang w:val="en-US" w:eastAsia="zh-CN"/>
              </w:rPr>
              <w:t>6、水土流失影响分析</w:t>
            </w:r>
          </w:p>
          <w:p>
            <w:pPr>
              <w:bidi w:val="0"/>
              <w:rPr>
                <w:rFonts w:hint="eastAsia"/>
                <w:color w:val="auto"/>
                <w:lang w:val="en-US" w:eastAsia="zh-CN"/>
              </w:rPr>
            </w:pPr>
            <w:r>
              <w:rPr>
                <w:rFonts w:hint="eastAsia"/>
                <w:color w:val="auto"/>
                <w:lang w:val="en-US" w:eastAsia="zh-CN"/>
              </w:rPr>
              <w:t>（1）水土流失</w:t>
            </w:r>
          </w:p>
          <w:p>
            <w:pPr>
              <w:bidi w:val="0"/>
              <w:rPr>
                <w:rFonts w:hint="eastAsia"/>
                <w:color w:val="auto"/>
                <w:lang w:val="en-US" w:eastAsia="zh-CN"/>
              </w:rPr>
            </w:pPr>
            <w:r>
              <w:rPr>
                <w:color w:val="auto"/>
                <w:highlight w:val="none"/>
              </w:rPr>
              <w:t>项目建设扰动面积较大，过程中将大幅度加剧水土流失，土石方工程导致的水土流失增加主要发生在挖填工作面上，侵蚀形式以细沟侵蚀的水力侵蚀为主。</w:t>
            </w:r>
          </w:p>
          <w:p>
            <w:pPr>
              <w:bidi w:val="0"/>
              <w:rPr>
                <w:rFonts w:hint="eastAsia"/>
                <w:color w:val="auto"/>
                <w:lang w:val="en-US" w:eastAsia="zh-CN"/>
              </w:rPr>
            </w:pPr>
            <w:r>
              <w:rPr>
                <w:rFonts w:hint="eastAsia"/>
                <w:color w:val="auto"/>
                <w:lang w:val="en-US" w:eastAsia="zh-CN"/>
              </w:rPr>
              <w:t>①预测单元</w:t>
            </w:r>
          </w:p>
          <w:p>
            <w:pPr>
              <w:ind w:firstLine="480"/>
              <w:rPr>
                <w:color w:val="auto"/>
                <w:highlight w:val="none"/>
              </w:rPr>
            </w:pPr>
            <w:r>
              <w:rPr>
                <w:color w:val="auto"/>
                <w:highlight w:val="none"/>
              </w:rPr>
              <w:t>水土流失预测范围应为项目水土流失防治责任范围。结合本项目地形地貌、扰动方式、扰动后地表的物质组成、气象特征等因素，考虑影响因素相近的原则，本项目水土流失预测单元划分为</w:t>
            </w:r>
            <w:r>
              <w:rPr>
                <w:rFonts w:hint="eastAsia"/>
                <w:color w:val="auto"/>
                <w:highlight w:val="none"/>
                <w:lang w:eastAsia="zh-CN"/>
              </w:rPr>
              <w:t>拓展用地</w:t>
            </w:r>
            <w:r>
              <w:rPr>
                <w:color w:val="auto"/>
                <w:highlight w:val="none"/>
              </w:rPr>
              <w:t>、绿化</w:t>
            </w:r>
            <w:r>
              <w:rPr>
                <w:rFonts w:hint="eastAsia"/>
                <w:color w:val="auto"/>
                <w:highlight w:val="none"/>
              </w:rPr>
              <w:t>区</w:t>
            </w:r>
            <w:r>
              <w:rPr>
                <w:rFonts w:hint="eastAsia"/>
                <w:color w:val="auto"/>
                <w:highlight w:val="none"/>
                <w:lang w:eastAsia="zh-CN"/>
              </w:rPr>
              <w:t>二</w:t>
            </w:r>
            <w:r>
              <w:rPr>
                <w:color w:val="auto"/>
                <w:highlight w:val="none"/>
              </w:rPr>
              <w:t>个</w:t>
            </w:r>
            <w:r>
              <w:rPr>
                <w:rFonts w:hint="eastAsia"/>
                <w:color w:val="auto"/>
                <w:highlight w:val="none"/>
              </w:rPr>
              <w:t>预测</w:t>
            </w:r>
            <w:r>
              <w:rPr>
                <w:color w:val="auto"/>
                <w:highlight w:val="none"/>
              </w:rPr>
              <w:t>单元。</w:t>
            </w:r>
          </w:p>
          <w:p>
            <w:pPr>
              <w:bidi w:val="0"/>
              <w:rPr>
                <w:rFonts w:hint="eastAsia"/>
                <w:color w:val="auto"/>
                <w:lang w:val="en-US" w:eastAsia="zh-CN"/>
              </w:rPr>
            </w:pPr>
            <w:r>
              <w:rPr>
                <w:rFonts w:hint="eastAsia"/>
                <w:color w:val="auto"/>
                <w:lang w:val="en-US" w:eastAsia="zh-CN"/>
              </w:rPr>
              <w:t>②预测方法</w:t>
            </w:r>
          </w:p>
          <w:p>
            <w:pPr>
              <w:bidi w:val="0"/>
              <w:rPr>
                <w:color w:val="auto"/>
              </w:rPr>
            </w:pPr>
            <w:r>
              <w:rPr>
                <w:color w:val="auto"/>
              </w:rPr>
              <w:t>水土流失量预测计算公式：</w:t>
            </w:r>
          </w:p>
          <w:p>
            <w:pPr>
              <w:ind w:firstLine="410" w:firstLineChars="171"/>
              <w:jc w:val="center"/>
              <w:rPr>
                <w:rFonts w:ascii="Times New Roman" w:hAnsi="Times New Roman"/>
                <w:color w:val="auto"/>
                <w:highlight w:val="none"/>
              </w:rPr>
            </w:pPr>
            <w:r>
              <w:rPr>
                <w:rFonts w:ascii="Times New Roman" w:hAnsi="Times New Roman"/>
                <w:color w:val="auto"/>
                <w:highlight w:val="none"/>
              </w:rPr>
              <w:object>
                <v:shape id="_x0000_i1025" o:spt="75" type="#_x0000_t75" style="height:38.65pt;width:147.7pt;" o:ole="t" filled="f" o:preferrelative="t" stroked="f" coordsize="21600,21600">
                  <v:path/>
                  <v:fill on="f" focussize="0,0"/>
                  <v:stroke on="f"/>
                  <v:imagedata r:id="rId33" o:title=""/>
                  <o:lock v:ext="edit" grouping="f" rotation="f" text="f" aspectratio="t"/>
                  <w10:wrap type="none"/>
                  <w10:anchorlock/>
                </v:shape>
                <o:OLEObject Type="Embed" ProgID="Equation.3" ShapeID="_x0000_i1025" DrawAspect="Content" ObjectID="_1468075725" r:id="rId32">
                  <o:LockedField>false</o:LockedField>
                </o:OLEObject>
              </w:object>
            </w:r>
            <w:r>
              <w:rPr>
                <w:rFonts w:ascii="Times New Roman" w:hAnsi="Times New Roman"/>
                <w:color w:val="auto"/>
                <w:highlight w:val="none"/>
              </w:rPr>
              <w:t xml:space="preserve">                     （</w:t>
            </w:r>
            <w:r>
              <w:rPr>
                <w:rFonts w:hint="eastAsia"/>
                <w:color w:val="auto"/>
                <w:highlight w:val="none"/>
                <w:lang w:val="en-US" w:eastAsia="zh-CN"/>
              </w:rPr>
              <w:t>6</w:t>
            </w:r>
            <w:r>
              <w:rPr>
                <w:rFonts w:ascii="Times New Roman" w:hAnsi="Times New Roman"/>
                <w:color w:val="auto"/>
                <w:highlight w:val="none"/>
              </w:rPr>
              <w:t>-1）</w:t>
            </w:r>
          </w:p>
          <w:p>
            <w:pPr>
              <w:ind w:firstLine="480"/>
              <w:rPr>
                <w:rFonts w:ascii="Times New Roman" w:hAnsi="Times New Roman"/>
                <w:color w:val="auto"/>
                <w:highlight w:val="none"/>
              </w:rPr>
            </w:pPr>
            <w:r>
              <w:rPr>
                <w:rFonts w:ascii="Times New Roman" w:hAnsi="Times New Roman"/>
                <w:color w:val="auto"/>
                <w:highlight w:val="none"/>
              </w:rPr>
              <w:t>新增水土流失量计算公式：</w:t>
            </w:r>
          </w:p>
          <w:p>
            <w:pPr>
              <w:ind w:firstLine="480"/>
              <w:jc w:val="center"/>
              <w:rPr>
                <w:rFonts w:ascii="Times New Roman" w:hAnsi="Times New Roman"/>
                <w:color w:val="auto"/>
                <w:highlight w:val="none"/>
              </w:rPr>
            </w:pPr>
            <w:r>
              <w:rPr>
                <w:rFonts w:ascii="Times New Roman" w:hAnsi="Times New Roman"/>
                <w:color w:val="auto"/>
                <w:highlight w:val="none"/>
              </w:rPr>
              <w:object>
                <v:shape id="_x0000_i1026" o:spt="75" type="#_x0000_t75" style="height:38.25pt;width:169.1pt;" o:ole="t" filled="f" o:preferrelative="t" stroked="f" coordsize="21600,21600">
                  <v:path/>
                  <v:fill on="f" focussize="0,0"/>
                  <v:stroke on="f"/>
                  <v:imagedata r:id="rId35" o:title=""/>
                  <o:lock v:ext="edit" grouping="f" rotation="f" text="f" aspectratio="t"/>
                  <w10:wrap type="none"/>
                  <w10:anchorlock/>
                </v:shape>
                <o:OLEObject Type="Embed" ProgID="Equation.3" ShapeID="_x0000_i1026" DrawAspect="Content" ObjectID="_1468075726" r:id="rId34">
                  <o:LockedField>false</o:LockedField>
                </o:OLEObject>
              </w:object>
            </w:r>
            <w:r>
              <w:rPr>
                <w:rFonts w:ascii="Times New Roman" w:hAnsi="Times New Roman"/>
                <w:color w:val="auto"/>
                <w:highlight w:val="none"/>
              </w:rPr>
              <w:t xml:space="preserve">                  （</w:t>
            </w:r>
            <w:r>
              <w:rPr>
                <w:rFonts w:hint="eastAsia"/>
                <w:color w:val="auto"/>
                <w:highlight w:val="none"/>
                <w:lang w:val="en-US" w:eastAsia="zh-CN"/>
              </w:rPr>
              <w:t>6</w:t>
            </w:r>
            <w:r>
              <w:rPr>
                <w:rFonts w:ascii="Times New Roman" w:hAnsi="Times New Roman"/>
                <w:color w:val="auto"/>
                <w:highlight w:val="none"/>
              </w:rPr>
              <w:t>-2）</w:t>
            </w:r>
          </w:p>
          <w:p>
            <w:pPr>
              <w:ind w:firstLine="480"/>
              <w:jc w:val="center"/>
              <w:rPr>
                <w:rFonts w:ascii="Times New Roman" w:hAnsi="Times New Roman"/>
                <w:color w:val="auto"/>
                <w:highlight w:val="none"/>
              </w:rPr>
            </w:pPr>
            <w:r>
              <w:rPr>
                <w:rFonts w:ascii="Times New Roman" w:hAnsi="Times New Roman"/>
                <w:color w:val="auto"/>
                <w:highlight w:val="none"/>
              </w:rPr>
              <w:object>
                <v:shape id="_x0000_i1027" o:spt="75" type="#_x0000_t75" style="height:36.75pt;width:180.45pt;" o:ole="t" filled="f" o:preferrelative="t" stroked="f" coordsize="21600,21600">
                  <v:path/>
                  <v:fill on="f" focussize="0,0"/>
                  <v:stroke on="f"/>
                  <v:imagedata r:id="rId37" o:title=""/>
                  <o:lock v:ext="edit" grouping="f" rotation="f" text="f" aspectratio="t"/>
                  <w10:wrap type="none"/>
                  <w10:anchorlock/>
                </v:shape>
                <o:OLEObject Type="Embed" ProgID="Equation.3" ShapeID="_x0000_i1027" DrawAspect="Content" ObjectID="_1468075727" r:id="rId36">
                  <o:LockedField>false</o:LockedField>
                </o:OLEObject>
              </w:object>
            </w:r>
            <w:r>
              <w:rPr>
                <w:rFonts w:ascii="Times New Roman" w:hAnsi="Times New Roman"/>
                <w:color w:val="auto"/>
                <w:highlight w:val="none"/>
              </w:rPr>
              <w:t xml:space="preserve">                （</w:t>
            </w:r>
            <w:r>
              <w:rPr>
                <w:rFonts w:hint="eastAsia"/>
                <w:color w:val="auto"/>
                <w:highlight w:val="none"/>
                <w:lang w:val="en-US" w:eastAsia="zh-CN"/>
              </w:rPr>
              <w:t>6</w:t>
            </w:r>
            <w:r>
              <w:rPr>
                <w:rFonts w:ascii="Times New Roman" w:hAnsi="Times New Roman"/>
                <w:color w:val="auto"/>
                <w:highlight w:val="none"/>
              </w:rPr>
              <w:t>-3）</w:t>
            </w:r>
          </w:p>
          <w:p>
            <w:pPr>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color w:val="auto"/>
                <w:highlight w:val="none"/>
                <w:lang w:val="en-GB"/>
              </w:rPr>
            </w:pPr>
            <w:r>
              <w:rPr>
                <w:rFonts w:ascii="Times New Roman" w:hAnsi="Times New Roman"/>
                <w:color w:val="auto"/>
                <w:highlight w:val="none"/>
                <w:lang w:val="en-GB"/>
              </w:rPr>
              <w:t>式中：</w:t>
            </w:r>
          </w:p>
          <w:p>
            <w:pPr>
              <w:keepNext w:val="0"/>
              <w:keepLines w:val="0"/>
              <w:pageBreakBefore w:val="0"/>
              <w:widowControl w:val="0"/>
              <w:kinsoku/>
              <w:wordWrap/>
              <w:overflowPunct/>
              <w:topLinePunct w:val="0"/>
              <w:autoSpaceDE/>
              <w:autoSpaceDN/>
              <w:bidi w:val="0"/>
              <w:adjustRightInd/>
              <w:snapToGrid/>
              <w:spacing w:line="240" w:lineRule="auto"/>
              <w:ind w:firstLine="480"/>
              <w:textAlignment w:val="auto"/>
              <w:rPr>
                <w:rFonts w:ascii="Times New Roman" w:hAnsi="Times New Roman"/>
                <w:i w:val="0"/>
                <w:iCs w:val="0"/>
                <w:color w:val="auto"/>
                <w:highlight w:val="none"/>
                <w:lang w:val="en-GB"/>
              </w:rPr>
            </w:pPr>
            <w:r>
              <w:rPr>
                <w:rFonts w:ascii="Times New Roman" w:hAnsi="Times New Roman"/>
                <w:i w:val="0"/>
                <w:iCs w:val="0"/>
                <w:color w:val="auto"/>
                <w:highlight w:val="none"/>
                <w:lang w:val="en-GB"/>
              </w:rPr>
              <w:object>
                <v:shape id="_x0000_i1028" o:spt="75" type="#_x0000_t75" style="height:14.25pt;width:14.25pt;" o:ole="t" filled="f" o:preferrelative="t" stroked="f" coordsize="21600,21600">
                  <v:path/>
                  <v:fill on="f" focussize="0,0"/>
                  <v:stroke on="f"/>
                  <v:imagedata r:id="rId39" o:title=""/>
                  <o:lock v:ext="edit" aspectratio="t"/>
                  <w10:wrap type="none"/>
                  <w10:anchorlock/>
                </v:shape>
                <o:OLEObject Type="Embed" ProgID="Equation.3" ShapeID="_x0000_i1028" DrawAspect="Content" ObjectID="_1468075728" r:id="rId38">
                  <o:LockedField>false</o:LockedField>
                </o:OLEObject>
              </w:object>
            </w:r>
            <w:r>
              <w:rPr>
                <w:rFonts w:ascii="Times New Roman" w:hAnsi="Times New Roman"/>
                <w:i w:val="0"/>
                <w:iCs w:val="0"/>
                <w:color w:val="auto"/>
                <w:highlight w:val="none"/>
                <w:lang w:val="en-GB"/>
              </w:rPr>
              <w:t>—扰动地表土壤流失量，t；</w:t>
            </w:r>
            <w:r>
              <w:rPr>
                <w:rFonts w:ascii="Times New Roman" w:hAnsi="Times New Roman"/>
                <w:i w:val="0"/>
                <w:iCs w:val="0"/>
                <w:color w:val="auto"/>
                <w:highlight w:val="none"/>
                <w:lang w:val="en-GB"/>
              </w:rPr>
              <w:object>
                <v:shape id="_x0000_i1029" o:spt="75" type="#_x0000_t75" style="height:13.7pt;width:22.75pt;" o:ole="t" filled="f" o:preferrelative="t" stroked="f" coordsize="21600,21600">
                  <v:path/>
                  <v:fill on="f" focussize="0,0"/>
                  <v:stroke on="f"/>
                  <v:imagedata r:id="rId41" o:title=""/>
                  <o:lock v:ext="edit" aspectratio="t"/>
                  <w10:wrap type="none"/>
                  <w10:anchorlock/>
                </v:shape>
                <o:OLEObject Type="Embed" ProgID="Equation.3" ShapeID="_x0000_i1029" DrawAspect="Content" ObjectID="_1468075729" r:id="rId40">
                  <o:LockedField>false</o:LockedField>
                </o:OLEObject>
              </w:object>
            </w:r>
            <w:r>
              <w:rPr>
                <w:rFonts w:ascii="Times New Roman" w:hAnsi="Times New Roman"/>
                <w:i w:val="0"/>
                <w:iCs w:val="0"/>
                <w:color w:val="auto"/>
                <w:highlight w:val="none"/>
                <w:lang w:val="en-GB"/>
              </w:rPr>
              <w:t>—扰动地表新增土壤流失量，t；</w:t>
            </w:r>
          </w:p>
          <w:p>
            <w:pPr>
              <w:keepNext w:val="0"/>
              <w:keepLines w:val="0"/>
              <w:pageBreakBefore w:val="0"/>
              <w:widowControl w:val="0"/>
              <w:kinsoku/>
              <w:wordWrap/>
              <w:overflowPunct/>
              <w:topLinePunct w:val="0"/>
              <w:autoSpaceDE/>
              <w:autoSpaceDN/>
              <w:bidi w:val="0"/>
              <w:adjustRightInd/>
              <w:snapToGrid/>
              <w:spacing w:line="240" w:lineRule="auto"/>
              <w:ind w:firstLine="480"/>
              <w:textAlignment w:val="auto"/>
              <w:rPr>
                <w:rFonts w:ascii="Times New Roman" w:hAnsi="Times New Roman"/>
                <w:i w:val="0"/>
                <w:iCs w:val="0"/>
                <w:color w:val="auto"/>
                <w:highlight w:val="none"/>
                <w:lang w:val="en-GB"/>
              </w:rPr>
            </w:pPr>
            <w:r>
              <w:rPr>
                <w:rFonts w:ascii="Times New Roman" w:hAnsi="Times New Roman"/>
                <w:i w:val="0"/>
                <w:iCs w:val="0"/>
                <w:color w:val="auto"/>
                <w:highlight w:val="none"/>
                <w:lang w:val="en-GB"/>
              </w:rPr>
              <w:object>
                <v:shape id="_x0000_i1030" o:spt="75" type="#_x0000_t75" style="height:12.45pt;width:6.6pt;" o:ole="t" filled="f" o:preferrelative="t" stroked="f" coordsize="21600,21600">
                  <v:path/>
                  <v:fill on="f" focussize="0,0"/>
                  <v:stroke on="f"/>
                  <v:imagedata r:id="rId43" o:title=""/>
                  <o:lock v:ext="edit" aspectratio="t"/>
                  <w10:wrap type="none"/>
                  <w10:anchorlock/>
                </v:shape>
                <o:OLEObject Type="Embed" ProgID="Equation.3" ShapeID="_x0000_i1030" DrawAspect="Content" ObjectID="_1468075730" r:id="rId42">
                  <o:LockedField>false</o:LockedField>
                </o:OLEObject>
              </w:object>
            </w:r>
            <w:r>
              <w:rPr>
                <w:rFonts w:ascii="Times New Roman" w:hAnsi="Times New Roman"/>
                <w:i w:val="0"/>
                <w:iCs w:val="0"/>
                <w:color w:val="auto"/>
                <w:highlight w:val="none"/>
                <w:lang w:val="en-GB"/>
              </w:rPr>
              <w:t>—预测单元（</w:t>
            </w:r>
            <w:r>
              <w:rPr>
                <w:rFonts w:ascii="Times New Roman" w:hAnsi="Times New Roman"/>
                <w:i w:val="0"/>
                <w:iCs w:val="0"/>
                <w:color w:val="auto"/>
                <w:highlight w:val="none"/>
                <w:lang w:val="en-GB"/>
              </w:rPr>
              <w:object>
                <v:shape id="_x0000_i1031" o:spt="75" type="#_x0000_t75" style="height:12.55pt;width:6.55pt;" o:ole="t" filled="f" o:preferrelative="t" stroked="f" coordsize="21600,21600">
                  <v:path/>
                  <v:fill on="f" focussize="0,0"/>
                  <v:stroke on="f"/>
                  <v:imagedata r:id="rId45" o:title=""/>
                  <o:lock v:ext="edit" aspectratio="t"/>
                  <w10:wrap type="none"/>
                  <w10:anchorlock/>
                </v:shape>
                <o:OLEObject Type="Embed" ProgID="Equation.3" ShapeID="_x0000_i1031" DrawAspect="Content" ObjectID="_1468075731" r:id="rId44">
                  <o:LockedField>false</o:LockedField>
                </o:OLEObject>
              </w:object>
            </w:r>
            <w:r>
              <w:rPr>
                <w:rFonts w:ascii="Times New Roman" w:hAnsi="Times New Roman"/>
                <w:i w:val="0"/>
                <w:iCs w:val="0"/>
                <w:color w:val="auto"/>
                <w:highlight w:val="none"/>
                <w:lang w:val="en-GB"/>
              </w:rPr>
              <w:t>=1，2，3，……、n）；</w:t>
            </w:r>
          </w:p>
          <w:p>
            <w:pPr>
              <w:bidi w:val="0"/>
              <w:rPr>
                <w:rFonts w:ascii="Times New Roman" w:hAnsi="Times New Roman"/>
                <w:i w:val="0"/>
                <w:iCs w:val="0"/>
                <w:color w:val="auto"/>
                <w:highlight w:val="none"/>
                <w:lang w:val="en-GB"/>
              </w:rPr>
            </w:pPr>
            <w:r>
              <w:rPr>
                <w:rFonts w:ascii="Times New Roman" w:hAnsi="Times New Roman"/>
                <w:i w:val="0"/>
                <w:iCs w:val="0"/>
                <w:color w:val="auto"/>
                <w:highlight w:val="none"/>
                <w:lang w:val="en-GB"/>
              </w:rPr>
              <w:object>
                <v:shape id="_x0000_i1032" o:spt="75" type="#_x0000_t75" style="height:13.7pt;width:9.5pt;" o:ole="t" filled="f" o:preferrelative="t" stroked="f" coordsize="21600,21600">
                  <v:path/>
                  <v:fill on="f" focussize="0,0"/>
                  <v:stroke on="f"/>
                  <v:imagedata r:id="rId47" o:title=""/>
                  <o:lock v:ext="edit" aspectratio="t"/>
                  <w10:wrap type="none"/>
                  <w10:anchorlock/>
                </v:shape>
                <o:OLEObject Type="Embed" ProgID="Equation.3" ShapeID="_x0000_i1032" DrawAspect="Content" ObjectID="_1468075732" r:id="rId46">
                  <o:LockedField>false</o:LockedField>
                </o:OLEObject>
              </w:object>
            </w:r>
            <w:r>
              <w:rPr>
                <w:rFonts w:ascii="Times New Roman" w:hAnsi="Times New Roman"/>
                <w:i w:val="0"/>
                <w:iCs w:val="0"/>
                <w:color w:val="auto"/>
                <w:highlight w:val="none"/>
                <w:lang w:val="en-GB"/>
              </w:rPr>
              <w:t>—预测时段，</w:t>
            </w:r>
            <w:r>
              <w:rPr>
                <w:rFonts w:ascii="Times New Roman" w:hAnsi="Times New Roman"/>
                <w:i w:val="0"/>
                <w:iCs w:val="0"/>
                <w:color w:val="auto"/>
                <w:highlight w:val="none"/>
                <w:lang w:val="en-GB"/>
              </w:rPr>
              <w:object>
                <v:shape id="_x0000_i1033" o:spt="75" type="#_x0000_t75" style="height:13.7pt;width:9.5pt;" o:ole="t" filled="f" o:preferrelative="t" stroked="f" coordsize="21600,21600">
                  <v:path/>
                  <v:fill on="f" focussize="0,0"/>
                  <v:stroke on="f"/>
                  <v:imagedata r:id="rId49" o:title=""/>
                  <o:lock v:ext="edit" aspectratio="t"/>
                  <w10:wrap type="none"/>
                  <w10:anchorlock/>
                </v:shape>
                <o:OLEObject Type="Embed" ProgID="Equation.3" ShapeID="_x0000_i1033" DrawAspect="Content" ObjectID="_1468075733" r:id="rId48">
                  <o:LockedField>false</o:LockedField>
                </o:OLEObject>
              </w:object>
            </w:r>
            <w:r>
              <w:rPr>
                <w:rFonts w:ascii="Times New Roman" w:hAnsi="Times New Roman"/>
                <w:i w:val="0"/>
                <w:iCs w:val="0"/>
                <w:color w:val="auto"/>
                <w:highlight w:val="none"/>
                <w:lang w:val="en-GB"/>
              </w:rPr>
              <w:t>=1，2，3，指施工准备期、施工期和自然恢复期；</w:t>
            </w:r>
          </w:p>
          <w:p>
            <w:pPr>
              <w:keepNext w:val="0"/>
              <w:keepLines w:val="0"/>
              <w:pageBreakBefore w:val="0"/>
              <w:widowControl w:val="0"/>
              <w:kinsoku/>
              <w:wordWrap/>
              <w:overflowPunct/>
              <w:topLinePunct w:val="0"/>
              <w:autoSpaceDE/>
              <w:autoSpaceDN/>
              <w:bidi w:val="0"/>
              <w:adjustRightInd/>
              <w:snapToGrid/>
              <w:spacing w:line="240" w:lineRule="auto"/>
              <w:ind w:firstLine="480"/>
              <w:textAlignment w:val="auto"/>
              <w:rPr>
                <w:rFonts w:ascii="Times New Roman" w:hAnsi="Times New Roman"/>
                <w:i w:val="0"/>
                <w:iCs w:val="0"/>
                <w:color w:val="auto"/>
                <w:highlight w:val="none"/>
                <w:lang w:val="en-GB"/>
              </w:rPr>
            </w:pPr>
            <w:r>
              <w:rPr>
                <w:rFonts w:ascii="Times New Roman" w:hAnsi="Times New Roman"/>
                <w:i w:val="0"/>
                <w:iCs w:val="0"/>
                <w:color w:val="auto"/>
                <w:highlight w:val="none"/>
                <w:lang w:val="en-GB"/>
              </w:rPr>
              <w:object>
                <v:shape id="_x0000_i1034" o:spt="75" type="#_x0000_t75" style="height:15pt;width:11.85pt;" o:ole="t" filled="f" o:preferrelative="t" stroked="f" coordsize="21600,21600">
                  <v:path/>
                  <v:fill on="f" focussize="0,0"/>
                  <v:stroke on="f"/>
                  <v:imagedata r:id="rId51" o:title=""/>
                  <o:lock v:ext="edit" aspectratio="t"/>
                  <w10:wrap type="none"/>
                  <w10:anchorlock/>
                </v:shape>
                <o:OLEObject Type="Embed" ProgID="Equation.3" ShapeID="_x0000_i1034" DrawAspect="Content" ObjectID="_1468075734" r:id="rId50">
                  <o:LockedField>false</o:LockedField>
                </o:OLEObject>
              </w:object>
            </w:r>
            <w:r>
              <w:rPr>
                <w:rFonts w:ascii="Times New Roman" w:hAnsi="Times New Roman"/>
                <w:i w:val="0"/>
                <w:iCs w:val="0"/>
                <w:color w:val="auto"/>
                <w:highlight w:val="none"/>
                <w:lang w:val="en-GB"/>
              </w:rPr>
              <w:t>—第</w:t>
            </w:r>
            <w:r>
              <w:rPr>
                <w:rFonts w:ascii="Times New Roman" w:hAnsi="Times New Roman"/>
                <w:i w:val="0"/>
                <w:iCs w:val="0"/>
                <w:color w:val="auto"/>
                <w:highlight w:val="none"/>
                <w:lang w:val="en-GB"/>
              </w:rPr>
              <w:object>
                <v:shape id="_x0000_i1035" o:spt="75" type="#_x0000_t75" style="height:11.95pt;width:6.55pt;" o:ole="t" filled="f" o:preferrelative="t" stroked="f" coordsize="21600,21600">
                  <v:path/>
                  <v:fill on="f" focussize="0,0"/>
                  <v:stroke on="f"/>
                  <v:imagedata r:id="rId53" o:title=""/>
                  <o:lock v:ext="edit" aspectratio="t"/>
                  <w10:wrap type="none"/>
                  <w10:anchorlock/>
                </v:shape>
                <o:OLEObject Type="Embed" ProgID="Equation.3" ShapeID="_x0000_i1035" DrawAspect="Content" ObjectID="_1468075735" r:id="rId52">
                  <o:LockedField>false</o:LockedField>
                </o:OLEObject>
              </w:object>
            </w:r>
            <w:r>
              <w:rPr>
                <w:rFonts w:ascii="Times New Roman" w:hAnsi="Times New Roman"/>
                <w:i w:val="0"/>
                <w:iCs w:val="0"/>
                <w:color w:val="auto"/>
                <w:highlight w:val="none"/>
                <w:lang w:val="en-GB"/>
              </w:rPr>
              <w:t>个预测单元的面积，km</w:t>
            </w:r>
            <w:r>
              <w:rPr>
                <w:rFonts w:ascii="Times New Roman" w:hAnsi="Times New Roman"/>
                <w:i w:val="0"/>
                <w:iCs w:val="0"/>
                <w:color w:val="auto"/>
                <w:highlight w:val="none"/>
                <w:vertAlign w:val="superscript"/>
                <w:lang w:val="en-GB"/>
              </w:rPr>
              <w:t>2</w:t>
            </w:r>
            <w:r>
              <w:rPr>
                <w:rFonts w:ascii="Times New Roman" w:hAnsi="Times New Roman"/>
                <w:i w:val="0"/>
                <w:iCs w:val="0"/>
                <w:color w:val="auto"/>
                <w:highlight w:val="none"/>
                <w:lang w:val="en-GB"/>
              </w:rPr>
              <w:t>；</w:t>
            </w:r>
          </w:p>
          <w:p>
            <w:pPr>
              <w:keepNext w:val="0"/>
              <w:keepLines w:val="0"/>
              <w:pageBreakBefore w:val="0"/>
              <w:widowControl w:val="0"/>
              <w:kinsoku/>
              <w:wordWrap/>
              <w:overflowPunct/>
              <w:topLinePunct w:val="0"/>
              <w:autoSpaceDE/>
              <w:autoSpaceDN/>
              <w:bidi w:val="0"/>
              <w:adjustRightInd/>
              <w:snapToGrid/>
              <w:spacing w:line="240" w:lineRule="auto"/>
              <w:ind w:firstLine="480"/>
              <w:textAlignment w:val="auto"/>
              <w:rPr>
                <w:rFonts w:ascii="Times New Roman" w:hAnsi="Times New Roman"/>
                <w:i w:val="0"/>
                <w:iCs w:val="0"/>
                <w:color w:val="auto"/>
                <w:highlight w:val="none"/>
                <w:lang w:val="en-GB"/>
              </w:rPr>
            </w:pPr>
            <w:r>
              <w:rPr>
                <w:rFonts w:ascii="Times New Roman" w:hAnsi="Times New Roman"/>
                <w:i w:val="0"/>
                <w:iCs w:val="0"/>
                <w:color w:val="auto"/>
                <w:highlight w:val="none"/>
                <w:lang w:val="en-GB"/>
              </w:rPr>
              <w:object>
                <v:shape id="_x0000_i1036" o:spt="75" type="#_x0000_t75" style="height:14.95pt;width:17.95pt;" o:ole="t" filled="f" o:preferrelative="t" stroked="f" coordsize="21600,21600">
                  <v:path/>
                  <v:fill on="f" focussize="0,0"/>
                  <v:stroke on="f"/>
                  <v:imagedata r:id="rId55" o:title=""/>
                  <o:lock v:ext="edit" aspectratio="t"/>
                  <w10:wrap type="none"/>
                  <w10:anchorlock/>
                </v:shape>
                <o:OLEObject Type="Embed" ProgID="Equation.3" ShapeID="_x0000_i1036" DrawAspect="Content" ObjectID="_1468075736" r:id="rId54">
                  <o:LockedField>false</o:LockedField>
                </o:OLEObject>
              </w:object>
            </w:r>
            <w:r>
              <w:rPr>
                <w:rFonts w:ascii="Times New Roman" w:hAnsi="Times New Roman"/>
                <w:i w:val="0"/>
                <w:iCs w:val="0"/>
                <w:color w:val="auto"/>
                <w:highlight w:val="none"/>
                <w:lang w:val="en-GB"/>
              </w:rPr>
              <w:t>—扰动后不同预测单元不同时段的土壤侵蚀模数，t/( km</w:t>
            </w:r>
            <w:r>
              <w:rPr>
                <w:rFonts w:ascii="Times New Roman" w:hAnsi="Times New Roman"/>
                <w:i w:val="0"/>
                <w:iCs w:val="0"/>
                <w:color w:val="auto"/>
                <w:highlight w:val="none"/>
                <w:vertAlign w:val="superscript"/>
                <w:lang w:val="en-GB"/>
              </w:rPr>
              <w:t>2</w:t>
            </w:r>
            <w:r>
              <w:rPr>
                <w:rFonts w:hint="eastAsia"/>
                <w:i w:val="0"/>
                <w:iCs w:val="0"/>
                <w:color w:val="auto"/>
                <w:highlight w:val="none"/>
                <w:vertAlign w:val="superscript"/>
                <w:lang w:val="en-US" w:eastAsia="zh-CN"/>
              </w:rPr>
              <w:t xml:space="preserve"> </w:t>
            </w:r>
            <w:r>
              <w:rPr>
                <w:rFonts w:hint="default" w:ascii="Times New Roman" w:hAnsi="Times New Roman" w:cs="Times New Roman"/>
                <w:i w:val="0"/>
                <w:iCs w:val="0"/>
                <w:color w:val="auto"/>
                <w:highlight w:val="none"/>
                <w:vertAlign w:val="baseline"/>
                <w:lang w:val="en-US" w:eastAsia="zh-CN"/>
              </w:rPr>
              <w:t>·</w:t>
            </w:r>
            <w:r>
              <w:rPr>
                <w:rFonts w:hint="eastAsia" w:ascii="Times New Roman" w:hAnsi="Times New Roman" w:cs="Times New Roman"/>
                <w:i w:val="0"/>
                <w:iCs w:val="0"/>
                <w:color w:val="auto"/>
                <w:highlight w:val="none"/>
                <w:vertAlign w:val="baseline"/>
                <w:lang w:val="en-US" w:eastAsia="zh-CN"/>
              </w:rPr>
              <w:t xml:space="preserve"> </w:t>
            </w:r>
            <w:r>
              <w:rPr>
                <w:rFonts w:ascii="Times New Roman" w:hAnsi="Times New Roman"/>
                <w:i w:val="0"/>
                <w:iCs w:val="0"/>
                <w:color w:val="auto"/>
                <w:highlight w:val="none"/>
                <w:lang w:val="en-GB"/>
              </w:rPr>
              <w:t>a)；</w:t>
            </w:r>
          </w:p>
          <w:p>
            <w:pPr>
              <w:keepNext w:val="0"/>
              <w:keepLines w:val="0"/>
              <w:pageBreakBefore w:val="0"/>
              <w:widowControl w:val="0"/>
              <w:kinsoku/>
              <w:wordWrap/>
              <w:overflowPunct/>
              <w:topLinePunct w:val="0"/>
              <w:autoSpaceDE/>
              <w:autoSpaceDN/>
              <w:bidi w:val="0"/>
              <w:adjustRightInd/>
              <w:snapToGrid/>
              <w:spacing w:line="240" w:lineRule="auto"/>
              <w:ind w:firstLine="480"/>
              <w:textAlignment w:val="auto"/>
              <w:rPr>
                <w:rFonts w:ascii="Times New Roman" w:hAnsi="Times New Roman"/>
                <w:i w:val="0"/>
                <w:iCs w:val="0"/>
                <w:color w:val="auto"/>
                <w:highlight w:val="none"/>
                <w:lang w:val="en-GB"/>
              </w:rPr>
            </w:pPr>
            <w:r>
              <w:rPr>
                <w:rFonts w:ascii="Times New Roman" w:hAnsi="Times New Roman"/>
                <w:i w:val="0"/>
                <w:iCs w:val="0"/>
                <w:color w:val="auto"/>
                <w:highlight w:val="none"/>
                <w:lang w:val="en-GB"/>
              </w:rPr>
              <w:object>
                <v:shape id="_x0000_i1037" o:spt="75" type="#_x0000_t75" style="height:14.95pt;width:23.95pt;" o:ole="t" filled="f" o:preferrelative="t" stroked="f" coordsize="21600,21600">
                  <v:path/>
                  <v:fill on="f" focussize="0,0"/>
                  <v:stroke on="f"/>
                  <v:imagedata r:id="rId57" o:title=""/>
                  <o:lock v:ext="edit" aspectratio="t"/>
                  <w10:wrap type="none"/>
                  <w10:anchorlock/>
                </v:shape>
                <o:OLEObject Type="Embed" ProgID="Equation.3" ShapeID="_x0000_i1037" DrawAspect="Content" ObjectID="_1468075737" r:id="rId56">
                  <o:LockedField>false</o:LockedField>
                </o:OLEObject>
              </w:object>
            </w:r>
            <w:r>
              <w:rPr>
                <w:rFonts w:ascii="Times New Roman" w:hAnsi="Times New Roman"/>
                <w:i w:val="0"/>
                <w:iCs w:val="0"/>
                <w:color w:val="auto"/>
                <w:highlight w:val="none"/>
                <w:lang w:val="en-GB"/>
              </w:rPr>
              <w:t>—不同单元各时段新增土壤侵蚀模数，t/( km</w:t>
            </w:r>
            <w:r>
              <w:rPr>
                <w:rFonts w:ascii="Times New Roman" w:hAnsi="Times New Roman"/>
                <w:i w:val="0"/>
                <w:iCs w:val="0"/>
                <w:color w:val="auto"/>
                <w:highlight w:val="none"/>
                <w:vertAlign w:val="superscript"/>
                <w:lang w:val="en-GB"/>
              </w:rPr>
              <w:t>2</w:t>
            </w:r>
            <w:r>
              <w:rPr>
                <w:rFonts w:hint="eastAsia"/>
                <w:i w:val="0"/>
                <w:iCs w:val="0"/>
                <w:color w:val="auto"/>
                <w:highlight w:val="none"/>
                <w:vertAlign w:val="superscript"/>
                <w:lang w:val="en-US" w:eastAsia="zh-CN"/>
              </w:rPr>
              <w:t xml:space="preserve"> </w:t>
            </w:r>
            <w:r>
              <w:rPr>
                <w:rFonts w:hint="default" w:ascii="Times New Roman" w:hAnsi="Times New Roman" w:cs="Times New Roman"/>
                <w:i w:val="0"/>
                <w:iCs w:val="0"/>
                <w:color w:val="auto"/>
                <w:highlight w:val="none"/>
                <w:vertAlign w:val="baseline"/>
                <w:lang w:val="en-US" w:eastAsia="zh-CN"/>
              </w:rPr>
              <w:t>·</w:t>
            </w:r>
            <w:r>
              <w:rPr>
                <w:rFonts w:hint="eastAsia" w:cs="Times New Roman"/>
                <w:i w:val="0"/>
                <w:iCs w:val="0"/>
                <w:color w:val="auto"/>
                <w:highlight w:val="none"/>
                <w:vertAlign w:val="baseline"/>
                <w:lang w:val="en-US" w:eastAsia="zh-CN"/>
              </w:rPr>
              <w:t xml:space="preserve"> </w:t>
            </w:r>
            <w:r>
              <w:rPr>
                <w:rFonts w:ascii="Times New Roman" w:hAnsi="Times New Roman"/>
                <w:i w:val="0"/>
                <w:iCs w:val="0"/>
                <w:color w:val="auto"/>
                <w:highlight w:val="none"/>
                <w:lang w:val="en-GB"/>
              </w:rPr>
              <w:t>a)；</w:t>
            </w:r>
          </w:p>
          <w:p>
            <w:pPr>
              <w:keepNext w:val="0"/>
              <w:keepLines w:val="0"/>
              <w:pageBreakBefore w:val="0"/>
              <w:widowControl w:val="0"/>
              <w:kinsoku/>
              <w:wordWrap/>
              <w:overflowPunct/>
              <w:topLinePunct w:val="0"/>
              <w:autoSpaceDE/>
              <w:autoSpaceDN/>
              <w:bidi w:val="0"/>
              <w:adjustRightInd/>
              <w:snapToGrid/>
              <w:spacing w:line="240" w:lineRule="auto"/>
              <w:ind w:firstLine="480"/>
              <w:textAlignment w:val="auto"/>
              <w:rPr>
                <w:rFonts w:ascii="Times New Roman" w:hAnsi="Times New Roman" w:eastAsia="仿宋"/>
                <w:i w:val="0"/>
                <w:iCs w:val="0"/>
                <w:color w:val="auto"/>
                <w:highlight w:val="none"/>
                <w:lang w:val="en-GB"/>
              </w:rPr>
            </w:pPr>
            <w:r>
              <w:rPr>
                <w:rFonts w:ascii="Times New Roman" w:hAnsi="Times New Roman"/>
                <w:i w:val="0"/>
                <w:iCs w:val="0"/>
                <w:color w:val="auto"/>
                <w:highlight w:val="none"/>
                <w:lang w:val="en-GB"/>
              </w:rPr>
              <w:object>
                <v:shape id="_x0000_i1038" o:spt="75" type="#_x0000_t75" style="height:15pt;width:12.5pt;" o:ole="t" filled="f" o:preferrelative="t" stroked="f" coordsize="21600,21600">
                  <v:path/>
                  <v:fill on="f" focussize="0,0"/>
                  <v:stroke on="f"/>
                  <v:imagedata r:id="rId59" o:title=""/>
                  <o:lock v:ext="edit" aspectratio="t"/>
                  <w10:wrap type="none"/>
                  <w10:anchorlock/>
                </v:shape>
                <o:OLEObject Type="Embed" ProgID="Equation.3" ShapeID="_x0000_i1038" DrawAspect="Content" ObjectID="_1468075738" r:id="rId58">
                  <o:LockedField>false</o:LockedField>
                </o:OLEObject>
              </w:object>
            </w:r>
            <w:r>
              <w:rPr>
                <w:rFonts w:ascii="Times New Roman" w:hAnsi="Times New Roman"/>
                <w:i w:val="0"/>
                <w:iCs w:val="0"/>
                <w:color w:val="auto"/>
                <w:highlight w:val="none"/>
                <w:lang w:val="en-GB"/>
              </w:rPr>
              <w:t>—预测时段，a。</w:t>
            </w:r>
          </w:p>
          <w:p>
            <w:pPr>
              <w:bidi w:val="0"/>
              <w:rPr>
                <w:rFonts w:hint="eastAsia"/>
                <w:color w:val="auto"/>
                <w:lang w:val="en-US" w:eastAsia="zh-CN"/>
              </w:rPr>
            </w:pPr>
            <w:r>
              <w:rPr>
                <w:rFonts w:hint="eastAsia"/>
                <w:color w:val="auto"/>
                <w:lang w:val="en-US" w:eastAsia="zh-CN"/>
              </w:rPr>
              <w:t>③预测结果</w:t>
            </w:r>
          </w:p>
          <w:p>
            <w:pPr>
              <w:ind w:firstLine="480"/>
              <w:rPr>
                <w:rFonts w:hint="eastAsia"/>
                <w:color w:val="auto"/>
                <w:highlight w:val="none"/>
                <w:lang w:val="en-US" w:eastAsia="zh-CN"/>
              </w:rPr>
            </w:pPr>
            <w:r>
              <w:rPr>
                <w:color w:val="auto"/>
                <w:highlight w:val="none"/>
              </w:rPr>
              <w:t>根据预测时段、土壤侵蚀模数、水土流失面积等，对施工期、自然恢复期水土流失量分别进行定量计算，计算结果见</w:t>
            </w:r>
            <w:r>
              <w:rPr>
                <w:rFonts w:hint="eastAsia"/>
                <w:color w:val="auto"/>
                <w:highlight w:val="none"/>
                <w:lang w:val="en-US" w:eastAsia="zh-CN"/>
              </w:rPr>
              <w:t>下表。</w:t>
            </w:r>
          </w:p>
          <w:p>
            <w:pPr>
              <w:pStyle w:val="18"/>
              <w:bidi w:val="0"/>
              <w:rPr>
                <w:rFonts w:hint="eastAsia"/>
                <w:color w:val="auto"/>
                <w:lang w:val="en-US" w:eastAsia="zh-CN"/>
              </w:rPr>
            </w:pPr>
            <w:r>
              <w:rPr>
                <w:rFonts w:hint="eastAsia"/>
                <w:color w:val="auto"/>
                <w:lang w:val="en-US" w:eastAsia="zh-CN"/>
              </w:rPr>
              <w:t>表27 水土流失量预测表</w:t>
            </w:r>
          </w:p>
          <w:p>
            <w:pPr>
              <w:pStyle w:val="23"/>
              <w:bidi w:val="0"/>
              <w:rPr>
                <w:rFonts w:hint="default"/>
                <w:color w:val="auto"/>
                <w:lang w:val="en-US" w:eastAsia="zh-CN"/>
              </w:rPr>
            </w:pPr>
            <w:r>
              <w:rPr>
                <w:color w:val="auto"/>
              </w:rPr>
              <w:drawing>
                <wp:inline distT="0" distB="0" distL="114300" distR="114300">
                  <wp:extent cx="4854575" cy="3131820"/>
                  <wp:effectExtent l="0" t="0" r="3175" b="11430"/>
                  <wp:docPr id="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5"/>
                          <pic:cNvPicPr>
                            <a:picLocks noChangeAspect="1"/>
                          </pic:cNvPicPr>
                        </pic:nvPicPr>
                        <pic:blipFill>
                          <a:blip r:embed="rId60"/>
                          <a:stretch>
                            <a:fillRect/>
                          </a:stretch>
                        </pic:blipFill>
                        <pic:spPr>
                          <a:xfrm>
                            <a:off x="0" y="0"/>
                            <a:ext cx="4854575" cy="3131820"/>
                          </a:xfrm>
                          <a:prstGeom prst="rect">
                            <a:avLst/>
                          </a:prstGeom>
                          <a:noFill/>
                          <a:ln>
                            <a:noFill/>
                          </a:ln>
                        </pic:spPr>
                      </pic:pic>
                    </a:graphicData>
                  </a:graphic>
                </wp:inline>
              </w:drawing>
            </w:r>
          </w:p>
          <w:p>
            <w:pPr>
              <w:ind w:firstLine="480"/>
              <w:rPr>
                <w:rFonts w:hint="default"/>
                <w:color w:val="auto"/>
                <w:lang w:val="en-US" w:eastAsia="zh-CN"/>
              </w:rPr>
            </w:pPr>
            <w:r>
              <w:rPr>
                <w:color w:val="auto"/>
                <w:highlight w:val="none"/>
              </w:rPr>
              <w:t>以上分析预测结果表明，项目区</w:t>
            </w:r>
            <w:r>
              <w:rPr>
                <w:rFonts w:hint="eastAsia"/>
                <w:color w:val="auto"/>
                <w:highlight w:val="none"/>
                <w:lang w:eastAsia="zh-CN"/>
              </w:rPr>
              <w:t>预测</w:t>
            </w:r>
            <w:r>
              <w:rPr>
                <w:color w:val="auto"/>
                <w:highlight w:val="none"/>
              </w:rPr>
              <w:t>的水土流失总量为</w:t>
            </w:r>
            <w:r>
              <w:rPr>
                <w:rFonts w:hint="eastAsia"/>
                <w:color w:val="auto"/>
                <w:highlight w:val="none"/>
                <w:lang w:val="en-US" w:eastAsia="zh-CN"/>
              </w:rPr>
              <w:t>261.7</w:t>
            </w:r>
            <w:r>
              <w:rPr>
                <w:rFonts w:hint="eastAsia"/>
                <w:color w:val="auto"/>
                <w:highlight w:val="none"/>
              </w:rPr>
              <w:t>t</w:t>
            </w:r>
            <w:r>
              <w:rPr>
                <w:color w:val="auto"/>
                <w:highlight w:val="none"/>
              </w:rPr>
              <w:t>，其中施工期水土流失量为</w:t>
            </w:r>
            <w:r>
              <w:rPr>
                <w:rFonts w:hint="eastAsia"/>
                <w:color w:val="auto"/>
                <w:highlight w:val="none"/>
                <w:lang w:val="en-US" w:eastAsia="zh-CN"/>
              </w:rPr>
              <w:t>65.7</w:t>
            </w:r>
            <w:r>
              <w:rPr>
                <w:rFonts w:hint="eastAsia"/>
                <w:color w:val="auto"/>
                <w:highlight w:val="none"/>
              </w:rPr>
              <w:t>t</w:t>
            </w:r>
            <w:r>
              <w:rPr>
                <w:color w:val="auto"/>
                <w:highlight w:val="none"/>
              </w:rPr>
              <w:t>，自然恢复期水土流失量为</w:t>
            </w:r>
            <w:r>
              <w:rPr>
                <w:rFonts w:hint="eastAsia"/>
                <w:color w:val="auto"/>
                <w:highlight w:val="none"/>
                <w:lang w:val="en-US" w:eastAsia="zh-CN"/>
              </w:rPr>
              <w:t>196.0</w:t>
            </w:r>
            <w:r>
              <w:rPr>
                <w:rFonts w:hint="eastAsia"/>
                <w:color w:val="auto"/>
                <w:highlight w:val="none"/>
              </w:rPr>
              <w:t>t</w:t>
            </w:r>
            <w:r>
              <w:rPr>
                <w:color w:val="auto"/>
                <w:highlight w:val="none"/>
              </w:rPr>
              <w:t>。新增水土流失量为</w:t>
            </w:r>
            <w:r>
              <w:rPr>
                <w:rFonts w:hint="eastAsia"/>
                <w:color w:val="auto"/>
                <w:highlight w:val="none"/>
                <w:lang w:val="en-US" w:eastAsia="zh-CN"/>
              </w:rPr>
              <w:t>222.8</w:t>
            </w:r>
            <w:r>
              <w:rPr>
                <w:rFonts w:hint="eastAsia"/>
                <w:color w:val="auto"/>
                <w:highlight w:val="none"/>
              </w:rPr>
              <w:t>t</w:t>
            </w:r>
            <w:r>
              <w:rPr>
                <w:color w:val="auto"/>
                <w:highlight w:val="none"/>
              </w:rPr>
              <w:t>，其中施工期新增水土流失量为</w:t>
            </w:r>
            <w:r>
              <w:rPr>
                <w:rFonts w:hint="eastAsia"/>
                <w:color w:val="auto"/>
                <w:highlight w:val="none"/>
                <w:lang w:val="en-US" w:eastAsia="zh-CN"/>
              </w:rPr>
              <w:t>62.7</w:t>
            </w:r>
            <w:r>
              <w:rPr>
                <w:rFonts w:hint="eastAsia"/>
                <w:color w:val="auto"/>
                <w:highlight w:val="none"/>
              </w:rPr>
              <w:t>t</w:t>
            </w:r>
            <w:r>
              <w:rPr>
                <w:color w:val="auto"/>
                <w:highlight w:val="none"/>
              </w:rPr>
              <w:t>，自然恢复期新增水土流失量为</w:t>
            </w:r>
            <w:r>
              <w:rPr>
                <w:rFonts w:hint="eastAsia"/>
                <w:color w:val="auto"/>
                <w:highlight w:val="none"/>
                <w:lang w:val="en-US" w:eastAsia="zh-CN"/>
              </w:rPr>
              <w:t>160.1</w:t>
            </w:r>
            <w:r>
              <w:rPr>
                <w:rFonts w:hint="eastAsia"/>
                <w:color w:val="auto"/>
                <w:highlight w:val="none"/>
              </w:rPr>
              <w:t>t</w:t>
            </w:r>
            <w:r>
              <w:rPr>
                <w:color w:val="auto"/>
                <w:highlight w:val="none"/>
              </w:rPr>
              <w:t>。</w:t>
            </w:r>
          </w:p>
          <w:p>
            <w:pPr>
              <w:bidi w:val="0"/>
              <w:rPr>
                <w:rFonts w:hint="eastAsia"/>
                <w:color w:val="auto"/>
                <w:lang w:val="en-US" w:eastAsia="zh-CN"/>
              </w:rPr>
            </w:pPr>
            <w:r>
              <w:rPr>
                <w:rFonts w:hint="eastAsia"/>
                <w:color w:val="auto"/>
                <w:lang w:val="en-US" w:eastAsia="zh-CN"/>
              </w:rPr>
              <w:t>（2）水土流失危害分析</w:t>
            </w:r>
          </w:p>
          <w:p>
            <w:pPr>
              <w:ind w:firstLine="480"/>
              <w:rPr>
                <w:color w:val="auto"/>
                <w:highlight w:val="none"/>
              </w:rPr>
            </w:pPr>
            <w:r>
              <w:rPr>
                <w:color w:val="auto"/>
                <w:highlight w:val="none"/>
              </w:rPr>
              <w:t>项目建设过程中，工程占地范围内的地表将遭受不同程度的破坏，局部地貌将发生较大的变化，经过</w:t>
            </w:r>
            <w:r>
              <w:rPr>
                <w:rFonts w:hint="eastAsia"/>
                <w:color w:val="auto"/>
                <w:highlight w:val="none"/>
              </w:rPr>
              <w:t>估算</w:t>
            </w:r>
            <w:r>
              <w:rPr>
                <w:color w:val="auto"/>
                <w:highlight w:val="none"/>
              </w:rPr>
              <w:t>，建设区新增水土流失约</w:t>
            </w:r>
            <w:r>
              <w:rPr>
                <w:rFonts w:hint="eastAsia"/>
                <w:color w:val="auto"/>
                <w:highlight w:val="none"/>
                <w:lang w:val="en-US" w:eastAsia="zh-CN"/>
              </w:rPr>
              <w:t>222.8</w:t>
            </w:r>
            <w:r>
              <w:rPr>
                <w:rFonts w:hint="eastAsia"/>
                <w:color w:val="auto"/>
                <w:highlight w:val="none"/>
              </w:rPr>
              <w:t>t</w:t>
            </w:r>
            <w:r>
              <w:rPr>
                <w:color w:val="auto"/>
                <w:highlight w:val="none"/>
              </w:rPr>
              <w:t>，如不采取水土保持措施，新增水土流失量不仅影响项目本身的建设，也将对项目区及周边生态环境</w:t>
            </w:r>
            <w:r>
              <w:rPr>
                <w:rFonts w:hint="eastAsia"/>
                <w:color w:val="auto"/>
                <w:highlight w:val="none"/>
                <w:lang w:eastAsia="zh-CN"/>
              </w:rPr>
              <w:t>，以及</w:t>
            </w:r>
            <w:r>
              <w:rPr>
                <w:color w:val="auto"/>
                <w:highlight w:val="none"/>
              </w:rPr>
              <w:t>附近河道带来不利影响。其可能造成的危害主要有：</w:t>
            </w:r>
          </w:p>
          <w:p>
            <w:pPr>
              <w:ind w:firstLine="480"/>
              <w:rPr>
                <w:color w:val="auto"/>
                <w:highlight w:val="none"/>
              </w:rPr>
            </w:pPr>
            <w:r>
              <w:rPr>
                <w:rFonts w:hint="eastAsia"/>
                <w:color w:val="auto"/>
                <w:highlight w:val="none"/>
                <w:lang w:val="en-US" w:eastAsia="zh-CN"/>
              </w:rPr>
              <w:t>①</w:t>
            </w:r>
            <w:r>
              <w:rPr>
                <w:color w:val="auto"/>
                <w:highlight w:val="none"/>
              </w:rPr>
              <w:t>对工程本身建设的影响</w:t>
            </w:r>
          </w:p>
          <w:p>
            <w:pPr>
              <w:ind w:firstLine="480"/>
              <w:rPr>
                <w:color w:val="auto"/>
                <w:highlight w:val="none"/>
              </w:rPr>
            </w:pPr>
            <w:r>
              <w:rPr>
                <w:color w:val="auto"/>
                <w:highlight w:val="none"/>
              </w:rPr>
              <w:t>项目工程区是水土流失易发区域，原地貌经扰动后是水土流失的重点区域，如不采取有效防护措施，极易产生严重水土流失，影响工程施工，严重时可能诱发施工安全事故，所以建设单位及施工单位要高度重视水土流失防治工作，严格按照主体设计所采取的施工工序进行施工，及时采取本方案设计提出的临时防护措施加以防护。</w:t>
            </w:r>
          </w:p>
          <w:p>
            <w:pPr>
              <w:ind w:firstLine="480"/>
              <w:rPr>
                <w:color w:val="auto"/>
                <w:highlight w:val="none"/>
              </w:rPr>
            </w:pPr>
            <w:r>
              <w:rPr>
                <w:rFonts w:hint="eastAsia"/>
                <w:color w:val="auto"/>
                <w:highlight w:val="none"/>
                <w:lang w:val="en-US" w:eastAsia="zh-CN"/>
              </w:rPr>
              <w:t>②</w:t>
            </w:r>
            <w:r>
              <w:rPr>
                <w:color w:val="auto"/>
                <w:highlight w:val="none"/>
              </w:rPr>
              <w:t>对周边排水系统的影响</w:t>
            </w:r>
          </w:p>
          <w:p>
            <w:pPr>
              <w:ind w:firstLine="480"/>
              <w:rPr>
                <w:color w:val="auto"/>
                <w:highlight w:val="none"/>
              </w:rPr>
            </w:pPr>
            <w:r>
              <w:rPr>
                <w:color w:val="auto"/>
                <w:highlight w:val="none"/>
              </w:rPr>
              <w:t>工程施工过程中如不采用临时拦挡、覆盖等措施，松散堆土表面将产生较为严重的水土流失，在降雨或河水径流的作用下，部分泥沙进入周边排水系统，堵塞排水沟渠和管网。</w:t>
            </w:r>
          </w:p>
          <w:p>
            <w:pPr>
              <w:ind w:firstLine="480"/>
              <w:rPr>
                <w:color w:val="auto"/>
                <w:highlight w:val="none"/>
              </w:rPr>
            </w:pPr>
            <w:r>
              <w:rPr>
                <w:rFonts w:hint="eastAsia"/>
                <w:color w:val="auto"/>
                <w:highlight w:val="none"/>
                <w:lang w:val="en-US" w:eastAsia="zh-CN"/>
              </w:rPr>
              <w:t>③</w:t>
            </w:r>
            <w:r>
              <w:rPr>
                <w:color w:val="auto"/>
                <w:highlight w:val="none"/>
              </w:rPr>
              <w:t>对项目区及周边环境的影响</w:t>
            </w:r>
          </w:p>
          <w:p>
            <w:pPr>
              <w:bidi w:val="0"/>
              <w:rPr>
                <w:rFonts w:hint="default"/>
                <w:color w:val="auto"/>
                <w:lang w:val="en-US" w:eastAsia="zh-CN"/>
              </w:rPr>
            </w:pPr>
            <w:r>
              <w:rPr>
                <w:color w:val="auto"/>
              </w:rPr>
              <w:t>在工程施工中，将产生一定开挖裸露面，若不加以防护，泥沙随降雨、大风逸散到施工区域周边，在影响施工进度的同时将可能对周边生产生活环境造成不良影响。</w:t>
            </w:r>
          </w:p>
          <w:p>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eastAsia"/>
                <w:b/>
                <w:bCs/>
                <w:lang w:val="en-US" w:eastAsia="zh-CN"/>
              </w:rPr>
            </w:pPr>
            <w:r>
              <w:rPr>
                <w:rFonts w:hint="eastAsia"/>
                <w:b/>
                <w:bCs/>
                <w:lang w:val="en-US" w:eastAsia="zh-CN"/>
              </w:rPr>
              <w:t>7、环境风险分析</w:t>
            </w:r>
          </w:p>
          <w:p>
            <w:pPr>
              <w:bidi w:val="0"/>
              <w:rPr>
                <w:rFonts w:hint="eastAsia"/>
                <w:lang w:val="en-US" w:eastAsia="zh-CN"/>
              </w:rPr>
            </w:pPr>
            <w:r>
              <w:rPr>
                <w:rFonts w:hint="eastAsia"/>
                <w:lang w:val="en-US" w:eastAsia="zh-CN"/>
              </w:rPr>
              <w:t>本项目环境风险主要为施工期“三废”事故排放对周边地表水环境产生影响，包括施工机械燃油或机油渗漏等。</w:t>
            </w:r>
          </w:p>
          <w:p>
            <w:pPr>
              <w:keepNext w:val="0"/>
              <w:keepLines w:val="0"/>
              <w:widowControl/>
              <w:suppressLineNumbers w:val="0"/>
              <w:jc w:val="left"/>
              <w:rPr>
                <w:rFonts w:hint="default"/>
                <w:lang w:val="en-US"/>
              </w:rPr>
            </w:pPr>
            <w:r>
              <w:rPr>
                <w:rFonts w:hint="eastAsia" w:ascii="宋体" w:hAnsi="宋体" w:eastAsia="宋体" w:cs="宋体"/>
                <w:color w:val="000000"/>
                <w:kern w:val="0"/>
                <w:sz w:val="24"/>
                <w:szCs w:val="24"/>
                <w:lang w:val="en-US" w:eastAsia="zh-CN" w:bidi="ar"/>
              </w:rPr>
              <w:t>（</w:t>
            </w:r>
            <w:r>
              <w:rPr>
                <w:rFonts w:hint="default" w:ascii="Times New Roman" w:hAnsi="Times New Roman" w:cs="Times New Roman"/>
                <w:color w:val="000000"/>
                <w:kern w:val="0"/>
                <w:sz w:val="24"/>
                <w:szCs w:val="24"/>
                <w:lang w:val="en-US" w:eastAsia="zh-CN" w:bidi="ar"/>
              </w:rPr>
              <w:t>1</w:t>
            </w:r>
            <w:r>
              <w:rPr>
                <w:rFonts w:hint="eastAsia" w:ascii="宋体" w:hAnsi="宋体" w:eastAsia="宋体" w:cs="宋体"/>
                <w:color w:val="000000"/>
                <w:kern w:val="0"/>
                <w:sz w:val="24"/>
                <w:szCs w:val="24"/>
                <w:lang w:val="en-US" w:eastAsia="zh-CN" w:bidi="ar"/>
              </w:rPr>
              <w:t>）</w:t>
            </w:r>
            <w:r>
              <w:rPr>
                <w:rFonts w:hint="eastAsia" w:ascii="宋体" w:hAnsi="宋体" w:cs="宋体"/>
                <w:color w:val="000000"/>
                <w:kern w:val="0"/>
                <w:sz w:val="24"/>
                <w:szCs w:val="24"/>
                <w:lang w:val="en-US" w:eastAsia="zh-CN" w:bidi="ar"/>
              </w:rPr>
              <w:t>环境风险</w:t>
            </w:r>
            <w:r>
              <w:rPr>
                <w:rFonts w:hint="eastAsia"/>
                <w:lang w:val="en-US" w:eastAsia="zh-CN"/>
              </w:rPr>
              <w:t>评价</w:t>
            </w:r>
          </w:p>
          <w:p>
            <w:pPr>
              <w:keepNext w:val="0"/>
              <w:keepLines w:val="0"/>
              <w:widowControl/>
              <w:suppressLineNumbers w:val="0"/>
              <w:jc w:val="left"/>
              <w:rPr>
                <w:rFonts w:hint="default"/>
                <w:lang w:val="en-US"/>
              </w:rPr>
            </w:pPr>
            <w:r>
              <w:rPr>
                <w:rFonts w:hint="eastAsia" w:ascii="宋体" w:hAnsi="宋体" w:eastAsia="宋体" w:cs="宋体"/>
                <w:color w:val="000000"/>
                <w:kern w:val="0"/>
                <w:sz w:val="24"/>
                <w:szCs w:val="24"/>
                <w:lang w:val="en-US" w:eastAsia="zh-CN" w:bidi="ar"/>
              </w:rPr>
              <w:t>本项目</w:t>
            </w:r>
            <w:r>
              <w:rPr>
                <w:rFonts w:hint="eastAsia" w:ascii="宋体" w:hAnsi="宋体" w:cs="宋体"/>
                <w:color w:val="000000"/>
                <w:kern w:val="0"/>
                <w:sz w:val="24"/>
                <w:szCs w:val="24"/>
                <w:lang w:val="en-US" w:eastAsia="zh-CN" w:bidi="ar"/>
              </w:rPr>
              <w:t>使用的机油</w:t>
            </w:r>
            <w:r>
              <w:rPr>
                <w:rFonts w:hint="eastAsia" w:ascii="宋体" w:hAnsi="宋体" w:eastAsia="宋体" w:cs="宋体"/>
                <w:color w:val="000000"/>
                <w:kern w:val="0"/>
                <w:sz w:val="24"/>
                <w:szCs w:val="24"/>
                <w:lang w:val="en-US" w:eastAsia="zh-CN" w:bidi="ar"/>
              </w:rPr>
              <w:t>主要为施工机械设备维修，用量较小，</w:t>
            </w:r>
            <w:r>
              <w:rPr>
                <w:rFonts w:hint="eastAsia" w:ascii="宋体" w:hAnsi="宋体" w:cs="宋体"/>
                <w:color w:val="000000"/>
                <w:kern w:val="0"/>
                <w:sz w:val="24"/>
                <w:szCs w:val="24"/>
                <w:lang w:val="en-US" w:eastAsia="zh-CN" w:bidi="ar"/>
              </w:rPr>
              <w:t>泄漏</w:t>
            </w:r>
            <w:r>
              <w:rPr>
                <w:rFonts w:hint="eastAsia" w:ascii="宋体" w:hAnsi="宋体" w:eastAsia="宋体" w:cs="宋体"/>
                <w:color w:val="000000"/>
                <w:kern w:val="0"/>
                <w:sz w:val="24"/>
                <w:szCs w:val="24"/>
                <w:lang w:val="en-US" w:eastAsia="zh-CN" w:bidi="ar"/>
              </w:rPr>
              <w:t>风险主要存在于火灾时发生</w:t>
            </w:r>
            <w:r>
              <w:rPr>
                <w:rFonts w:hint="eastAsia" w:ascii="宋体" w:hAnsi="宋体" w:cs="宋体"/>
                <w:color w:val="000000"/>
                <w:kern w:val="0"/>
                <w:sz w:val="24"/>
                <w:szCs w:val="24"/>
                <w:lang w:val="en-US" w:eastAsia="zh-CN" w:bidi="ar"/>
              </w:rPr>
              <w:t>机油泄漏</w:t>
            </w:r>
            <w:r>
              <w:rPr>
                <w:rFonts w:hint="eastAsia" w:ascii="宋体" w:hAnsi="宋体" w:eastAsia="宋体" w:cs="宋体"/>
                <w:color w:val="000000"/>
                <w:kern w:val="0"/>
                <w:sz w:val="24"/>
                <w:szCs w:val="24"/>
                <w:lang w:val="en-US" w:eastAsia="zh-CN" w:bidi="ar"/>
              </w:rPr>
              <w:t>。</w:t>
            </w:r>
            <w:r>
              <w:rPr>
                <w:rFonts w:hint="eastAsia"/>
                <w:lang w:val="en-US" w:eastAsia="zh-CN"/>
              </w:rPr>
              <w:t>若机油发生泄漏遇明火有可能发生火灾事故，则会产生烟尘、二氧化碳、二氧化硫和二氧化氮，对项目周边的空气质量和居民带来一定影响。在发生火灾的情况下，在实施灭火过程中，消防废水若排入周边水体，则会对周边地表水环境造成影响。</w:t>
            </w:r>
          </w:p>
          <w:p>
            <w:pPr>
              <w:bidi w:val="0"/>
              <w:rPr>
                <w:rFonts w:hint="default"/>
                <w:lang w:val="en-US" w:eastAsia="zh-CN"/>
              </w:rPr>
            </w:pPr>
            <w:r>
              <w:rPr>
                <w:rFonts w:hint="eastAsia"/>
                <w:lang w:val="en-US" w:eastAsia="zh-CN"/>
              </w:rPr>
              <w:t>（2）环境风险防范措施</w:t>
            </w:r>
          </w:p>
          <w:p>
            <w:pPr>
              <w:bidi w:val="0"/>
            </w:pPr>
            <w:r>
              <w:rPr>
                <w:rFonts w:hint="eastAsia"/>
                <w:lang w:val="en-US" w:eastAsia="zh-CN"/>
              </w:rPr>
              <w:t>根据本项目的性质特点及项目所在区域外环境关系特征分析，为降低环境风</w:t>
            </w:r>
            <w:r>
              <w:rPr>
                <w:rFonts w:hint="eastAsia" w:ascii="宋体" w:hAnsi="宋体" w:eastAsia="宋体" w:cs="宋体"/>
                <w:color w:val="000000"/>
                <w:kern w:val="0"/>
                <w:sz w:val="24"/>
                <w:szCs w:val="24"/>
                <w:lang w:val="en-US" w:eastAsia="zh-CN" w:bidi="ar"/>
              </w:rPr>
              <w:t>险，本环评要求：</w:t>
            </w:r>
          </w:p>
          <w:p>
            <w:pPr>
              <w:keepNext w:val="0"/>
              <w:keepLines w:val="0"/>
              <w:widowControl/>
              <w:suppressLineNumbers w:val="0"/>
              <w:jc w:val="left"/>
            </w:pPr>
            <w:r>
              <w:rPr>
                <w:rFonts w:hint="eastAsia" w:ascii="宋体" w:hAnsi="宋体" w:eastAsia="宋体" w:cs="宋体"/>
                <w:color w:val="000000"/>
                <w:kern w:val="0"/>
                <w:sz w:val="24"/>
                <w:szCs w:val="24"/>
                <w:lang w:val="en-US" w:eastAsia="zh-CN" w:bidi="ar"/>
              </w:rPr>
              <w:t>①人为因素往往是事故发生的主要原因，因此，施工期采取严格管理和险情监控，定期检查，做好预防事故发生的工作，减少或消除风险发生的概率，减轻风险对环境的影响。</w:t>
            </w:r>
          </w:p>
          <w:p>
            <w:pPr>
              <w:keepNext w:val="0"/>
              <w:keepLines w:val="0"/>
              <w:widowControl/>
              <w:suppressLineNumbers w:val="0"/>
              <w:jc w:val="left"/>
              <w:rPr>
                <w:rFonts w:hint="eastAsia" w:ascii="宋体" w:hAnsi="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②一旦发生事故，及时向有关部门反映，采取有效处理措施，最大限度降低对周围环境造成的危害</w:t>
            </w:r>
            <w:r>
              <w:rPr>
                <w:rFonts w:hint="eastAsia" w:ascii="宋体" w:hAnsi="宋体" w:cs="宋体"/>
                <w:color w:val="000000"/>
                <w:kern w:val="0"/>
                <w:sz w:val="24"/>
                <w:szCs w:val="24"/>
                <w:lang w:val="en-US" w:eastAsia="zh-CN" w:bidi="ar"/>
              </w:rPr>
              <w:t>。</w:t>
            </w:r>
          </w:p>
          <w:p>
            <w:pPr>
              <w:keepNext w:val="0"/>
              <w:keepLines w:val="0"/>
              <w:widowControl/>
              <w:suppressLineNumbers w:val="0"/>
              <w:jc w:val="left"/>
              <w:rPr>
                <w:rFonts w:hint="default"/>
                <w:lang w:val="en-US" w:eastAsia="zh-CN"/>
              </w:rPr>
            </w:pPr>
            <w:r>
              <w:rPr>
                <w:rFonts w:hint="eastAsia" w:ascii="宋体" w:hAnsi="宋体" w:eastAsia="宋体" w:cs="宋体"/>
                <w:color w:val="000000"/>
                <w:kern w:val="0"/>
                <w:sz w:val="24"/>
                <w:szCs w:val="24"/>
                <w:lang w:val="en-US" w:eastAsia="zh-CN" w:bidi="ar"/>
              </w:rPr>
              <w:t>建设单位只要严格按照本报告提出的要求，加强管理，按规定实施风险防范措施，可以将环境风险降低到可接受的水平，拟采取的风险防范措施可行，从环境风险角度本项目的建设是可行的。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lang w:val="en-US" w:eastAsia="zh-CN"/>
              </w:rPr>
            </w:pPr>
            <w:r>
              <w:rPr>
                <w:rFonts w:hint="eastAsia"/>
                <w:lang w:val="en-US" w:eastAsia="zh-CN"/>
              </w:rPr>
              <w:t>运营期生态环境影响分析</w:t>
            </w:r>
          </w:p>
        </w:tc>
        <w:tc>
          <w:tcPr>
            <w:tcW w:w="8568" w:type="dxa"/>
            <w:vAlign w:val="center"/>
          </w:tcPr>
          <w:p>
            <w:pPr>
              <w:pStyle w:val="8"/>
              <w:bidi w:val="0"/>
              <w:rPr>
                <w:rFonts w:hint="default"/>
                <w:lang w:val="en-US" w:eastAsia="zh-CN"/>
              </w:rPr>
            </w:pPr>
            <w:r>
              <w:rPr>
                <w:rFonts w:hint="eastAsia"/>
                <w:lang w:val="en-US" w:eastAsia="zh-CN"/>
              </w:rPr>
              <w:t>1、废气环境影响分析</w:t>
            </w:r>
          </w:p>
          <w:p>
            <w:pPr>
              <w:pStyle w:val="22"/>
              <w:bidi w:val="0"/>
              <w:rPr>
                <w:rFonts w:hint="default"/>
                <w:b w:val="0"/>
                <w:bCs w:val="0"/>
                <w:color w:val="auto"/>
                <w:sz w:val="24"/>
                <w:szCs w:val="32"/>
                <w:lang w:val="en-US" w:eastAsia="zh-CN"/>
              </w:rPr>
            </w:pPr>
            <w:bookmarkStart w:id="7" w:name="OLE_LINK2"/>
            <w:r>
              <w:rPr>
                <w:rFonts w:hint="eastAsia"/>
                <w:b w:val="0"/>
                <w:bCs w:val="0"/>
                <w:color w:val="auto"/>
                <w:sz w:val="24"/>
                <w:szCs w:val="32"/>
                <w:lang w:val="en-US" w:eastAsia="zh-CN"/>
              </w:rPr>
              <w:t>本项目运营过程产生的废气主要为</w:t>
            </w:r>
            <w:bookmarkEnd w:id="7"/>
            <w:r>
              <w:rPr>
                <w:rFonts w:hint="eastAsia"/>
                <w:b w:val="0"/>
                <w:bCs w:val="0"/>
                <w:color w:val="auto"/>
                <w:sz w:val="24"/>
                <w:szCs w:val="32"/>
                <w:lang w:val="en-US" w:eastAsia="zh-CN"/>
              </w:rPr>
              <w:t>餐饮油烟、备用发电机燃烧废气、公厕恶臭和停车场汽车尾气。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z w:val="24"/>
                <w:szCs w:val="32"/>
                <w:highlight w:val="none"/>
                <w:lang w:val="en-US" w:eastAsia="zh-CN"/>
              </w:rPr>
            </w:pPr>
            <w:r>
              <w:rPr>
                <w:rFonts w:hint="eastAsia" w:ascii="Times New Roman" w:hAnsi="Times New Roman" w:cs="Times New Roman"/>
                <w:b w:val="0"/>
                <w:bCs w:val="0"/>
                <w:color w:val="auto"/>
                <w:sz w:val="24"/>
                <w:szCs w:val="32"/>
                <w:highlight w:val="none"/>
                <w:lang w:val="en-US" w:eastAsia="zh-CN"/>
              </w:rPr>
              <w:t>（1）</w:t>
            </w:r>
            <w:r>
              <w:rPr>
                <w:rFonts w:hint="default" w:ascii="Times New Roman" w:hAnsi="Times New Roman" w:cs="Times New Roman"/>
                <w:b w:val="0"/>
                <w:bCs w:val="0"/>
                <w:color w:val="auto"/>
                <w:sz w:val="24"/>
                <w:szCs w:val="32"/>
                <w:highlight w:val="none"/>
                <w:lang w:val="en-US" w:eastAsia="zh-CN"/>
              </w:rPr>
              <w:t>源强核算</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val="en-US" w:eastAsia="zh-CN"/>
              </w:rPr>
            </w:pPr>
            <w:r>
              <w:rPr>
                <w:rFonts w:hint="eastAsia"/>
                <w:color w:val="auto"/>
                <w:sz w:val="24"/>
                <w:szCs w:val="32"/>
                <w:highlight w:val="none"/>
                <w:lang w:val="en-US" w:eastAsia="zh-CN"/>
              </w:rPr>
              <w:t>①食堂油烟</w:t>
            </w:r>
          </w:p>
          <w:p>
            <w:pPr>
              <w:pStyle w:val="22"/>
              <w:bidi w:val="0"/>
              <w:rPr>
                <w:rFonts w:hint="eastAsia"/>
                <w:highlight w:val="none"/>
                <w:lang w:val="en-US" w:eastAsia="zh-CN"/>
              </w:rPr>
            </w:pPr>
            <w:r>
              <w:rPr>
                <w:rFonts w:hint="eastAsia"/>
                <w:highlight w:val="none"/>
                <w:lang w:val="en-US" w:eastAsia="zh-CN"/>
              </w:rPr>
              <w:t>本项目内设有员工食堂，平均就餐人数600人，设基准灶头数6个，员工食堂每个灶头排风量以1000m</w:t>
            </w:r>
            <w:r>
              <w:rPr>
                <w:rFonts w:hint="eastAsia"/>
                <w:highlight w:val="none"/>
                <w:vertAlign w:val="superscript"/>
                <w:lang w:val="en-US" w:eastAsia="zh-CN"/>
              </w:rPr>
              <w:t>3</w:t>
            </w:r>
            <w:r>
              <w:rPr>
                <w:rFonts w:hint="eastAsia"/>
                <w:highlight w:val="none"/>
                <w:lang w:val="en-US" w:eastAsia="zh-CN"/>
              </w:rPr>
              <w:t>/h计，年工作日80天，日工作时间约6h，食用油日用量按30g/人·天计，一般油烟挥发量占总耗油量的2.5%，油烟产生量为0.036t/a。</w:t>
            </w:r>
          </w:p>
          <w:p>
            <w:pPr>
              <w:pStyle w:val="22"/>
              <w:bidi w:val="0"/>
              <w:rPr>
                <w:rFonts w:hint="default"/>
                <w:highlight w:val="none"/>
                <w:lang w:val="en-US" w:eastAsia="zh-CN"/>
              </w:rPr>
            </w:pPr>
            <w:r>
              <w:rPr>
                <w:rFonts w:hint="eastAsia"/>
                <w:highlight w:val="none"/>
                <w:lang w:val="en-US" w:eastAsia="zh-CN"/>
              </w:rPr>
              <w:t>本项目员工食堂拟采用的油烟净化装置去除效率达85%，食堂油烟经油烟净化处理后排放。经计算，处理后的油烟浓度为1.875mg/m</w:t>
            </w:r>
            <w:r>
              <w:rPr>
                <w:rFonts w:hint="eastAsia"/>
                <w:highlight w:val="none"/>
                <w:vertAlign w:val="superscript"/>
                <w:lang w:val="en-US" w:eastAsia="zh-CN"/>
              </w:rPr>
              <w:t>3</w:t>
            </w:r>
            <w:r>
              <w:rPr>
                <w:rFonts w:hint="eastAsia"/>
                <w:highlight w:val="none"/>
                <w:lang w:val="en-US" w:eastAsia="zh-CN"/>
              </w:rPr>
              <w:t>，年排放量为0.0054t/a。满足《饮食业油烟排放标准（试行）》（GB18483-2001）规定的最高允许排放浓度2mg/m</w:t>
            </w:r>
            <w:r>
              <w:rPr>
                <w:rFonts w:hint="eastAsia"/>
                <w:highlight w:val="none"/>
                <w:vertAlign w:val="superscript"/>
                <w:lang w:val="en-US" w:eastAsia="zh-CN"/>
              </w:rPr>
              <w:t>3</w:t>
            </w:r>
            <w:r>
              <w:rPr>
                <w:rFonts w:hint="eastAsia"/>
                <w:highlight w:val="none"/>
                <w:lang w:val="en-US" w:eastAsia="zh-CN"/>
              </w:rPr>
              <w:t>，同时满足大型餐饮单位净化设施最低去除效率为85%的要求。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highlight w:val="none"/>
                <w:lang w:val="en-US" w:eastAsia="zh-CN"/>
              </w:rPr>
            </w:pPr>
            <w:r>
              <w:rPr>
                <w:rFonts w:hint="eastAsia"/>
                <w:highlight w:val="none"/>
                <w:lang w:val="en-US" w:eastAsia="zh-CN"/>
              </w:rPr>
              <w:t>②餐厅油烟</w:t>
            </w:r>
          </w:p>
          <w:p>
            <w:pPr>
              <w:pStyle w:val="22"/>
              <w:bidi w:val="0"/>
              <w:rPr>
                <w:rFonts w:hint="eastAsia"/>
                <w:highlight w:val="none"/>
                <w:lang w:val="en-US" w:eastAsia="zh-CN"/>
              </w:rPr>
            </w:pPr>
            <w:r>
              <w:rPr>
                <w:rFonts w:hint="eastAsia"/>
                <w:highlight w:val="none"/>
                <w:lang w:val="en-US" w:eastAsia="zh-CN"/>
              </w:rPr>
              <w:t>本项目内设有主题餐厅，平均就餐人数1500人，设基准灶头数8个，员工食堂每个灶头排风量以2000m</w:t>
            </w:r>
            <w:r>
              <w:rPr>
                <w:rFonts w:hint="eastAsia"/>
                <w:highlight w:val="none"/>
                <w:vertAlign w:val="superscript"/>
                <w:lang w:val="en-US" w:eastAsia="zh-CN"/>
              </w:rPr>
              <w:t>3</w:t>
            </w:r>
            <w:r>
              <w:rPr>
                <w:rFonts w:hint="eastAsia"/>
                <w:highlight w:val="none"/>
                <w:lang w:val="en-US" w:eastAsia="zh-CN"/>
              </w:rPr>
              <w:t>/h计，年工作日80天，日工作时间约6h，食用油日用量按30g/人·天计，一般油烟挥发量占总耗油量的2.5%，油烟产生量为0.09t/a。</w:t>
            </w:r>
          </w:p>
          <w:p>
            <w:pPr>
              <w:pStyle w:val="22"/>
              <w:bidi w:val="0"/>
              <w:rPr>
                <w:rFonts w:hint="default"/>
                <w:highlight w:val="none"/>
                <w:lang w:val="en-US" w:eastAsia="zh-CN"/>
              </w:rPr>
            </w:pPr>
            <w:r>
              <w:rPr>
                <w:rFonts w:hint="eastAsia"/>
                <w:highlight w:val="none"/>
                <w:lang w:val="en-US" w:eastAsia="zh-CN"/>
              </w:rPr>
              <w:t>本项目主题餐厅拟采用的油烟净化装置去除效率达85%，油烟经油烟净化处理后排放。经计算，处理后的油烟浓度为1.758mg/m</w:t>
            </w:r>
            <w:r>
              <w:rPr>
                <w:rFonts w:hint="eastAsia"/>
                <w:highlight w:val="none"/>
                <w:vertAlign w:val="superscript"/>
                <w:lang w:val="en-US" w:eastAsia="zh-CN"/>
              </w:rPr>
              <w:t>3</w:t>
            </w:r>
            <w:r>
              <w:rPr>
                <w:rFonts w:hint="eastAsia"/>
                <w:highlight w:val="none"/>
                <w:lang w:val="en-US" w:eastAsia="zh-CN"/>
              </w:rPr>
              <w:t>，年排放量为0.0135t/a。满足《饮食业油烟排放标准（试行）》（GB18483-2001）规定的最高允许排放浓度2mg/m</w:t>
            </w:r>
            <w:r>
              <w:rPr>
                <w:rFonts w:hint="eastAsia"/>
                <w:highlight w:val="none"/>
                <w:vertAlign w:val="superscript"/>
                <w:lang w:val="en-US" w:eastAsia="zh-CN"/>
              </w:rPr>
              <w:t>3</w:t>
            </w:r>
            <w:r>
              <w:rPr>
                <w:rFonts w:hint="eastAsia"/>
                <w:highlight w:val="none"/>
                <w:lang w:val="en-US" w:eastAsia="zh-CN"/>
              </w:rPr>
              <w:t>，同时满足大型餐饮单位净化设施最低去除效率为85%的要求。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lang w:val="en-US" w:eastAsia="zh-CN"/>
              </w:rPr>
            </w:pPr>
            <w:r>
              <w:rPr>
                <w:rFonts w:hint="eastAsia"/>
                <w:lang w:val="en-US" w:eastAsia="zh-CN"/>
              </w:rPr>
              <w:t>③</w:t>
            </w:r>
            <w:r>
              <w:rPr>
                <w:rFonts w:hint="eastAsia"/>
                <w:color w:val="auto"/>
                <w:sz w:val="24"/>
                <w:szCs w:val="32"/>
                <w:lang w:val="en-US" w:eastAsia="zh-CN"/>
              </w:rPr>
              <w:t>备用发电机燃烧废气</w:t>
            </w:r>
          </w:p>
          <w:p>
            <w:pPr>
              <w:pStyle w:val="22"/>
              <w:bidi w:val="0"/>
              <w:rPr>
                <w:rFonts w:hint="eastAsia" w:eastAsia="宋体"/>
                <w:lang w:val="en-US" w:eastAsia="zh-CN"/>
              </w:rPr>
            </w:pPr>
            <w:r>
              <w:rPr>
                <w:rFonts w:hint="default"/>
                <w:lang w:val="en-US" w:eastAsia="zh-CN"/>
              </w:rPr>
              <w:t>项目运营期拟设置柴油备用发电机1台，按800千瓦预估，在停电时与正常维护时启用，位于专用设备用房。</w:t>
            </w:r>
            <w:r>
              <w:rPr>
                <w:rFonts w:hint="eastAsia"/>
                <w:lang w:val="en-US" w:eastAsia="zh-CN"/>
              </w:rPr>
              <w:t>发电机属于备用电源，仅在市政停电紧急情况下使用，由于该区日常供电稳定，发电机使用频率较低，全年使用时间很短，产污量较少，故不进行定量分析。</w:t>
            </w:r>
            <w:r>
              <w:rPr>
                <w:rFonts w:hint="eastAsia"/>
                <w:color w:val="auto"/>
                <w:sz w:val="24"/>
                <w:szCs w:val="32"/>
                <w:lang w:val="en-US" w:eastAsia="zh-CN"/>
              </w:rPr>
              <w:t>备用发电机燃烧废气</w:t>
            </w:r>
            <w:r>
              <w:rPr>
                <w:rFonts w:hint="eastAsia"/>
                <w:lang w:val="en-US" w:eastAsia="zh-CN"/>
              </w:rPr>
              <w:t>通过专用烟道引至高空排放。</w:t>
            </w:r>
          </w:p>
          <w:p>
            <w:pPr>
              <w:pStyle w:val="22"/>
              <w:bidi w:val="0"/>
              <w:spacing w:line="360" w:lineRule="auto"/>
              <w:rPr>
                <w:rFonts w:hint="default"/>
              </w:rPr>
            </w:pPr>
            <w:r>
              <w:rPr>
                <w:rFonts w:hint="eastAsia"/>
                <w:lang w:val="en-US" w:eastAsia="zh-CN"/>
              </w:rPr>
              <w:t>④汽车</w:t>
            </w:r>
            <w:r>
              <w:rPr>
                <w:rFonts w:hint="default"/>
              </w:rPr>
              <w:t>尾气</w:t>
            </w:r>
          </w:p>
          <w:p>
            <w:pPr>
              <w:pStyle w:val="22"/>
              <w:bidi w:val="0"/>
              <w:rPr>
                <w:rFonts w:hint="default"/>
                <w:lang w:val="en-US"/>
              </w:rPr>
            </w:pPr>
            <w:r>
              <w:rPr>
                <w:rFonts w:hint="eastAsia"/>
                <w:lang w:val="en-US" w:eastAsia="zh-CN"/>
              </w:rPr>
              <w:t>本</w:t>
            </w:r>
            <w:r>
              <w:rPr>
                <w:rFonts w:hint="default"/>
              </w:rPr>
              <w:t>项目</w:t>
            </w:r>
            <w:r>
              <w:rPr>
                <w:rFonts w:hint="eastAsia"/>
                <w:lang w:val="en-US" w:eastAsia="zh-CN"/>
              </w:rPr>
              <w:t>设</w:t>
            </w:r>
            <w:r>
              <w:rPr>
                <w:rFonts w:hint="default"/>
              </w:rPr>
              <w:t>地面停车场</w:t>
            </w:r>
            <w:r>
              <w:rPr>
                <w:rFonts w:hint="eastAsia"/>
                <w:lang w:eastAsia="zh-CN"/>
              </w:rPr>
              <w:t>，</w:t>
            </w:r>
            <w:r>
              <w:rPr>
                <w:rFonts w:hint="default"/>
              </w:rPr>
              <w:t>汽车在泊位过程中将产生汽车尾气，</w:t>
            </w:r>
            <w:r>
              <w:rPr>
                <w:rFonts w:hint="eastAsia"/>
                <w:lang w:val="en-US" w:eastAsia="zh-CN"/>
              </w:rPr>
              <w:t>处于开放环境，四周搭配种植有绿化带，对周边环境影响较小。本项目汽车尾气排放量较少，故不定量分析。</w:t>
            </w:r>
          </w:p>
          <w:p>
            <w:pPr>
              <w:pStyle w:val="22"/>
              <w:bidi w:val="0"/>
              <w:rPr>
                <w:rFonts w:hint="eastAsia" w:eastAsia="宋体"/>
                <w:lang w:val="en-US" w:eastAsia="zh-CN"/>
              </w:rPr>
            </w:pPr>
            <w:r>
              <w:rPr>
                <w:rFonts w:hint="eastAsia"/>
                <w:lang w:val="en-US" w:eastAsia="zh-CN"/>
              </w:rPr>
              <w:t>⑤</w:t>
            </w:r>
            <w:r>
              <w:rPr>
                <w:rFonts w:hint="default"/>
              </w:rPr>
              <w:t>公厕恶臭</w:t>
            </w:r>
            <w:r>
              <w:rPr>
                <w:rFonts w:hint="eastAsia"/>
                <w:lang w:val="en-US" w:eastAsia="zh-CN"/>
              </w:rPr>
              <w:t>气体</w:t>
            </w:r>
          </w:p>
          <w:p>
            <w:pPr>
              <w:pStyle w:val="22"/>
              <w:bidi w:val="0"/>
              <w:rPr>
                <w:rFonts w:hint="default"/>
              </w:rPr>
            </w:pPr>
            <w:r>
              <w:rPr>
                <w:rFonts w:hint="default"/>
              </w:rPr>
              <w:t>本项目运营过程中，公厕会产生少量恶臭废气。目前尚无一个切合实际的模式进行估算，且项目产生的恶臭气体生产量受管理水平影响较大，</w:t>
            </w:r>
            <w:r>
              <w:rPr>
                <w:rFonts w:hint="eastAsia"/>
                <w:lang w:val="en-US" w:eastAsia="zh-CN"/>
              </w:rPr>
              <w:t>故不进行定量分析</w:t>
            </w:r>
            <w:r>
              <w:rPr>
                <w:rFonts w:hint="default"/>
              </w:rPr>
              <w:t>。</w:t>
            </w:r>
          </w:p>
          <w:p>
            <w:pPr>
              <w:pStyle w:val="18"/>
              <w:bidi w:val="0"/>
              <w:rPr>
                <w:rFonts w:hint="eastAsia"/>
                <w:lang w:val="en-US" w:eastAsia="zh-CN"/>
              </w:rPr>
            </w:pPr>
            <w:r>
              <w:rPr>
                <w:rFonts w:hint="eastAsia"/>
                <w:lang w:val="en-US" w:eastAsia="zh-CN"/>
              </w:rPr>
              <w:t>表28 废气污染物排放源产排污情况一览表</w:t>
            </w:r>
          </w:p>
          <w:tbl>
            <w:tblPr>
              <w:tblStyle w:val="16"/>
              <w:tblW w:w="83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6"/>
              <w:gridCol w:w="705"/>
              <w:gridCol w:w="765"/>
              <w:gridCol w:w="870"/>
              <w:gridCol w:w="675"/>
              <w:gridCol w:w="1065"/>
              <w:gridCol w:w="795"/>
              <w:gridCol w:w="525"/>
              <w:gridCol w:w="660"/>
              <w:gridCol w:w="930"/>
              <w:gridCol w:w="7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616" w:type="dxa"/>
                  <w:vMerge w:val="restart"/>
                  <w:vAlign w:val="center"/>
                </w:tcPr>
                <w:p>
                  <w:pPr>
                    <w:pStyle w:val="19"/>
                    <w:bidi w:val="0"/>
                    <w:rPr>
                      <w:rFonts w:hint="default"/>
                      <w:lang w:val="en-US" w:eastAsia="zh-CN"/>
                    </w:rPr>
                  </w:pPr>
                  <w:r>
                    <w:rPr>
                      <w:rFonts w:hint="eastAsia"/>
                      <w:lang w:val="en-US" w:eastAsia="zh-CN"/>
                    </w:rPr>
                    <w:t>产污环节</w:t>
                  </w:r>
                </w:p>
              </w:tc>
              <w:tc>
                <w:tcPr>
                  <w:tcW w:w="705" w:type="dxa"/>
                  <w:vMerge w:val="restart"/>
                  <w:vAlign w:val="center"/>
                </w:tcPr>
                <w:p>
                  <w:pPr>
                    <w:pStyle w:val="19"/>
                    <w:bidi w:val="0"/>
                    <w:rPr>
                      <w:rFonts w:hint="default"/>
                      <w:lang w:val="en-US" w:eastAsia="zh-CN"/>
                    </w:rPr>
                  </w:pPr>
                  <w:r>
                    <w:rPr>
                      <w:rFonts w:hint="eastAsia"/>
                      <w:lang w:val="en-US" w:eastAsia="zh-CN"/>
                    </w:rPr>
                    <w:t>污染物名称</w:t>
                  </w:r>
                </w:p>
              </w:tc>
              <w:tc>
                <w:tcPr>
                  <w:tcW w:w="765" w:type="dxa"/>
                  <w:vMerge w:val="restart"/>
                  <w:vAlign w:val="center"/>
                </w:tcPr>
                <w:p>
                  <w:pPr>
                    <w:pStyle w:val="19"/>
                    <w:bidi w:val="0"/>
                    <w:rPr>
                      <w:rFonts w:hint="default"/>
                      <w:lang w:val="en-US" w:eastAsia="zh-CN"/>
                    </w:rPr>
                  </w:pPr>
                  <w:r>
                    <w:rPr>
                      <w:rFonts w:hint="eastAsia"/>
                      <w:lang w:val="en-US" w:eastAsia="zh-CN"/>
                    </w:rPr>
                    <w:t>污染物产生量</w:t>
                  </w:r>
                  <w:r>
                    <w:rPr>
                      <w:rFonts w:hint="eastAsia"/>
                      <w:highlight w:val="none"/>
                      <w:lang w:val="en-US" w:eastAsia="zh-CN"/>
                    </w:rPr>
                    <w:t>t/a</w:t>
                  </w:r>
                </w:p>
              </w:tc>
              <w:tc>
                <w:tcPr>
                  <w:tcW w:w="870" w:type="dxa"/>
                  <w:vMerge w:val="restart"/>
                  <w:vAlign w:val="center"/>
                </w:tcPr>
                <w:p>
                  <w:pPr>
                    <w:pStyle w:val="19"/>
                    <w:bidi w:val="0"/>
                    <w:rPr>
                      <w:rFonts w:hint="eastAsia"/>
                      <w:lang w:val="en-US" w:eastAsia="zh-CN"/>
                    </w:rPr>
                  </w:pPr>
                  <w:r>
                    <w:rPr>
                      <w:rFonts w:hint="eastAsia"/>
                      <w:lang w:val="en-US" w:eastAsia="zh-CN"/>
                    </w:rPr>
                    <w:t>污染物产生速率</w:t>
                  </w:r>
                </w:p>
                <w:p>
                  <w:pPr>
                    <w:pStyle w:val="19"/>
                    <w:bidi w:val="0"/>
                    <w:rPr>
                      <w:rFonts w:hint="default"/>
                      <w:lang w:val="en-US" w:eastAsia="zh-CN"/>
                    </w:rPr>
                  </w:pPr>
                  <w:r>
                    <w:rPr>
                      <w:rFonts w:hint="eastAsia"/>
                      <w:highlight w:val="none"/>
                      <w:lang w:val="en-US" w:eastAsia="zh-CN"/>
                    </w:rPr>
                    <w:t>kg/h</w:t>
                  </w:r>
                </w:p>
              </w:tc>
              <w:tc>
                <w:tcPr>
                  <w:tcW w:w="675" w:type="dxa"/>
                  <w:vMerge w:val="restart"/>
                  <w:vAlign w:val="center"/>
                </w:tcPr>
                <w:p>
                  <w:pPr>
                    <w:pStyle w:val="19"/>
                    <w:bidi w:val="0"/>
                    <w:rPr>
                      <w:rFonts w:hint="default"/>
                      <w:lang w:val="en-US" w:eastAsia="zh-CN"/>
                    </w:rPr>
                  </w:pPr>
                  <w:r>
                    <w:rPr>
                      <w:rFonts w:hint="eastAsia"/>
                      <w:lang w:val="en-US" w:eastAsia="zh-CN"/>
                    </w:rPr>
                    <w:t>排放形式</w:t>
                  </w:r>
                </w:p>
              </w:tc>
              <w:tc>
                <w:tcPr>
                  <w:tcW w:w="3045" w:type="dxa"/>
                  <w:gridSpan w:val="4"/>
                  <w:vAlign w:val="center"/>
                </w:tcPr>
                <w:p>
                  <w:pPr>
                    <w:pStyle w:val="19"/>
                    <w:bidi w:val="0"/>
                    <w:rPr>
                      <w:rFonts w:hint="default"/>
                      <w:lang w:val="en-US" w:eastAsia="zh-CN"/>
                    </w:rPr>
                  </w:pPr>
                  <w:r>
                    <w:rPr>
                      <w:rFonts w:hint="eastAsia"/>
                      <w:lang w:val="en-US" w:eastAsia="zh-CN"/>
                    </w:rPr>
                    <w:t>治理设施</w:t>
                  </w:r>
                </w:p>
              </w:tc>
              <w:tc>
                <w:tcPr>
                  <w:tcW w:w="930" w:type="dxa"/>
                  <w:vMerge w:val="restart"/>
                  <w:vAlign w:val="center"/>
                </w:tcPr>
                <w:p>
                  <w:pPr>
                    <w:pStyle w:val="19"/>
                    <w:bidi w:val="0"/>
                    <w:rPr>
                      <w:rFonts w:hint="default"/>
                      <w:lang w:val="en-US" w:eastAsia="zh-CN"/>
                    </w:rPr>
                  </w:pPr>
                  <w:r>
                    <w:rPr>
                      <w:rFonts w:hint="eastAsia"/>
                      <w:lang w:val="en-US" w:eastAsia="zh-CN"/>
                    </w:rPr>
                    <w:t>污染物排放速率、排放浓度</w:t>
                  </w:r>
                </w:p>
              </w:tc>
              <w:tc>
                <w:tcPr>
                  <w:tcW w:w="749" w:type="dxa"/>
                  <w:vMerge w:val="restart"/>
                  <w:vAlign w:val="center"/>
                </w:tcPr>
                <w:p>
                  <w:pPr>
                    <w:pStyle w:val="19"/>
                    <w:bidi w:val="0"/>
                    <w:rPr>
                      <w:rFonts w:hint="default"/>
                      <w:lang w:val="en-US" w:eastAsia="zh-CN"/>
                    </w:rPr>
                  </w:pPr>
                  <w:r>
                    <w:rPr>
                      <w:rFonts w:hint="eastAsia"/>
                      <w:lang w:val="en-US" w:eastAsia="zh-CN"/>
                    </w:rPr>
                    <w:t>污染物排放量t/a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616" w:type="dxa"/>
                  <w:vMerge w:val="continue"/>
                  <w:vAlign w:val="center"/>
                </w:tcPr>
                <w:p>
                  <w:pPr>
                    <w:pStyle w:val="19"/>
                    <w:bidi w:val="0"/>
                  </w:pPr>
                </w:p>
              </w:tc>
              <w:tc>
                <w:tcPr>
                  <w:tcW w:w="705" w:type="dxa"/>
                  <w:vMerge w:val="continue"/>
                  <w:vAlign w:val="center"/>
                </w:tcPr>
                <w:p>
                  <w:pPr>
                    <w:pStyle w:val="19"/>
                    <w:bidi w:val="0"/>
                  </w:pPr>
                </w:p>
              </w:tc>
              <w:tc>
                <w:tcPr>
                  <w:tcW w:w="765" w:type="dxa"/>
                  <w:vMerge w:val="continue"/>
                  <w:vAlign w:val="center"/>
                </w:tcPr>
                <w:p>
                  <w:pPr>
                    <w:pStyle w:val="19"/>
                    <w:bidi w:val="0"/>
                  </w:pPr>
                </w:p>
              </w:tc>
              <w:tc>
                <w:tcPr>
                  <w:tcW w:w="870" w:type="dxa"/>
                  <w:vMerge w:val="continue"/>
                  <w:vAlign w:val="center"/>
                </w:tcPr>
                <w:p>
                  <w:pPr>
                    <w:pStyle w:val="19"/>
                    <w:bidi w:val="0"/>
                  </w:pPr>
                </w:p>
              </w:tc>
              <w:tc>
                <w:tcPr>
                  <w:tcW w:w="675" w:type="dxa"/>
                  <w:vMerge w:val="continue"/>
                  <w:vAlign w:val="center"/>
                </w:tcPr>
                <w:p>
                  <w:pPr>
                    <w:pStyle w:val="19"/>
                    <w:bidi w:val="0"/>
                  </w:pPr>
                </w:p>
              </w:tc>
              <w:tc>
                <w:tcPr>
                  <w:tcW w:w="1065" w:type="dxa"/>
                  <w:vAlign w:val="center"/>
                </w:tcPr>
                <w:p>
                  <w:pPr>
                    <w:pStyle w:val="19"/>
                    <w:bidi w:val="0"/>
                    <w:rPr>
                      <w:rFonts w:hint="default"/>
                      <w:lang w:val="en-US" w:eastAsia="zh-CN"/>
                    </w:rPr>
                  </w:pPr>
                  <w:r>
                    <w:rPr>
                      <w:rFonts w:hint="eastAsia"/>
                      <w:lang w:val="en-US" w:eastAsia="zh-CN"/>
                    </w:rPr>
                    <w:t>名称</w:t>
                  </w:r>
                </w:p>
              </w:tc>
              <w:tc>
                <w:tcPr>
                  <w:tcW w:w="795" w:type="dxa"/>
                  <w:vAlign w:val="center"/>
                </w:tcPr>
                <w:p>
                  <w:pPr>
                    <w:pStyle w:val="19"/>
                    <w:bidi w:val="0"/>
                    <w:rPr>
                      <w:rFonts w:hint="eastAsia"/>
                      <w:lang w:val="en-US" w:eastAsia="zh-CN"/>
                    </w:rPr>
                  </w:pPr>
                  <w:r>
                    <w:rPr>
                      <w:rFonts w:hint="eastAsia"/>
                      <w:lang w:val="en-US" w:eastAsia="zh-CN"/>
                    </w:rPr>
                    <w:t>处理能力</w:t>
                  </w:r>
                </w:p>
                <w:p>
                  <w:pPr>
                    <w:pStyle w:val="19"/>
                    <w:bidi w:val="0"/>
                    <w:rPr>
                      <w:rFonts w:hint="default"/>
                      <w:lang w:val="en-US" w:eastAsia="zh-CN"/>
                    </w:rPr>
                  </w:pPr>
                  <w:r>
                    <w:rPr>
                      <w:rFonts w:hint="eastAsia"/>
                      <w:highlight w:val="none"/>
                      <w:lang w:val="en-US" w:eastAsia="zh-CN"/>
                    </w:rPr>
                    <w:t>m</w:t>
                  </w:r>
                  <w:r>
                    <w:rPr>
                      <w:rFonts w:hint="eastAsia"/>
                      <w:highlight w:val="none"/>
                      <w:vertAlign w:val="superscript"/>
                      <w:lang w:val="en-US" w:eastAsia="zh-CN"/>
                    </w:rPr>
                    <w:t>3</w:t>
                  </w:r>
                  <w:r>
                    <w:rPr>
                      <w:rFonts w:hint="eastAsia"/>
                      <w:highlight w:val="none"/>
                      <w:lang w:val="en-US" w:eastAsia="zh-CN"/>
                    </w:rPr>
                    <w:t>/h</w:t>
                  </w:r>
                </w:p>
              </w:tc>
              <w:tc>
                <w:tcPr>
                  <w:tcW w:w="525" w:type="dxa"/>
                  <w:vAlign w:val="center"/>
                </w:tcPr>
                <w:p>
                  <w:pPr>
                    <w:pStyle w:val="19"/>
                    <w:bidi w:val="0"/>
                    <w:rPr>
                      <w:rFonts w:hint="default"/>
                      <w:lang w:val="en-US" w:eastAsia="zh-CN"/>
                    </w:rPr>
                  </w:pPr>
                  <w:r>
                    <w:rPr>
                      <w:rFonts w:hint="eastAsia"/>
                      <w:lang w:val="en-US" w:eastAsia="zh-CN"/>
                    </w:rPr>
                    <w:t>去除率%</w:t>
                  </w:r>
                </w:p>
              </w:tc>
              <w:tc>
                <w:tcPr>
                  <w:tcW w:w="660" w:type="dxa"/>
                  <w:vAlign w:val="center"/>
                </w:tcPr>
                <w:p>
                  <w:pPr>
                    <w:pStyle w:val="19"/>
                    <w:bidi w:val="0"/>
                    <w:rPr>
                      <w:rFonts w:hint="default"/>
                      <w:lang w:val="en-US" w:eastAsia="zh-CN"/>
                    </w:rPr>
                  </w:pPr>
                  <w:r>
                    <w:rPr>
                      <w:rFonts w:hint="eastAsia"/>
                      <w:lang w:val="en-US" w:eastAsia="zh-CN"/>
                    </w:rPr>
                    <w:t>是否为可行技术</w:t>
                  </w:r>
                </w:p>
              </w:tc>
              <w:tc>
                <w:tcPr>
                  <w:tcW w:w="930" w:type="dxa"/>
                  <w:vMerge w:val="continue"/>
                  <w:vAlign w:val="center"/>
                </w:tcPr>
                <w:p>
                  <w:pPr>
                    <w:pStyle w:val="19"/>
                    <w:bidi w:val="0"/>
                    <w:rPr>
                      <w:rFonts w:hint="eastAsia"/>
                      <w:lang w:val="en-US" w:eastAsia="zh-CN"/>
                    </w:rPr>
                  </w:pPr>
                </w:p>
              </w:tc>
              <w:tc>
                <w:tcPr>
                  <w:tcW w:w="749" w:type="dxa"/>
                  <w:vMerge w:val="continue"/>
                  <w:vAlign w:val="center"/>
                </w:tcPr>
                <w:p>
                  <w:pPr>
                    <w:pStyle w:val="19"/>
                    <w:bidi w:val="0"/>
                    <w:rPr>
                      <w:rFonts w:hint="eastAsia"/>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616" w:type="dxa"/>
                  <w:vAlign w:val="center"/>
                </w:tcPr>
                <w:p>
                  <w:pPr>
                    <w:pStyle w:val="19"/>
                    <w:bidi w:val="0"/>
                    <w:rPr>
                      <w:rFonts w:hint="default"/>
                      <w:lang w:val="en-US" w:eastAsia="zh-CN"/>
                    </w:rPr>
                  </w:pPr>
                  <w:r>
                    <w:rPr>
                      <w:rFonts w:hint="eastAsia"/>
                      <w:lang w:val="en-US" w:eastAsia="zh-CN"/>
                    </w:rPr>
                    <w:t>食堂油烟</w:t>
                  </w:r>
                </w:p>
              </w:tc>
              <w:tc>
                <w:tcPr>
                  <w:tcW w:w="705" w:type="dxa"/>
                  <w:vAlign w:val="center"/>
                </w:tcPr>
                <w:p>
                  <w:pPr>
                    <w:pStyle w:val="19"/>
                    <w:bidi w:val="0"/>
                    <w:rPr>
                      <w:rFonts w:hint="default"/>
                      <w:lang w:val="en-US" w:eastAsia="zh-CN"/>
                    </w:rPr>
                  </w:pPr>
                  <w:r>
                    <w:rPr>
                      <w:rFonts w:hint="eastAsia"/>
                      <w:lang w:val="en-US" w:eastAsia="zh-CN"/>
                    </w:rPr>
                    <w:t>油烟</w:t>
                  </w:r>
                </w:p>
              </w:tc>
              <w:tc>
                <w:tcPr>
                  <w:tcW w:w="765" w:type="dxa"/>
                  <w:vAlign w:val="center"/>
                </w:tcPr>
                <w:p>
                  <w:pPr>
                    <w:pStyle w:val="19"/>
                    <w:bidi w:val="0"/>
                    <w:rPr>
                      <w:rFonts w:hint="default"/>
                      <w:highlight w:val="none"/>
                      <w:lang w:val="en-US" w:eastAsia="zh-CN"/>
                    </w:rPr>
                  </w:pPr>
                  <w:r>
                    <w:rPr>
                      <w:rFonts w:hint="eastAsia"/>
                      <w:highlight w:val="none"/>
                      <w:lang w:val="en-US" w:eastAsia="zh-CN"/>
                    </w:rPr>
                    <w:t>0.036</w:t>
                  </w:r>
                </w:p>
              </w:tc>
              <w:tc>
                <w:tcPr>
                  <w:tcW w:w="870" w:type="dxa"/>
                  <w:vAlign w:val="center"/>
                </w:tcPr>
                <w:p>
                  <w:pPr>
                    <w:pStyle w:val="19"/>
                    <w:bidi w:val="0"/>
                    <w:rPr>
                      <w:rFonts w:hint="eastAsia"/>
                      <w:lang w:val="en-US" w:eastAsia="zh-CN"/>
                    </w:rPr>
                  </w:pPr>
                  <w:r>
                    <w:rPr>
                      <w:rFonts w:hint="eastAsia"/>
                      <w:lang w:val="en-US" w:eastAsia="zh-CN"/>
                    </w:rPr>
                    <w:t>0.075</w:t>
                  </w:r>
                </w:p>
              </w:tc>
              <w:tc>
                <w:tcPr>
                  <w:tcW w:w="675" w:type="dxa"/>
                  <w:vAlign w:val="center"/>
                </w:tcPr>
                <w:p>
                  <w:pPr>
                    <w:pStyle w:val="19"/>
                    <w:bidi w:val="0"/>
                    <w:ind w:firstLine="0" w:firstLineChars="0"/>
                    <w:rPr>
                      <w:rFonts w:hint="eastAsia"/>
                      <w:highlight w:val="none"/>
                      <w:lang w:val="en-US" w:eastAsia="zh-CN"/>
                    </w:rPr>
                  </w:pPr>
                  <w:r>
                    <w:rPr>
                      <w:rFonts w:hint="eastAsia"/>
                      <w:lang w:val="en-US" w:eastAsia="zh-CN"/>
                    </w:rPr>
                    <w:t>有组织</w:t>
                  </w:r>
                </w:p>
              </w:tc>
              <w:tc>
                <w:tcPr>
                  <w:tcW w:w="1065" w:type="dxa"/>
                  <w:vAlign w:val="center"/>
                </w:tcPr>
                <w:p>
                  <w:pPr>
                    <w:pStyle w:val="19"/>
                    <w:bidi w:val="0"/>
                    <w:ind w:firstLine="0" w:firstLineChars="0"/>
                    <w:rPr>
                      <w:rFonts w:hint="eastAsia"/>
                      <w:lang w:val="en-US" w:eastAsia="zh-CN"/>
                    </w:rPr>
                  </w:pPr>
                  <w:r>
                    <w:rPr>
                      <w:rFonts w:hint="eastAsia"/>
                      <w:lang w:val="en-US" w:eastAsia="zh-CN"/>
                    </w:rPr>
                    <w:t>油烟净化器</w:t>
                  </w:r>
                </w:p>
              </w:tc>
              <w:tc>
                <w:tcPr>
                  <w:tcW w:w="795" w:type="dxa"/>
                  <w:vAlign w:val="center"/>
                </w:tcPr>
                <w:p>
                  <w:pPr>
                    <w:pStyle w:val="19"/>
                    <w:bidi w:val="0"/>
                    <w:ind w:firstLine="0" w:firstLineChars="0"/>
                    <w:rPr>
                      <w:rFonts w:hint="default"/>
                      <w:lang w:val="en-US" w:eastAsia="zh-CN"/>
                    </w:rPr>
                  </w:pPr>
                  <w:r>
                    <w:rPr>
                      <w:rFonts w:hint="eastAsia"/>
                      <w:lang w:val="en-US" w:eastAsia="zh-CN"/>
                    </w:rPr>
                    <w:t>6000</w:t>
                  </w:r>
                </w:p>
              </w:tc>
              <w:tc>
                <w:tcPr>
                  <w:tcW w:w="525" w:type="dxa"/>
                  <w:vAlign w:val="center"/>
                </w:tcPr>
                <w:p>
                  <w:pPr>
                    <w:pStyle w:val="19"/>
                    <w:bidi w:val="0"/>
                    <w:ind w:firstLine="0" w:firstLineChars="0"/>
                    <w:rPr>
                      <w:rFonts w:hint="default"/>
                      <w:lang w:val="en-US" w:eastAsia="zh-CN"/>
                    </w:rPr>
                  </w:pPr>
                  <w:r>
                    <w:rPr>
                      <w:rFonts w:hint="eastAsia"/>
                      <w:lang w:val="en-US" w:eastAsia="zh-CN"/>
                    </w:rPr>
                    <w:t>85</w:t>
                  </w:r>
                </w:p>
              </w:tc>
              <w:tc>
                <w:tcPr>
                  <w:tcW w:w="660" w:type="dxa"/>
                  <w:vAlign w:val="center"/>
                </w:tcPr>
                <w:p>
                  <w:pPr>
                    <w:pStyle w:val="19"/>
                    <w:bidi w:val="0"/>
                    <w:ind w:firstLine="0" w:firstLineChars="0"/>
                    <w:rPr>
                      <w:rFonts w:hint="default"/>
                      <w:lang w:val="en-US" w:eastAsia="zh-CN"/>
                    </w:rPr>
                  </w:pPr>
                  <w:r>
                    <w:rPr>
                      <w:rFonts w:hint="eastAsia"/>
                      <w:lang w:val="en-US" w:eastAsia="zh-CN"/>
                    </w:rPr>
                    <w:t>是</w:t>
                  </w:r>
                </w:p>
              </w:tc>
              <w:tc>
                <w:tcPr>
                  <w:tcW w:w="930" w:type="dxa"/>
                  <w:vAlign w:val="center"/>
                </w:tcPr>
                <w:p>
                  <w:pPr>
                    <w:pStyle w:val="19"/>
                    <w:bidi w:val="0"/>
                    <w:rPr>
                      <w:rFonts w:hint="default"/>
                      <w:highlight w:val="none"/>
                      <w:lang w:val="en-US" w:eastAsia="zh-CN"/>
                    </w:rPr>
                  </w:pPr>
                  <w:r>
                    <w:rPr>
                      <w:rFonts w:hint="eastAsia"/>
                      <w:highlight w:val="none"/>
                      <w:lang w:val="en-US" w:eastAsia="zh-CN"/>
                    </w:rPr>
                    <w:t>0.01125kg/h、1.875mg/m</w:t>
                  </w:r>
                  <w:r>
                    <w:rPr>
                      <w:rFonts w:hint="eastAsia"/>
                      <w:highlight w:val="none"/>
                      <w:vertAlign w:val="superscript"/>
                      <w:lang w:val="en-US" w:eastAsia="zh-CN"/>
                    </w:rPr>
                    <w:t>3</w:t>
                  </w:r>
                </w:p>
              </w:tc>
              <w:tc>
                <w:tcPr>
                  <w:tcW w:w="749" w:type="dxa"/>
                  <w:vAlign w:val="center"/>
                </w:tcPr>
                <w:p>
                  <w:pPr>
                    <w:pStyle w:val="19"/>
                    <w:bidi w:val="0"/>
                    <w:rPr>
                      <w:rFonts w:hint="default"/>
                      <w:lang w:val="en-US" w:eastAsia="zh-CN"/>
                    </w:rPr>
                  </w:pPr>
                  <w:r>
                    <w:rPr>
                      <w:rFonts w:hint="eastAsia"/>
                      <w:lang w:val="en-US" w:eastAsia="zh-CN"/>
                    </w:rPr>
                    <w:t>0.0054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616" w:type="dxa"/>
                  <w:vAlign w:val="center"/>
                </w:tcPr>
                <w:p>
                  <w:pPr>
                    <w:pStyle w:val="19"/>
                    <w:bidi w:val="0"/>
                    <w:rPr>
                      <w:rFonts w:hint="default"/>
                      <w:lang w:val="en-US" w:eastAsia="zh-CN"/>
                    </w:rPr>
                  </w:pPr>
                  <w:r>
                    <w:rPr>
                      <w:rFonts w:hint="eastAsia"/>
                      <w:lang w:val="en-US" w:eastAsia="zh-CN"/>
                    </w:rPr>
                    <w:t>餐厅油烟</w:t>
                  </w:r>
                </w:p>
              </w:tc>
              <w:tc>
                <w:tcPr>
                  <w:tcW w:w="705" w:type="dxa"/>
                  <w:vAlign w:val="center"/>
                </w:tcPr>
                <w:p>
                  <w:pPr>
                    <w:pStyle w:val="19"/>
                    <w:bidi w:val="0"/>
                    <w:rPr>
                      <w:rFonts w:hint="default"/>
                      <w:lang w:val="en-US" w:eastAsia="zh-CN"/>
                    </w:rPr>
                  </w:pPr>
                  <w:r>
                    <w:rPr>
                      <w:rFonts w:hint="eastAsia"/>
                      <w:lang w:val="en-US" w:eastAsia="zh-CN"/>
                    </w:rPr>
                    <w:t>油烟</w:t>
                  </w:r>
                </w:p>
              </w:tc>
              <w:tc>
                <w:tcPr>
                  <w:tcW w:w="765" w:type="dxa"/>
                  <w:vAlign w:val="center"/>
                </w:tcPr>
                <w:p>
                  <w:pPr>
                    <w:pStyle w:val="19"/>
                    <w:bidi w:val="0"/>
                    <w:rPr>
                      <w:rFonts w:hint="default"/>
                      <w:highlight w:val="none"/>
                      <w:lang w:val="en-US" w:eastAsia="zh-CN"/>
                    </w:rPr>
                  </w:pPr>
                  <w:r>
                    <w:rPr>
                      <w:rFonts w:hint="eastAsia"/>
                      <w:highlight w:val="none"/>
                      <w:lang w:val="en-US" w:eastAsia="zh-CN"/>
                    </w:rPr>
                    <w:t>0.09</w:t>
                  </w:r>
                </w:p>
              </w:tc>
              <w:tc>
                <w:tcPr>
                  <w:tcW w:w="870" w:type="dxa"/>
                  <w:vAlign w:val="center"/>
                </w:tcPr>
                <w:p>
                  <w:pPr>
                    <w:pStyle w:val="19"/>
                    <w:bidi w:val="0"/>
                    <w:rPr>
                      <w:rFonts w:hint="default"/>
                      <w:lang w:val="en-US" w:eastAsia="zh-CN"/>
                    </w:rPr>
                  </w:pPr>
                  <w:r>
                    <w:rPr>
                      <w:rFonts w:hint="eastAsia"/>
                      <w:lang w:val="en-US" w:eastAsia="zh-CN"/>
                    </w:rPr>
                    <w:t>0.1875</w:t>
                  </w:r>
                </w:p>
              </w:tc>
              <w:tc>
                <w:tcPr>
                  <w:tcW w:w="675" w:type="dxa"/>
                  <w:vAlign w:val="center"/>
                </w:tcPr>
                <w:p>
                  <w:pPr>
                    <w:pStyle w:val="19"/>
                    <w:bidi w:val="0"/>
                    <w:ind w:firstLine="0" w:firstLineChars="0"/>
                    <w:rPr>
                      <w:rFonts w:hint="eastAsia"/>
                      <w:highlight w:val="none"/>
                      <w:lang w:val="en-US" w:eastAsia="zh-CN"/>
                    </w:rPr>
                  </w:pPr>
                  <w:r>
                    <w:rPr>
                      <w:rFonts w:hint="eastAsia"/>
                      <w:lang w:val="en-US" w:eastAsia="zh-CN"/>
                    </w:rPr>
                    <w:t>有组织</w:t>
                  </w:r>
                </w:p>
              </w:tc>
              <w:tc>
                <w:tcPr>
                  <w:tcW w:w="1065" w:type="dxa"/>
                  <w:vAlign w:val="center"/>
                </w:tcPr>
                <w:p>
                  <w:pPr>
                    <w:pStyle w:val="19"/>
                    <w:bidi w:val="0"/>
                    <w:ind w:firstLine="0" w:firstLineChars="0"/>
                    <w:rPr>
                      <w:rFonts w:hint="default"/>
                      <w:lang w:val="en-US" w:eastAsia="zh-CN"/>
                    </w:rPr>
                  </w:pPr>
                  <w:r>
                    <w:rPr>
                      <w:rFonts w:hint="eastAsia"/>
                      <w:lang w:val="en-US" w:eastAsia="zh-CN"/>
                    </w:rPr>
                    <w:t>油烟净化器</w:t>
                  </w:r>
                </w:p>
              </w:tc>
              <w:tc>
                <w:tcPr>
                  <w:tcW w:w="795" w:type="dxa"/>
                  <w:vAlign w:val="center"/>
                </w:tcPr>
                <w:p>
                  <w:pPr>
                    <w:pStyle w:val="19"/>
                    <w:bidi w:val="0"/>
                    <w:ind w:firstLine="0" w:firstLineChars="0"/>
                    <w:rPr>
                      <w:rFonts w:hint="default"/>
                      <w:lang w:val="en-US" w:eastAsia="zh-CN"/>
                    </w:rPr>
                  </w:pPr>
                  <w:r>
                    <w:rPr>
                      <w:rFonts w:hint="eastAsia"/>
                      <w:lang w:val="en-US" w:eastAsia="zh-CN"/>
                    </w:rPr>
                    <w:t>16000</w:t>
                  </w:r>
                </w:p>
              </w:tc>
              <w:tc>
                <w:tcPr>
                  <w:tcW w:w="525" w:type="dxa"/>
                  <w:vAlign w:val="center"/>
                </w:tcPr>
                <w:p>
                  <w:pPr>
                    <w:pStyle w:val="19"/>
                    <w:bidi w:val="0"/>
                    <w:ind w:firstLine="0" w:firstLineChars="0"/>
                    <w:rPr>
                      <w:rFonts w:hint="default"/>
                      <w:lang w:val="en-US" w:eastAsia="zh-CN"/>
                    </w:rPr>
                  </w:pPr>
                  <w:r>
                    <w:rPr>
                      <w:rFonts w:hint="eastAsia"/>
                      <w:lang w:val="en-US" w:eastAsia="zh-CN"/>
                    </w:rPr>
                    <w:t>85</w:t>
                  </w:r>
                </w:p>
              </w:tc>
              <w:tc>
                <w:tcPr>
                  <w:tcW w:w="660" w:type="dxa"/>
                  <w:vAlign w:val="center"/>
                </w:tcPr>
                <w:p>
                  <w:pPr>
                    <w:pStyle w:val="19"/>
                    <w:bidi w:val="0"/>
                    <w:ind w:firstLine="0" w:firstLineChars="0"/>
                    <w:rPr>
                      <w:rFonts w:hint="default"/>
                      <w:lang w:val="en-US" w:eastAsia="zh-CN"/>
                    </w:rPr>
                  </w:pPr>
                  <w:r>
                    <w:rPr>
                      <w:rFonts w:hint="eastAsia"/>
                      <w:lang w:val="en-US" w:eastAsia="zh-CN"/>
                    </w:rPr>
                    <w:t>是</w:t>
                  </w:r>
                </w:p>
              </w:tc>
              <w:tc>
                <w:tcPr>
                  <w:tcW w:w="930" w:type="dxa"/>
                  <w:vAlign w:val="center"/>
                </w:tcPr>
                <w:p>
                  <w:pPr>
                    <w:pStyle w:val="19"/>
                    <w:bidi w:val="0"/>
                    <w:rPr>
                      <w:rFonts w:hint="default"/>
                      <w:highlight w:val="none"/>
                      <w:lang w:val="en-US" w:eastAsia="zh-CN"/>
                    </w:rPr>
                  </w:pPr>
                  <w:r>
                    <w:rPr>
                      <w:rFonts w:hint="eastAsia"/>
                      <w:highlight w:val="none"/>
                      <w:lang w:val="en-US" w:eastAsia="zh-CN"/>
                    </w:rPr>
                    <w:t>0.028125kg/h、1.758mg/m</w:t>
                  </w:r>
                  <w:r>
                    <w:rPr>
                      <w:rFonts w:hint="eastAsia"/>
                      <w:highlight w:val="none"/>
                      <w:vertAlign w:val="superscript"/>
                      <w:lang w:val="en-US" w:eastAsia="zh-CN"/>
                    </w:rPr>
                    <w:t>3</w:t>
                  </w:r>
                </w:p>
              </w:tc>
              <w:tc>
                <w:tcPr>
                  <w:tcW w:w="749" w:type="dxa"/>
                  <w:vAlign w:val="center"/>
                </w:tcPr>
                <w:p>
                  <w:pPr>
                    <w:pStyle w:val="19"/>
                    <w:bidi w:val="0"/>
                    <w:rPr>
                      <w:rFonts w:hint="default"/>
                      <w:lang w:val="en-US" w:eastAsia="zh-CN"/>
                    </w:rPr>
                  </w:pPr>
                  <w:r>
                    <w:rPr>
                      <w:rFonts w:hint="eastAsia"/>
                      <w:lang w:val="en-US" w:eastAsia="zh-CN"/>
                    </w:rPr>
                    <w:t>0.0135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616" w:type="dxa"/>
                  <w:vMerge w:val="restart"/>
                  <w:vAlign w:val="center"/>
                </w:tcPr>
                <w:p>
                  <w:pPr>
                    <w:pStyle w:val="19"/>
                    <w:bidi w:val="0"/>
                    <w:rPr>
                      <w:rFonts w:hint="default"/>
                      <w:lang w:val="en-US" w:eastAsia="zh-CN"/>
                    </w:rPr>
                  </w:pPr>
                  <w:r>
                    <w:rPr>
                      <w:rFonts w:hint="eastAsia"/>
                      <w:lang w:val="en-US" w:eastAsia="zh-CN"/>
                    </w:rPr>
                    <w:t>备用发电机</w:t>
                  </w:r>
                </w:p>
              </w:tc>
              <w:tc>
                <w:tcPr>
                  <w:tcW w:w="705" w:type="dxa"/>
                  <w:vAlign w:val="center"/>
                </w:tcPr>
                <w:p>
                  <w:pPr>
                    <w:pStyle w:val="19"/>
                    <w:bidi w:val="0"/>
                    <w:rPr>
                      <w:rFonts w:hint="default"/>
                      <w:lang w:val="en-US" w:eastAsia="zh-CN"/>
                    </w:rPr>
                  </w:pPr>
                  <w:r>
                    <w:rPr>
                      <w:rFonts w:hint="eastAsia"/>
                      <w:lang w:val="en-US" w:eastAsia="zh-CN"/>
                    </w:rPr>
                    <w:t>SO</w:t>
                  </w:r>
                  <w:r>
                    <w:rPr>
                      <w:rFonts w:hint="eastAsia"/>
                      <w:vertAlign w:val="subscript"/>
                      <w:lang w:val="en-US" w:eastAsia="zh-CN"/>
                    </w:rPr>
                    <w:t>2</w:t>
                  </w:r>
                </w:p>
              </w:tc>
              <w:tc>
                <w:tcPr>
                  <w:tcW w:w="765" w:type="dxa"/>
                  <w:vAlign w:val="center"/>
                </w:tcPr>
                <w:p>
                  <w:pPr>
                    <w:pStyle w:val="19"/>
                    <w:bidi w:val="0"/>
                    <w:rPr>
                      <w:rFonts w:hint="default"/>
                      <w:lang w:val="en-US" w:eastAsia="zh-CN"/>
                    </w:rPr>
                  </w:pPr>
                  <w:r>
                    <w:rPr>
                      <w:rFonts w:hint="eastAsia"/>
                      <w:lang w:val="en-US" w:eastAsia="zh-CN"/>
                    </w:rPr>
                    <w:t>少量</w:t>
                  </w:r>
                </w:p>
              </w:tc>
              <w:tc>
                <w:tcPr>
                  <w:tcW w:w="870" w:type="dxa"/>
                  <w:vAlign w:val="center"/>
                </w:tcPr>
                <w:p>
                  <w:pPr>
                    <w:pStyle w:val="19"/>
                    <w:bidi w:val="0"/>
                    <w:rPr>
                      <w:rFonts w:hint="default"/>
                      <w:lang w:val="en-US" w:eastAsia="zh-CN"/>
                    </w:rPr>
                  </w:pPr>
                  <w:r>
                    <w:rPr>
                      <w:rFonts w:hint="eastAsia"/>
                      <w:lang w:val="en-US" w:eastAsia="zh-CN"/>
                    </w:rPr>
                    <w:t>少量</w:t>
                  </w:r>
                </w:p>
              </w:tc>
              <w:tc>
                <w:tcPr>
                  <w:tcW w:w="675" w:type="dxa"/>
                  <w:vAlign w:val="center"/>
                </w:tcPr>
                <w:p>
                  <w:pPr>
                    <w:pStyle w:val="19"/>
                    <w:bidi w:val="0"/>
                    <w:rPr>
                      <w:rFonts w:hint="default"/>
                      <w:lang w:val="en-US" w:eastAsia="zh-CN"/>
                    </w:rPr>
                  </w:pPr>
                  <w:r>
                    <w:rPr>
                      <w:rFonts w:hint="eastAsia"/>
                      <w:lang w:val="en-US" w:eastAsia="zh-CN"/>
                    </w:rPr>
                    <w:t>有组织</w:t>
                  </w:r>
                </w:p>
              </w:tc>
              <w:tc>
                <w:tcPr>
                  <w:tcW w:w="1065" w:type="dxa"/>
                  <w:vMerge w:val="restart"/>
                  <w:vAlign w:val="center"/>
                </w:tcPr>
                <w:p>
                  <w:pPr>
                    <w:pStyle w:val="19"/>
                    <w:bidi w:val="0"/>
                    <w:rPr>
                      <w:rFonts w:hint="default"/>
                      <w:lang w:val="en-US" w:eastAsia="zh-CN"/>
                    </w:rPr>
                  </w:pPr>
                  <w:r>
                    <w:rPr>
                      <w:rFonts w:hint="eastAsia"/>
                      <w:lang w:val="en-US" w:eastAsia="zh-CN"/>
                    </w:rPr>
                    <w:t>通</w:t>
                  </w:r>
                  <w:r>
                    <w:rPr>
                      <w:rFonts w:hint="default"/>
                    </w:rPr>
                    <w:t>过管道引至楼顶高空排放</w:t>
                  </w:r>
                </w:p>
              </w:tc>
              <w:tc>
                <w:tcPr>
                  <w:tcW w:w="795" w:type="dxa"/>
                  <w:vAlign w:val="center"/>
                </w:tcPr>
                <w:p>
                  <w:pPr>
                    <w:pStyle w:val="19"/>
                    <w:bidi w:val="0"/>
                    <w:ind w:firstLine="0" w:firstLineChars="0"/>
                    <w:rPr>
                      <w:rFonts w:hint="eastAsia"/>
                      <w:lang w:val="en-US" w:eastAsia="zh-CN"/>
                    </w:rPr>
                  </w:pPr>
                  <w:r>
                    <w:rPr>
                      <w:rFonts w:hint="eastAsia"/>
                      <w:lang w:val="en-US" w:eastAsia="zh-CN"/>
                    </w:rPr>
                    <w:t>/</w:t>
                  </w:r>
                </w:p>
              </w:tc>
              <w:tc>
                <w:tcPr>
                  <w:tcW w:w="525" w:type="dxa"/>
                  <w:vAlign w:val="center"/>
                </w:tcPr>
                <w:p>
                  <w:pPr>
                    <w:pStyle w:val="19"/>
                    <w:bidi w:val="0"/>
                    <w:ind w:firstLine="0" w:firstLineChars="0"/>
                    <w:rPr>
                      <w:rFonts w:hint="eastAsia"/>
                      <w:lang w:val="en-US" w:eastAsia="zh-CN"/>
                    </w:rPr>
                  </w:pPr>
                  <w:r>
                    <w:rPr>
                      <w:rFonts w:hint="eastAsia"/>
                      <w:lang w:val="en-US" w:eastAsia="zh-CN"/>
                    </w:rPr>
                    <w:t>/</w:t>
                  </w:r>
                </w:p>
              </w:tc>
              <w:tc>
                <w:tcPr>
                  <w:tcW w:w="660" w:type="dxa"/>
                  <w:vAlign w:val="center"/>
                </w:tcPr>
                <w:p>
                  <w:pPr>
                    <w:pStyle w:val="19"/>
                    <w:bidi w:val="0"/>
                    <w:rPr>
                      <w:rFonts w:hint="default"/>
                      <w:lang w:val="en-US" w:eastAsia="zh-CN"/>
                    </w:rPr>
                  </w:pPr>
                  <w:r>
                    <w:rPr>
                      <w:rFonts w:hint="eastAsia"/>
                      <w:lang w:val="en-US" w:eastAsia="zh-CN"/>
                    </w:rPr>
                    <w:t>/</w:t>
                  </w:r>
                </w:p>
              </w:tc>
              <w:tc>
                <w:tcPr>
                  <w:tcW w:w="930" w:type="dxa"/>
                  <w:vAlign w:val="center"/>
                </w:tcPr>
                <w:p>
                  <w:pPr>
                    <w:pStyle w:val="19"/>
                    <w:bidi w:val="0"/>
                    <w:rPr>
                      <w:rFonts w:hint="default"/>
                      <w:lang w:val="en-US" w:eastAsia="zh-CN"/>
                    </w:rPr>
                  </w:pPr>
                  <w:r>
                    <w:rPr>
                      <w:rFonts w:hint="eastAsia"/>
                      <w:lang w:val="en-US" w:eastAsia="zh-CN"/>
                    </w:rPr>
                    <w:t>少量</w:t>
                  </w:r>
                </w:p>
              </w:tc>
              <w:tc>
                <w:tcPr>
                  <w:tcW w:w="749" w:type="dxa"/>
                  <w:vAlign w:val="center"/>
                </w:tcPr>
                <w:p>
                  <w:pPr>
                    <w:pStyle w:val="19"/>
                    <w:bidi w:val="0"/>
                    <w:rPr>
                      <w:rFonts w:hint="default"/>
                      <w:lang w:val="en-US" w:eastAsia="zh-CN"/>
                    </w:rPr>
                  </w:pPr>
                  <w:r>
                    <w:rPr>
                      <w:rFonts w:hint="eastAsia"/>
                      <w:lang w:val="en-US" w:eastAsia="zh-CN"/>
                    </w:rPr>
                    <w:t>少量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616" w:type="dxa"/>
                  <w:vMerge w:val="continue"/>
                  <w:vAlign w:val="center"/>
                </w:tcPr>
                <w:p>
                  <w:pPr>
                    <w:pStyle w:val="19"/>
                    <w:bidi w:val="0"/>
                  </w:pPr>
                </w:p>
              </w:tc>
              <w:tc>
                <w:tcPr>
                  <w:tcW w:w="705" w:type="dxa"/>
                  <w:vAlign w:val="center"/>
                </w:tcPr>
                <w:p>
                  <w:pPr>
                    <w:pStyle w:val="19"/>
                    <w:bidi w:val="0"/>
                    <w:rPr>
                      <w:rFonts w:hint="default"/>
                      <w:lang w:val="en-US" w:eastAsia="zh-CN"/>
                    </w:rPr>
                  </w:pPr>
                  <w:r>
                    <w:rPr>
                      <w:rFonts w:hint="eastAsia"/>
                      <w:lang w:val="en-US" w:eastAsia="zh-CN"/>
                    </w:rPr>
                    <w:t>NO</w:t>
                  </w:r>
                  <w:r>
                    <w:rPr>
                      <w:rFonts w:hint="eastAsia"/>
                      <w:vertAlign w:val="subscript"/>
                      <w:lang w:val="en-US" w:eastAsia="zh-CN"/>
                    </w:rPr>
                    <w:t>X</w:t>
                  </w:r>
                </w:p>
              </w:tc>
              <w:tc>
                <w:tcPr>
                  <w:tcW w:w="765" w:type="dxa"/>
                  <w:vAlign w:val="center"/>
                </w:tcPr>
                <w:p>
                  <w:pPr>
                    <w:pStyle w:val="19"/>
                    <w:bidi w:val="0"/>
                    <w:rPr>
                      <w:rFonts w:hint="default"/>
                      <w:lang w:val="en-US" w:eastAsia="zh-CN"/>
                    </w:rPr>
                  </w:pPr>
                  <w:r>
                    <w:rPr>
                      <w:rFonts w:hint="eastAsia"/>
                      <w:lang w:val="en-US" w:eastAsia="zh-CN"/>
                    </w:rPr>
                    <w:t>少量</w:t>
                  </w:r>
                </w:p>
              </w:tc>
              <w:tc>
                <w:tcPr>
                  <w:tcW w:w="870" w:type="dxa"/>
                  <w:vAlign w:val="center"/>
                </w:tcPr>
                <w:p>
                  <w:pPr>
                    <w:pStyle w:val="19"/>
                    <w:bidi w:val="0"/>
                    <w:rPr>
                      <w:rFonts w:hint="default"/>
                      <w:lang w:val="en-US" w:eastAsia="zh-CN"/>
                    </w:rPr>
                  </w:pPr>
                  <w:r>
                    <w:rPr>
                      <w:rFonts w:hint="eastAsia"/>
                      <w:lang w:val="en-US" w:eastAsia="zh-CN"/>
                    </w:rPr>
                    <w:t>少量</w:t>
                  </w:r>
                </w:p>
              </w:tc>
              <w:tc>
                <w:tcPr>
                  <w:tcW w:w="675" w:type="dxa"/>
                  <w:vAlign w:val="center"/>
                </w:tcPr>
                <w:p>
                  <w:pPr>
                    <w:pStyle w:val="19"/>
                    <w:bidi w:val="0"/>
                    <w:rPr>
                      <w:rFonts w:hint="default"/>
                      <w:lang w:val="en-US" w:eastAsia="zh-CN"/>
                    </w:rPr>
                  </w:pPr>
                  <w:r>
                    <w:rPr>
                      <w:rFonts w:hint="eastAsia"/>
                      <w:lang w:val="en-US" w:eastAsia="zh-CN"/>
                    </w:rPr>
                    <w:t>有组织</w:t>
                  </w:r>
                </w:p>
              </w:tc>
              <w:tc>
                <w:tcPr>
                  <w:tcW w:w="1065" w:type="dxa"/>
                  <w:vMerge w:val="continue"/>
                  <w:vAlign w:val="center"/>
                </w:tcPr>
                <w:p>
                  <w:pPr>
                    <w:pStyle w:val="19"/>
                    <w:bidi w:val="0"/>
                    <w:rPr>
                      <w:rFonts w:hint="eastAsia"/>
                      <w:lang w:val="en-US" w:eastAsia="zh-CN"/>
                    </w:rPr>
                  </w:pPr>
                </w:p>
              </w:tc>
              <w:tc>
                <w:tcPr>
                  <w:tcW w:w="795" w:type="dxa"/>
                  <w:vAlign w:val="center"/>
                </w:tcPr>
                <w:p>
                  <w:pPr>
                    <w:pStyle w:val="19"/>
                    <w:bidi w:val="0"/>
                    <w:ind w:firstLine="0" w:firstLineChars="0"/>
                    <w:rPr>
                      <w:rFonts w:hint="eastAsia"/>
                      <w:lang w:val="en-US" w:eastAsia="zh-CN"/>
                    </w:rPr>
                  </w:pPr>
                  <w:r>
                    <w:rPr>
                      <w:rFonts w:hint="eastAsia"/>
                      <w:lang w:val="en-US" w:eastAsia="zh-CN"/>
                    </w:rPr>
                    <w:t>/</w:t>
                  </w:r>
                </w:p>
              </w:tc>
              <w:tc>
                <w:tcPr>
                  <w:tcW w:w="525" w:type="dxa"/>
                  <w:vAlign w:val="center"/>
                </w:tcPr>
                <w:p>
                  <w:pPr>
                    <w:pStyle w:val="19"/>
                    <w:bidi w:val="0"/>
                    <w:ind w:firstLine="0" w:firstLineChars="0"/>
                    <w:rPr>
                      <w:rFonts w:hint="eastAsia"/>
                      <w:lang w:val="en-US" w:eastAsia="zh-CN"/>
                    </w:rPr>
                  </w:pPr>
                  <w:r>
                    <w:rPr>
                      <w:rFonts w:hint="eastAsia"/>
                      <w:lang w:val="en-US" w:eastAsia="zh-CN"/>
                    </w:rPr>
                    <w:t>/</w:t>
                  </w:r>
                </w:p>
              </w:tc>
              <w:tc>
                <w:tcPr>
                  <w:tcW w:w="660" w:type="dxa"/>
                  <w:vAlign w:val="center"/>
                </w:tcPr>
                <w:p>
                  <w:pPr>
                    <w:pStyle w:val="19"/>
                    <w:bidi w:val="0"/>
                    <w:rPr>
                      <w:rFonts w:hint="default"/>
                      <w:lang w:val="en-US" w:eastAsia="zh-CN"/>
                    </w:rPr>
                  </w:pPr>
                  <w:r>
                    <w:rPr>
                      <w:rFonts w:hint="eastAsia"/>
                      <w:lang w:val="en-US" w:eastAsia="zh-CN"/>
                    </w:rPr>
                    <w:t>/</w:t>
                  </w:r>
                </w:p>
              </w:tc>
              <w:tc>
                <w:tcPr>
                  <w:tcW w:w="930" w:type="dxa"/>
                  <w:vAlign w:val="center"/>
                </w:tcPr>
                <w:p>
                  <w:pPr>
                    <w:pStyle w:val="19"/>
                    <w:bidi w:val="0"/>
                    <w:rPr>
                      <w:rFonts w:hint="default"/>
                      <w:lang w:val="en-US" w:eastAsia="zh-CN"/>
                    </w:rPr>
                  </w:pPr>
                  <w:r>
                    <w:rPr>
                      <w:rFonts w:hint="eastAsia"/>
                      <w:lang w:val="en-US" w:eastAsia="zh-CN"/>
                    </w:rPr>
                    <w:t>少量</w:t>
                  </w:r>
                </w:p>
              </w:tc>
              <w:tc>
                <w:tcPr>
                  <w:tcW w:w="749" w:type="dxa"/>
                  <w:vAlign w:val="center"/>
                </w:tcPr>
                <w:p>
                  <w:pPr>
                    <w:pStyle w:val="19"/>
                    <w:bidi w:val="0"/>
                    <w:rPr>
                      <w:rFonts w:hint="default"/>
                      <w:lang w:val="en-US" w:eastAsia="zh-CN"/>
                    </w:rPr>
                  </w:pPr>
                  <w:r>
                    <w:rPr>
                      <w:rFonts w:hint="eastAsia"/>
                      <w:lang w:val="en-US" w:eastAsia="zh-CN"/>
                    </w:rPr>
                    <w:t>少量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616" w:type="dxa"/>
                  <w:vMerge w:val="continue"/>
                  <w:vAlign w:val="center"/>
                </w:tcPr>
                <w:p>
                  <w:pPr>
                    <w:pStyle w:val="19"/>
                    <w:bidi w:val="0"/>
                    <w:rPr>
                      <w:rFonts w:hint="default"/>
                      <w:lang w:val="en-US" w:eastAsia="zh-CN"/>
                    </w:rPr>
                  </w:pPr>
                </w:p>
              </w:tc>
              <w:tc>
                <w:tcPr>
                  <w:tcW w:w="705" w:type="dxa"/>
                  <w:vAlign w:val="center"/>
                </w:tcPr>
                <w:p>
                  <w:pPr>
                    <w:pStyle w:val="19"/>
                    <w:bidi w:val="0"/>
                    <w:rPr>
                      <w:rFonts w:hint="default"/>
                      <w:lang w:val="en-US" w:eastAsia="zh-CN"/>
                    </w:rPr>
                  </w:pPr>
                  <w:r>
                    <w:rPr>
                      <w:rFonts w:hint="eastAsia"/>
                      <w:lang w:val="en-US" w:eastAsia="zh-CN"/>
                    </w:rPr>
                    <w:t>烟尘</w:t>
                  </w:r>
                </w:p>
              </w:tc>
              <w:tc>
                <w:tcPr>
                  <w:tcW w:w="765" w:type="dxa"/>
                  <w:vAlign w:val="center"/>
                </w:tcPr>
                <w:p>
                  <w:pPr>
                    <w:pStyle w:val="19"/>
                    <w:bidi w:val="0"/>
                    <w:rPr>
                      <w:rFonts w:hint="default"/>
                      <w:lang w:val="en-US" w:eastAsia="zh-CN"/>
                    </w:rPr>
                  </w:pPr>
                  <w:r>
                    <w:rPr>
                      <w:rFonts w:hint="eastAsia"/>
                      <w:lang w:val="en-US" w:eastAsia="zh-CN"/>
                    </w:rPr>
                    <w:t>少量</w:t>
                  </w:r>
                </w:p>
              </w:tc>
              <w:tc>
                <w:tcPr>
                  <w:tcW w:w="870" w:type="dxa"/>
                  <w:vAlign w:val="center"/>
                </w:tcPr>
                <w:p>
                  <w:pPr>
                    <w:pStyle w:val="19"/>
                    <w:bidi w:val="0"/>
                    <w:rPr>
                      <w:rFonts w:hint="default"/>
                      <w:lang w:val="en-US" w:eastAsia="zh-CN"/>
                    </w:rPr>
                  </w:pPr>
                  <w:r>
                    <w:rPr>
                      <w:rFonts w:hint="eastAsia"/>
                      <w:lang w:val="en-US" w:eastAsia="zh-CN"/>
                    </w:rPr>
                    <w:t>少量</w:t>
                  </w:r>
                </w:p>
              </w:tc>
              <w:tc>
                <w:tcPr>
                  <w:tcW w:w="675" w:type="dxa"/>
                  <w:vAlign w:val="center"/>
                </w:tcPr>
                <w:p>
                  <w:pPr>
                    <w:pStyle w:val="19"/>
                    <w:bidi w:val="0"/>
                    <w:rPr>
                      <w:rFonts w:hint="default"/>
                      <w:lang w:val="en-US" w:eastAsia="zh-CN"/>
                    </w:rPr>
                  </w:pPr>
                  <w:r>
                    <w:rPr>
                      <w:rFonts w:hint="eastAsia"/>
                      <w:lang w:val="en-US" w:eastAsia="zh-CN"/>
                    </w:rPr>
                    <w:t>有组织</w:t>
                  </w:r>
                </w:p>
              </w:tc>
              <w:tc>
                <w:tcPr>
                  <w:tcW w:w="1065" w:type="dxa"/>
                  <w:vMerge w:val="continue"/>
                  <w:vAlign w:val="center"/>
                </w:tcPr>
                <w:p>
                  <w:pPr>
                    <w:pStyle w:val="19"/>
                    <w:bidi w:val="0"/>
                    <w:rPr>
                      <w:rFonts w:hint="eastAsia"/>
                      <w:lang w:val="en-US" w:eastAsia="zh-CN"/>
                    </w:rPr>
                  </w:pPr>
                </w:p>
              </w:tc>
              <w:tc>
                <w:tcPr>
                  <w:tcW w:w="795" w:type="dxa"/>
                  <w:vAlign w:val="center"/>
                </w:tcPr>
                <w:p>
                  <w:pPr>
                    <w:pStyle w:val="19"/>
                    <w:bidi w:val="0"/>
                    <w:ind w:firstLine="0" w:firstLineChars="0"/>
                    <w:rPr>
                      <w:rFonts w:hint="eastAsia"/>
                      <w:lang w:val="en-US" w:eastAsia="zh-CN"/>
                    </w:rPr>
                  </w:pPr>
                  <w:r>
                    <w:rPr>
                      <w:rFonts w:hint="eastAsia"/>
                      <w:lang w:val="en-US" w:eastAsia="zh-CN"/>
                    </w:rPr>
                    <w:t>/</w:t>
                  </w:r>
                </w:p>
              </w:tc>
              <w:tc>
                <w:tcPr>
                  <w:tcW w:w="525" w:type="dxa"/>
                  <w:vAlign w:val="center"/>
                </w:tcPr>
                <w:p>
                  <w:pPr>
                    <w:pStyle w:val="19"/>
                    <w:bidi w:val="0"/>
                    <w:ind w:firstLine="0" w:firstLineChars="0"/>
                    <w:rPr>
                      <w:rFonts w:hint="eastAsia"/>
                      <w:lang w:val="en-US" w:eastAsia="zh-CN"/>
                    </w:rPr>
                  </w:pPr>
                  <w:r>
                    <w:rPr>
                      <w:rFonts w:hint="eastAsia"/>
                      <w:lang w:val="en-US" w:eastAsia="zh-CN"/>
                    </w:rPr>
                    <w:t>/</w:t>
                  </w:r>
                </w:p>
              </w:tc>
              <w:tc>
                <w:tcPr>
                  <w:tcW w:w="660" w:type="dxa"/>
                  <w:vAlign w:val="center"/>
                </w:tcPr>
                <w:p>
                  <w:pPr>
                    <w:pStyle w:val="19"/>
                    <w:bidi w:val="0"/>
                    <w:rPr>
                      <w:rFonts w:hint="default"/>
                      <w:lang w:val="en-US" w:eastAsia="zh-CN"/>
                    </w:rPr>
                  </w:pPr>
                  <w:r>
                    <w:rPr>
                      <w:rFonts w:hint="eastAsia"/>
                      <w:lang w:val="en-US" w:eastAsia="zh-CN"/>
                    </w:rPr>
                    <w:t>/</w:t>
                  </w:r>
                </w:p>
              </w:tc>
              <w:tc>
                <w:tcPr>
                  <w:tcW w:w="930" w:type="dxa"/>
                  <w:vAlign w:val="center"/>
                </w:tcPr>
                <w:p>
                  <w:pPr>
                    <w:pStyle w:val="19"/>
                    <w:bidi w:val="0"/>
                    <w:rPr>
                      <w:rFonts w:hint="default"/>
                      <w:lang w:val="en-US" w:eastAsia="zh-CN"/>
                    </w:rPr>
                  </w:pPr>
                  <w:r>
                    <w:rPr>
                      <w:rFonts w:hint="eastAsia"/>
                      <w:lang w:val="en-US" w:eastAsia="zh-CN"/>
                    </w:rPr>
                    <w:t>少量</w:t>
                  </w:r>
                </w:p>
              </w:tc>
              <w:tc>
                <w:tcPr>
                  <w:tcW w:w="749" w:type="dxa"/>
                  <w:vAlign w:val="center"/>
                </w:tcPr>
                <w:p>
                  <w:pPr>
                    <w:pStyle w:val="19"/>
                    <w:bidi w:val="0"/>
                    <w:rPr>
                      <w:rFonts w:hint="default"/>
                      <w:lang w:val="en-US" w:eastAsia="zh-CN"/>
                    </w:rPr>
                  </w:pPr>
                  <w:r>
                    <w:rPr>
                      <w:rFonts w:hint="eastAsia"/>
                      <w:lang w:val="en-US" w:eastAsia="zh-CN"/>
                    </w:rPr>
                    <w:t>少量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616" w:type="dxa"/>
                  <w:vAlign w:val="center"/>
                </w:tcPr>
                <w:p>
                  <w:pPr>
                    <w:pStyle w:val="19"/>
                    <w:bidi w:val="0"/>
                    <w:rPr>
                      <w:rFonts w:hint="default"/>
                      <w:lang w:val="en-US" w:eastAsia="zh-CN"/>
                    </w:rPr>
                  </w:pPr>
                  <w:r>
                    <w:rPr>
                      <w:rFonts w:hint="eastAsia"/>
                      <w:lang w:val="en-US" w:eastAsia="zh-CN"/>
                    </w:rPr>
                    <w:t>停车场</w:t>
                  </w:r>
                </w:p>
              </w:tc>
              <w:tc>
                <w:tcPr>
                  <w:tcW w:w="705" w:type="dxa"/>
                  <w:vAlign w:val="center"/>
                </w:tcPr>
                <w:p>
                  <w:pPr>
                    <w:pStyle w:val="19"/>
                    <w:bidi w:val="0"/>
                    <w:rPr>
                      <w:rFonts w:hint="default"/>
                      <w:lang w:val="en-US" w:eastAsia="zh-CN"/>
                    </w:rPr>
                  </w:pPr>
                  <w:r>
                    <w:rPr>
                      <w:rFonts w:hint="eastAsia"/>
                      <w:lang w:val="en-US" w:eastAsia="zh-CN"/>
                    </w:rPr>
                    <w:t>汽车尾气</w:t>
                  </w:r>
                </w:p>
              </w:tc>
              <w:tc>
                <w:tcPr>
                  <w:tcW w:w="765" w:type="dxa"/>
                  <w:vAlign w:val="center"/>
                </w:tcPr>
                <w:p>
                  <w:pPr>
                    <w:pStyle w:val="19"/>
                    <w:bidi w:val="0"/>
                    <w:rPr>
                      <w:rFonts w:hint="default"/>
                      <w:lang w:val="en-US" w:eastAsia="zh-CN"/>
                    </w:rPr>
                  </w:pPr>
                  <w:r>
                    <w:rPr>
                      <w:rFonts w:hint="eastAsia"/>
                      <w:lang w:val="en-US" w:eastAsia="zh-CN"/>
                    </w:rPr>
                    <w:t>少量</w:t>
                  </w:r>
                </w:p>
              </w:tc>
              <w:tc>
                <w:tcPr>
                  <w:tcW w:w="870" w:type="dxa"/>
                  <w:vAlign w:val="center"/>
                </w:tcPr>
                <w:p>
                  <w:pPr>
                    <w:pStyle w:val="19"/>
                    <w:bidi w:val="0"/>
                    <w:rPr>
                      <w:rFonts w:hint="default"/>
                      <w:lang w:val="en-US" w:eastAsia="zh-CN"/>
                    </w:rPr>
                  </w:pPr>
                  <w:r>
                    <w:rPr>
                      <w:rFonts w:hint="eastAsia"/>
                      <w:lang w:val="en-US" w:eastAsia="zh-CN"/>
                    </w:rPr>
                    <w:t>少量</w:t>
                  </w:r>
                </w:p>
              </w:tc>
              <w:tc>
                <w:tcPr>
                  <w:tcW w:w="675" w:type="dxa"/>
                  <w:vAlign w:val="center"/>
                </w:tcPr>
                <w:p>
                  <w:pPr>
                    <w:pStyle w:val="19"/>
                    <w:bidi w:val="0"/>
                    <w:rPr>
                      <w:rFonts w:hint="default"/>
                      <w:lang w:val="en-US" w:eastAsia="zh-CN"/>
                    </w:rPr>
                  </w:pPr>
                  <w:r>
                    <w:rPr>
                      <w:rFonts w:hint="eastAsia"/>
                      <w:lang w:val="en-US" w:eastAsia="zh-CN"/>
                    </w:rPr>
                    <w:t>无组织</w:t>
                  </w:r>
                </w:p>
              </w:tc>
              <w:tc>
                <w:tcPr>
                  <w:tcW w:w="1065" w:type="dxa"/>
                  <w:vAlign w:val="center"/>
                </w:tcPr>
                <w:p>
                  <w:pPr>
                    <w:pStyle w:val="19"/>
                    <w:bidi w:val="0"/>
                    <w:rPr>
                      <w:rFonts w:hint="default"/>
                      <w:lang w:val="en-US" w:eastAsia="zh-CN"/>
                    </w:rPr>
                  </w:pPr>
                  <w:r>
                    <w:rPr>
                      <w:rFonts w:hint="eastAsia"/>
                      <w:lang w:val="en-US" w:eastAsia="zh-CN"/>
                    </w:rPr>
                    <w:t>地面车位采取自然通风</w:t>
                  </w:r>
                </w:p>
              </w:tc>
              <w:tc>
                <w:tcPr>
                  <w:tcW w:w="795" w:type="dxa"/>
                  <w:vAlign w:val="center"/>
                </w:tcPr>
                <w:p>
                  <w:pPr>
                    <w:pStyle w:val="19"/>
                    <w:bidi w:val="0"/>
                    <w:ind w:firstLine="0" w:firstLineChars="0"/>
                    <w:rPr>
                      <w:rFonts w:hint="eastAsia"/>
                      <w:lang w:val="en-US" w:eastAsia="zh-CN"/>
                    </w:rPr>
                  </w:pPr>
                  <w:r>
                    <w:rPr>
                      <w:rFonts w:hint="eastAsia"/>
                      <w:lang w:val="en-US" w:eastAsia="zh-CN"/>
                    </w:rPr>
                    <w:t>/</w:t>
                  </w:r>
                </w:p>
              </w:tc>
              <w:tc>
                <w:tcPr>
                  <w:tcW w:w="525" w:type="dxa"/>
                  <w:vAlign w:val="center"/>
                </w:tcPr>
                <w:p>
                  <w:pPr>
                    <w:pStyle w:val="19"/>
                    <w:bidi w:val="0"/>
                    <w:ind w:firstLine="0" w:firstLineChars="0"/>
                    <w:rPr>
                      <w:rFonts w:hint="eastAsia"/>
                      <w:lang w:val="en-US" w:eastAsia="zh-CN"/>
                    </w:rPr>
                  </w:pPr>
                  <w:r>
                    <w:rPr>
                      <w:rFonts w:hint="eastAsia"/>
                      <w:lang w:val="en-US" w:eastAsia="zh-CN"/>
                    </w:rPr>
                    <w:t>/</w:t>
                  </w:r>
                </w:p>
              </w:tc>
              <w:tc>
                <w:tcPr>
                  <w:tcW w:w="660" w:type="dxa"/>
                  <w:vAlign w:val="center"/>
                </w:tcPr>
                <w:p>
                  <w:pPr>
                    <w:pStyle w:val="19"/>
                    <w:bidi w:val="0"/>
                    <w:rPr>
                      <w:rFonts w:hint="default"/>
                      <w:lang w:val="en-US" w:eastAsia="zh-CN"/>
                    </w:rPr>
                  </w:pPr>
                  <w:r>
                    <w:rPr>
                      <w:rFonts w:hint="eastAsia"/>
                      <w:lang w:val="en-US" w:eastAsia="zh-CN"/>
                    </w:rPr>
                    <w:t>/</w:t>
                  </w:r>
                </w:p>
              </w:tc>
              <w:tc>
                <w:tcPr>
                  <w:tcW w:w="930" w:type="dxa"/>
                  <w:vAlign w:val="center"/>
                </w:tcPr>
                <w:p>
                  <w:pPr>
                    <w:pStyle w:val="19"/>
                    <w:bidi w:val="0"/>
                    <w:rPr>
                      <w:rFonts w:hint="default"/>
                      <w:lang w:val="en-US" w:eastAsia="zh-CN"/>
                    </w:rPr>
                  </w:pPr>
                  <w:r>
                    <w:rPr>
                      <w:rFonts w:hint="eastAsia"/>
                      <w:lang w:val="en-US" w:eastAsia="zh-CN"/>
                    </w:rPr>
                    <w:t>少量</w:t>
                  </w:r>
                </w:p>
              </w:tc>
              <w:tc>
                <w:tcPr>
                  <w:tcW w:w="749" w:type="dxa"/>
                  <w:vAlign w:val="center"/>
                </w:tcPr>
                <w:p>
                  <w:pPr>
                    <w:pStyle w:val="19"/>
                    <w:bidi w:val="0"/>
                    <w:rPr>
                      <w:rFonts w:hint="default"/>
                      <w:lang w:val="en-US" w:eastAsia="zh-CN"/>
                    </w:rPr>
                  </w:pPr>
                  <w:r>
                    <w:rPr>
                      <w:rFonts w:hint="eastAsia"/>
                      <w:lang w:val="en-US" w:eastAsia="zh-CN"/>
                    </w:rPr>
                    <w:t>少量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616" w:type="dxa"/>
                  <w:vMerge w:val="restart"/>
                  <w:vAlign w:val="center"/>
                </w:tcPr>
                <w:p>
                  <w:pPr>
                    <w:pStyle w:val="19"/>
                    <w:bidi w:val="0"/>
                    <w:rPr>
                      <w:rFonts w:hint="default"/>
                      <w:lang w:val="en-US" w:eastAsia="zh-CN"/>
                    </w:rPr>
                  </w:pPr>
                  <w:r>
                    <w:rPr>
                      <w:rFonts w:hint="eastAsia"/>
                      <w:lang w:val="en-US" w:eastAsia="zh-CN"/>
                    </w:rPr>
                    <w:t>公厕</w:t>
                  </w:r>
                </w:p>
              </w:tc>
              <w:tc>
                <w:tcPr>
                  <w:tcW w:w="705" w:type="dxa"/>
                  <w:vAlign w:val="center"/>
                </w:tcPr>
                <w:p>
                  <w:pPr>
                    <w:pStyle w:val="19"/>
                    <w:bidi w:val="0"/>
                    <w:rPr>
                      <w:rFonts w:hint="default"/>
                      <w:lang w:val="en-US" w:eastAsia="zh-CN"/>
                    </w:rPr>
                  </w:pPr>
                  <w:r>
                    <w:rPr>
                      <w:rFonts w:hint="eastAsia"/>
                      <w:lang w:val="en-US" w:eastAsia="zh-CN"/>
                    </w:rPr>
                    <w:t>氨</w:t>
                  </w:r>
                </w:p>
              </w:tc>
              <w:tc>
                <w:tcPr>
                  <w:tcW w:w="765" w:type="dxa"/>
                  <w:vAlign w:val="center"/>
                </w:tcPr>
                <w:p>
                  <w:pPr>
                    <w:pStyle w:val="19"/>
                    <w:bidi w:val="0"/>
                    <w:rPr>
                      <w:rFonts w:hint="default"/>
                      <w:lang w:val="en-US" w:eastAsia="zh-CN"/>
                    </w:rPr>
                  </w:pPr>
                  <w:r>
                    <w:rPr>
                      <w:rFonts w:hint="eastAsia"/>
                      <w:lang w:val="en-US" w:eastAsia="zh-CN"/>
                    </w:rPr>
                    <w:t>少量</w:t>
                  </w:r>
                </w:p>
              </w:tc>
              <w:tc>
                <w:tcPr>
                  <w:tcW w:w="870" w:type="dxa"/>
                  <w:vAlign w:val="center"/>
                </w:tcPr>
                <w:p>
                  <w:pPr>
                    <w:pStyle w:val="19"/>
                    <w:bidi w:val="0"/>
                    <w:rPr>
                      <w:rFonts w:hint="default"/>
                      <w:lang w:val="en-US" w:eastAsia="zh-CN"/>
                    </w:rPr>
                  </w:pPr>
                  <w:r>
                    <w:rPr>
                      <w:rFonts w:hint="eastAsia"/>
                      <w:lang w:val="en-US" w:eastAsia="zh-CN"/>
                    </w:rPr>
                    <w:t>少量</w:t>
                  </w:r>
                </w:p>
              </w:tc>
              <w:tc>
                <w:tcPr>
                  <w:tcW w:w="675" w:type="dxa"/>
                  <w:vAlign w:val="center"/>
                </w:tcPr>
                <w:p>
                  <w:pPr>
                    <w:pStyle w:val="19"/>
                    <w:bidi w:val="0"/>
                    <w:rPr>
                      <w:rFonts w:hint="default"/>
                      <w:lang w:val="en-US" w:eastAsia="zh-CN"/>
                    </w:rPr>
                  </w:pPr>
                  <w:r>
                    <w:rPr>
                      <w:rFonts w:hint="eastAsia"/>
                      <w:lang w:val="en-US" w:eastAsia="zh-CN"/>
                    </w:rPr>
                    <w:t>无组织</w:t>
                  </w:r>
                </w:p>
              </w:tc>
              <w:tc>
                <w:tcPr>
                  <w:tcW w:w="1065" w:type="dxa"/>
                  <w:vMerge w:val="restart"/>
                  <w:vAlign w:val="center"/>
                </w:tcPr>
                <w:p>
                  <w:pPr>
                    <w:pStyle w:val="19"/>
                    <w:bidi w:val="0"/>
                    <w:rPr>
                      <w:rFonts w:hint="default"/>
                      <w:lang w:val="en-US" w:eastAsia="zh-CN"/>
                    </w:rPr>
                  </w:pPr>
                  <w:r>
                    <w:rPr>
                      <w:rFonts w:hint="eastAsia"/>
                      <w:lang w:val="en-US" w:eastAsia="zh-CN"/>
                    </w:rPr>
                    <w:t>加强管理，勤清洁</w:t>
                  </w:r>
                </w:p>
              </w:tc>
              <w:tc>
                <w:tcPr>
                  <w:tcW w:w="795" w:type="dxa"/>
                  <w:vAlign w:val="center"/>
                </w:tcPr>
                <w:p>
                  <w:pPr>
                    <w:pStyle w:val="19"/>
                    <w:bidi w:val="0"/>
                    <w:ind w:firstLine="0" w:firstLineChars="0"/>
                    <w:rPr>
                      <w:rFonts w:hint="eastAsia"/>
                      <w:lang w:val="en-US" w:eastAsia="zh-CN"/>
                    </w:rPr>
                  </w:pPr>
                  <w:r>
                    <w:rPr>
                      <w:rFonts w:hint="eastAsia"/>
                      <w:lang w:val="en-US" w:eastAsia="zh-CN"/>
                    </w:rPr>
                    <w:t>/</w:t>
                  </w:r>
                </w:p>
              </w:tc>
              <w:tc>
                <w:tcPr>
                  <w:tcW w:w="525" w:type="dxa"/>
                  <w:vAlign w:val="center"/>
                </w:tcPr>
                <w:p>
                  <w:pPr>
                    <w:pStyle w:val="19"/>
                    <w:bidi w:val="0"/>
                    <w:ind w:firstLine="0" w:firstLineChars="0"/>
                    <w:rPr>
                      <w:rFonts w:hint="eastAsia"/>
                      <w:lang w:val="en-US" w:eastAsia="zh-CN"/>
                    </w:rPr>
                  </w:pPr>
                  <w:r>
                    <w:rPr>
                      <w:rFonts w:hint="eastAsia"/>
                      <w:lang w:val="en-US" w:eastAsia="zh-CN"/>
                    </w:rPr>
                    <w:t>/</w:t>
                  </w:r>
                </w:p>
              </w:tc>
              <w:tc>
                <w:tcPr>
                  <w:tcW w:w="660" w:type="dxa"/>
                  <w:vAlign w:val="center"/>
                </w:tcPr>
                <w:p>
                  <w:pPr>
                    <w:pStyle w:val="19"/>
                    <w:bidi w:val="0"/>
                    <w:rPr>
                      <w:rFonts w:hint="default"/>
                      <w:lang w:val="en-US" w:eastAsia="zh-CN"/>
                    </w:rPr>
                  </w:pPr>
                  <w:r>
                    <w:rPr>
                      <w:rFonts w:hint="eastAsia"/>
                      <w:lang w:val="en-US" w:eastAsia="zh-CN"/>
                    </w:rPr>
                    <w:t>/</w:t>
                  </w:r>
                </w:p>
              </w:tc>
              <w:tc>
                <w:tcPr>
                  <w:tcW w:w="930" w:type="dxa"/>
                  <w:vAlign w:val="center"/>
                </w:tcPr>
                <w:p>
                  <w:pPr>
                    <w:pStyle w:val="19"/>
                    <w:bidi w:val="0"/>
                    <w:rPr>
                      <w:rFonts w:hint="default"/>
                      <w:lang w:val="en-US" w:eastAsia="zh-CN"/>
                    </w:rPr>
                  </w:pPr>
                  <w:r>
                    <w:rPr>
                      <w:rFonts w:hint="eastAsia"/>
                      <w:lang w:val="en-US" w:eastAsia="zh-CN"/>
                    </w:rPr>
                    <w:t>少量</w:t>
                  </w:r>
                </w:p>
              </w:tc>
              <w:tc>
                <w:tcPr>
                  <w:tcW w:w="749" w:type="dxa"/>
                  <w:vAlign w:val="center"/>
                </w:tcPr>
                <w:p>
                  <w:pPr>
                    <w:pStyle w:val="19"/>
                    <w:bidi w:val="0"/>
                    <w:rPr>
                      <w:rFonts w:hint="default"/>
                      <w:lang w:val="en-US" w:eastAsia="zh-CN"/>
                    </w:rPr>
                  </w:pPr>
                  <w:r>
                    <w:rPr>
                      <w:rFonts w:hint="eastAsia"/>
                      <w:lang w:val="en-US" w:eastAsia="zh-CN"/>
                    </w:rPr>
                    <w:t>少量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616" w:type="dxa"/>
                  <w:vMerge w:val="continue"/>
                  <w:vAlign w:val="center"/>
                </w:tcPr>
                <w:p>
                  <w:pPr>
                    <w:pStyle w:val="19"/>
                    <w:bidi w:val="0"/>
                    <w:rPr>
                      <w:rFonts w:hint="default"/>
                      <w:lang w:val="en-US" w:eastAsia="zh-CN"/>
                    </w:rPr>
                  </w:pPr>
                </w:p>
              </w:tc>
              <w:tc>
                <w:tcPr>
                  <w:tcW w:w="705" w:type="dxa"/>
                  <w:vAlign w:val="center"/>
                </w:tcPr>
                <w:p>
                  <w:pPr>
                    <w:pStyle w:val="19"/>
                    <w:bidi w:val="0"/>
                    <w:rPr>
                      <w:rFonts w:hint="default"/>
                      <w:lang w:val="en-US" w:eastAsia="zh-CN"/>
                    </w:rPr>
                  </w:pPr>
                  <w:r>
                    <w:rPr>
                      <w:rFonts w:hint="eastAsia"/>
                      <w:lang w:val="en-US" w:eastAsia="zh-CN"/>
                    </w:rPr>
                    <w:t>硫化氢</w:t>
                  </w:r>
                </w:p>
              </w:tc>
              <w:tc>
                <w:tcPr>
                  <w:tcW w:w="765" w:type="dxa"/>
                  <w:vAlign w:val="center"/>
                </w:tcPr>
                <w:p>
                  <w:pPr>
                    <w:pStyle w:val="19"/>
                    <w:bidi w:val="0"/>
                    <w:rPr>
                      <w:rFonts w:hint="default"/>
                      <w:lang w:val="en-US" w:eastAsia="zh-CN"/>
                    </w:rPr>
                  </w:pPr>
                  <w:r>
                    <w:rPr>
                      <w:rFonts w:hint="eastAsia"/>
                      <w:lang w:val="en-US" w:eastAsia="zh-CN"/>
                    </w:rPr>
                    <w:t>少量</w:t>
                  </w:r>
                </w:p>
              </w:tc>
              <w:tc>
                <w:tcPr>
                  <w:tcW w:w="870" w:type="dxa"/>
                  <w:vAlign w:val="center"/>
                </w:tcPr>
                <w:p>
                  <w:pPr>
                    <w:pStyle w:val="19"/>
                    <w:bidi w:val="0"/>
                    <w:rPr>
                      <w:rFonts w:hint="default"/>
                      <w:lang w:val="en-US" w:eastAsia="zh-CN"/>
                    </w:rPr>
                  </w:pPr>
                  <w:r>
                    <w:rPr>
                      <w:rFonts w:hint="eastAsia"/>
                      <w:lang w:val="en-US" w:eastAsia="zh-CN"/>
                    </w:rPr>
                    <w:t>少量</w:t>
                  </w:r>
                </w:p>
              </w:tc>
              <w:tc>
                <w:tcPr>
                  <w:tcW w:w="675" w:type="dxa"/>
                  <w:vAlign w:val="center"/>
                </w:tcPr>
                <w:p>
                  <w:pPr>
                    <w:pStyle w:val="19"/>
                    <w:bidi w:val="0"/>
                    <w:rPr>
                      <w:rFonts w:hint="default"/>
                      <w:lang w:val="en-US" w:eastAsia="zh-CN"/>
                    </w:rPr>
                  </w:pPr>
                  <w:r>
                    <w:rPr>
                      <w:rFonts w:hint="eastAsia"/>
                      <w:lang w:val="en-US" w:eastAsia="zh-CN"/>
                    </w:rPr>
                    <w:t>无组织</w:t>
                  </w:r>
                </w:p>
              </w:tc>
              <w:tc>
                <w:tcPr>
                  <w:tcW w:w="1065" w:type="dxa"/>
                  <w:vMerge w:val="continue"/>
                  <w:vAlign w:val="center"/>
                </w:tcPr>
                <w:p>
                  <w:pPr>
                    <w:pStyle w:val="19"/>
                    <w:bidi w:val="0"/>
                    <w:rPr>
                      <w:rFonts w:hint="eastAsia"/>
                      <w:lang w:val="en-US" w:eastAsia="zh-CN"/>
                    </w:rPr>
                  </w:pPr>
                </w:p>
              </w:tc>
              <w:tc>
                <w:tcPr>
                  <w:tcW w:w="795" w:type="dxa"/>
                  <w:vAlign w:val="center"/>
                </w:tcPr>
                <w:p>
                  <w:pPr>
                    <w:pStyle w:val="19"/>
                    <w:bidi w:val="0"/>
                    <w:ind w:firstLine="0" w:firstLineChars="0"/>
                    <w:rPr>
                      <w:rFonts w:hint="eastAsia"/>
                      <w:lang w:val="en-US" w:eastAsia="zh-CN"/>
                    </w:rPr>
                  </w:pPr>
                  <w:r>
                    <w:rPr>
                      <w:rFonts w:hint="eastAsia"/>
                      <w:lang w:val="en-US" w:eastAsia="zh-CN"/>
                    </w:rPr>
                    <w:t>/</w:t>
                  </w:r>
                </w:p>
              </w:tc>
              <w:tc>
                <w:tcPr>
                  <w:tcW w:w="525" w:type="dxa"/>
                  <w:vAlign w:val="center"/>
                </w:tcPr>
                <w:p>
                  <w:pPr>
                    <w:pStyle w:val="19"/>
                    <w:bidi w:val="0"/>
                    <w:ind w:firstLine="0" w:firstLineChars="0"/>
                    <w:rPr>
                      <w:rFonts w:hint="eastAsia"/>
                      <w:lang w:val="en-US" w:eastAsia="zh-CN"/>
                    </w:rPr>
                  </w:pPr>
                  <w:r>
                    <w:rPr>
                      <w:rFonts w:hint="eastAsia"/>
                      <w:lang w:val="en-US" w:eastAsia="zh-CN"/>
                    </w:rPr>
                    <w:t>/</w:t>
                  </w:r>
                </w:p>
              </w:tc>
              <w:tc>
                <w:tcPr>
                  <w:tcW w:w="660" w:type="dxa"/>
                  <w:vAlign w:val="center"/>
                </w:tcPr>
                <w:p>
                  <w:pPr>
                    <w:pStyle w:val="19"/>
                    <w:bidi w:val="0"/>
                    <w:rPr>
                      <w:rFonts w:hint="default"/>
                      <w:lang w:val="en-US" w:eastAsia="zh-CN"/>
                    </w:rPr>
                  </w:pPr>
                  <w:r>
                    <w:rPr>
                      <w:rFonts w:hint="eastAsia"/>
                      <w:lang w:val="en-US" w:eastAsia="zh-CN"/>
                    </w:rPr>
                    <w:t>/</w:t>
                  </w:r>
                </w:p>
              </w:tc>
              <w:tc>
                <w:tcPr>
                  <w:tcW w:w="930" w:type="dxa"/>
                  <w:vAlign w:val="center"/>
                </w:tcPr>
                <w:p>
                  <w:pPr>
                    <w:pStyle w:val="19"/>
                    <w:bidi w:val="0"/>
                    <w:rPr>
                      <w:rFonts w:hint="default"/>
                      <w:lang w:val="en-US" w:eastAsia="zh-CN"/>
                    </w:rPr>
                  </w:pPr>
                  <w:r>
                    <w:rPr>
                      <w:rFonts w:hint="eastAsia"/>
                      <w:lang w:val="en-US" w:eastAsia="zh-CN"/>
                    </w:rPr>
                    <w:t>少量</w:t>
                  </w:r>
                </w:p>
              </w:tc>
              <w:tc>
                <w:tcPr>
                  <w:tcW w:w="749" w:type="dxa"/>
                  <w:vAlign w:val="center"/>
                </w:tcPr>
                <w:p>
                  <w:pPr>
                    <w:pStyle w:val="19"/>
                    <w:bidi w:val="0"/>
                    <w:rPr>
                      <w:rFonts w:hint="default"/>
                      <w:lang w:val="en-US" w:eastAsia="zh-CN"/>
                    </w:rPr>
                  </w:pPr>
                  <w:r>
                    <w:rPr>
                      <w:rFonts w:hint="eastAsia"/>
                      <w:lang w:val="en-US" w:eastAsia="zh-CN"/>
                    </w:rPr>
                    <w:t>少量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616" w:type="dxa"/>
                  <w:vMerge w:val="continue"/>
                  <w:vAlign w:val="center"/>
                </w:tcPr>
                <w:p>
                  <w:pPr>
                    <w:pStyle w:val="19"/>
                    <w:bidi w:val="0"/>
                    <w:rPr>
                      <w:rFonts w:hint="default"/>
                      <w:lang w:val="en-US" w:eastAsia="zh-CN"/>
                    </w:rPr>
                  </w:pPr>
                </w:p>
              </w:tc>
              <w:tc>
                <w:tcPr>
                  <w:tcW w:w="705" w:type="dxa"/>
                  <w:vAlign w:val="center"/>
                </w:tcPr>
                <w:p>
                  <w:pPr>
                    <w:pStyle w:val="19"/>
                    <w:bidi w:val="0"/>
                    <w:rPr>
                      <w:rFonts w:hint="default"/>
                      <w:lang w:val="en-US" w:eastAsia="zh-CN"/>
                    </w:rPr>
                  </w:pPr>
                  <w:r>
                    <w:rPr>
                      <w:rFonts w:hint="eastAsia"/>
                      <w:lang w:val="en-US" w:eastAsia="zh-CN"/>
                    </w:rPr>
                    <w:t>臭气浓度</w:t>
                  </w:r>
                </w:p>
              </w:tc>
              <w:tc>
                <w:tcPr>
                  <w:tcW w:w="765" w:type="dxa"/>
                  <w:vAlign w:val="center"/>
                </w:tcPr>
                <w:p>
                  <w:pPr>
                    <w:pStyle w:val="19"/>
                    <w:bidi w:val="0"/>
                    <w:rPr>
                      <w:rFonts w:hint="eastAsia"/>
                      <w:lang w:val="en-US" w:eastAsia="zh-CN"/>
                    </w:rPr>
                  </w:pPr>
                  <w:r>
                    <w:rPr>
                      <w:rFonts w:hint="eastAsia"/>
                      <w:lang w:val="en-US" w:eastAsia="zh-CN"/>
                    </w:rPr>
                    <w:t>少量</w:t>
                  </w:r>
                </w:p>
              </w:tc>
              <w:tc>
                <w:tcPr>
                  <w:tcW w:w="870" w:type="dxa"/>
                  <w:vAlign w:val="center"/>
                </w:tcPr>
                <w:p>
                  <w:pPr>
                    <w:pStyle w:val="19"/>
                    <w:bidi w:val="0"/>
                    <w:rPr>
                      <w:rFonts w:hint="eastAsia"/>
                      <w:lang w:val="en-US" w:eastAsia="zh-CN"/>
                    </w:rPr>
                  </w:pPr>
                  <w:r>
                    <w:rPr>
                      <w:rFonts w:hint="eastAsia"/>
                      <w:lang w:val="en-US" w:eastAsia="zh-CN"/>
                    </w:rPr>
                    <w:t>少量</w:t>
                  </w:r>
                </w:p>
              </w:tc>
              <w:tc>
                <w:tcPr>
                  <w:tcW w:w="675" w:type="dxa"/>
                  <w:vAlign w:val="center"/>
                </w:tcPr>
                <w:p>
                  <w:pPr>
                    <w:pStyle w:val="19"/>
                    <w:bidi w:val="0"/>
                    <w:rPr>
                      <w:rFonts w:hint="eastAsia"/>
                      <w:lang w:val="en-US" w:eastAsia="zh-CN"/>
                    </w:rPr>
                  </w:pPr>
                  <w:r>
                    <w:rPr>
                      <w:rFonts w:hint="eastAsia"/>
                      <w:lang w:val="en-US" w:eastAsia="zh-CN"/>
                    </w:rPr>
                    <w:t>无组织</w:t>
                  </w:r>
                </w:p>
              </w:tc>
              <w:tc>
                <w:tcPr>
                  <w:tcW w:w="1065" w:type="dxa"/>
                  <w:vMerge w:val="continue"/>
                  <w:vAlign w:val="center"/>
                </w:tcPr>
                <w:p>
                  <w:pPr>
                    <w:pStyle w:val="19"/>
                    <w:bidi w:val="0"/>
                    <w:rPr>
                      <w:rFonts w:hint="eastAsia"/>
                      <w:lang w:val="en-US" w:eastAsia="zh-CN"/>
                    </w:rPr>
                  </w:pPr>
                </w:p>
              </w:tc>
              <w:tc>
                <w:tcPr>
                  <w:tcW w:w="795" w:type="dxa"/>
                  <w:vAlign w:val="center"/>
                </w:tcPr>
                <w:p>
                  <w:pPr>
                    <w:pStyle w:val="19"/>
                    <w:bidi w:val="0"/>
                    <w:ind w:firstLine="0" w:firstLineChars="0"/>
                    <w:rPr>
                      <w:rFonts w:hint="eastAsia"/>
                      <w:lang w:val="en-US" w:eastAsia="zh-CN"/>
                    </w:rPr>
                  </w:pPr>
                  <w:r>
                    <w:rPr>
                      <w:rFonts w:hint="eastAsia"/>
                      <w:lang w:val="en-US" w:eastAsia="zh-CN"/>
                    </w:rPr>
                    <w:t>/</w:t>
                  </w:r>
                </w:p>
              </w:tc>
              <w:tc>
                <w:tcPr>
                  <w:tcW w:w="525" w:type="dxa"/>
                  <w:vAlign w:val="center"/>
                </w:tcPr>
                <w:p>
                  <w:pPr>
                    <w:pStyle w:val="19"/>
                    <w:bidi w:val="0"/>
                    <w:ind w:firstLine="0" w:firstLineChars="0"/>
                    <w:rPr>
                      <w:rFonts w:hint="eastAsia"/>
                      <w:lang w:val="en-US" w:eastAsia="zh-CN"/>
                    </w:rPr>
                  </w:pPr>
                  <w:r>
                    <w:rPr>
                      <w:rFonts w:hint="eastAsia"/>
                      <w:lang w:val="en-US" w:eastAsia="zh-CN"/>
                    </w:rPr>
                    <w:t>/</w:t>
                  </w:r>
                </w:p>
              </w:tc>
              <w:tc>
                <w:tcPr>
                  <w:tcW w:w="660" w:type="dxa"/>
                  <w:vAlign w:val="center"/>
                </w:tcPr>
                <w:p>
                  <w:pPr>
                    <w:pStyle w:val="19"/>
                    <w:bidi w:val="0"/>
                    <w:rPr>
                      <w:rFonts w:hint="default"/>
                      <w:lang w:val="en-US" w:eastAsia="zh-CN"/>
                    </w:rPr>
                  </w:pPr>
                  <w:r>
                    <w:rPr>
                      <w:rFonts w:hint="eastAsia"/>
                      <w:lang w:val="en-US" w:eastAsia="zh-CN"/>
                    </w:rPr>
                    <w:t>/</w:t>
                  </w:r>
                </w:p>
              </w:tc>
              <w:tc>
                <w:tcPr>
                  <w:tcW w:w="930" w:type="dxa"/>
                  <w:vAlign w:val="center"/>
                </w:tcPr>
                <w:p>
                  <w:pPr>
                    <w:pStyle w:val="19"/>
                    <w:bidi w:val="0"/>
                    <w:rPr>
                      <w:rFonts w:hint="eastAsia"/>
                      <w:lang w:val="en-US" w:eastAsia="zh-CN"/>
                    </w:rPr>
                  </w:pPr>
                  <w:r>
                    <w:rPr>
                      <w:rFonts w:hint="eastAsia"/>
                      <w:lang w:val="en-US" w:eastAsia="zh-CN"/>
                    </w:rPr>
                    <w:t>少量</w:t>
                  </w:r>
                </w:p>
              </w:tc>
              <w:tc>
                <w:tcPr>
                  <w:tcW w:w="749" w:type="dxa"/>
                  <w:vAlign w:val="center"/>
                </w:tcPr>
                <w:p>
                  <w:pPr>
                    <w:pStyle w:val="19"/>
                    <w:bidi w:val="0"/>
                    <w:rPr>
                      <w:rFonts w:hint="eastAsia"/>
                      <w:lang w:val="en-US" w:eastAsia="zh-CN"/>
                    </w:rPr>
                  </w:pPr>
                  <w:r>
                    <w:rPr>
                      <w:rFonts w:hint="eastAsia"/>
                      <w:lang w:val="en-US" w:eastAsia="zh-CN"/>
                    </w:rPr>
                    <w:t>少量</w:t>
                  </w:r>
                </w:p>
              </w:tc>
            </w:tr>
          </w:tbl>
          <w:p>
            <w:pPr>
              <w:pStyle w:val="22"/>
              <w:bidi w:val="0"/>
              <w:ind w:left="0" w:leftChars="0" w:firstLine="480" w:firstLineChars="200"/>
              <w:rPr>
                <w:rFonts w:hint="default" w:eastAsia="宋体"/>
                <w:b w:val="0"/>
                <w:bCs w:val="0"/>
                <w:lang w:val="en-US" w:eastAsia="zh-CN"/>
              </w:rPr>
            </w:pPr>
            <w:r>
              <w:rPr>
                <w:rFonts w:hint="eastAsia"/>
                <w:b w:val="0"/>
                <w:bCs w:val="0"/>
                <w:lang w:eastAsia="zh-CN"/>
              </w:rPr>
              <w:t>（</w:t>
            </w:r>
            <w:r>
              <w:rPr>
                <w:rFonts w:hint="eastAsia"/>
                <w:b w:val="0"/>
                <w:bCs w:val="0"/>
                <w:lang w:val="en-US" w:eastAsia="zh-CN"/>
              </w:rPr>
              <w:t>2</w:t>
            </w:r>
            <w:r>
              <w:rPr>
                <w:rFonts w:hint="eastAsia"/>
                <w:b w:val="0"/>
                <w:bCs w:val="0"/>
                <w:lang w:eastAsia="zh-CN"/>
              </w:rPr>
              <w:t>）</w:t>
            </w:r>
            <w:r>
              <w:rPr>
                <w:rFonts w:hint="eastAsia"/>
                <w:b w:val="0"/>
                <w:bCs w:val="0"/>
                <w:lang w:val="en-US" w:eastAsia="zh-CN"/>
              </w:rPr>
              <w:t>环境影响分析</w:t>
            </w:r>
          </w:p>
          <w:p>
            <w:pPr>
              <w:pStyle w:val="22"/>
              <w:bidi w:val="0"/>
              <w:rPr>
                <w:rFonts w:hint="eastAsia"/>
                <w:lang w:val="en-US" w:eastAsia="zh-CN"/>
              </w:rPr>
            </w:pPr>
            <w:r>
              <w:rPr>
                <w:rFonts w:hint="eastAsia"/>
                <w:lang w:val="en-US" w:eastAsia="zh-CN"/>
              </w:rPr>
              <w:t>①员工食堂油烟</w:t>
            </w:r>
          </w:p>
          <w:p>
            <w:pPr>
              <w:pStyle w:val="22"/>
              <w:bidi w:val="0"/>
              <w:rPr>
                <w:rFonts w:hint="default"/>
                <w:lang w:val="en-US" w:eastAsia="zh-CN"/>
              </w:rPr>
            </w:pPr>
            <w:r>
              <w:rPr>
                <w:rFonts w:hint="eastAsia"/>
                <w:lang w:val="en-US" w:eastAsia="zh-CN"/>
              </w:rPr>
              <w:t>本项目设有员工食堂，食堂油烟经油烟净化器处理后排放，对周边产生的环境影响较小。</w:t>
            </w:r>
          </w:p>
          <w:p>
            <w:pPr>
              <w:pStyle w:val="22"/>
              <w:bidi w:val="0"/>
              <w:rPr>
                <w:rFonts w:hint="eastAsia"/>
                <w:lang w:val="en-US" w:eastAsia="zh-CN"/>
              </w:rPr>
            </w:pPr>
            <w:r>
              <w:rPr>
                <w:rFonts w:hint="eastAsia"/>
                <w:lang w:val="en-US" w:eastAsia="zh-CN"/>
              </w:rPr>
              <w:t>②主题餐厅油烟</w:t>
            </w:r>
          </w:p>
          <w:p>
            <w:pPr>
              <w:pStyle w:val="22"/>
              <w:bidi w:val="0"/>
              <w:rPr>
                <w:rFonts w:hint="default"/>
                <w:lang w:val="en-US" w:eastAsia="zh-CN"/>
              </w:rPr>
            </w:pPr>
            <w:r>
              <w:rPr>
                <w:rFonts w:hint="eastAsia"/>
                <w:lang w:val="en-US" w:eastAsia="zh-CN"/>
              </w:rPr>
              <w:t>本项目设有主题餐厅，主题餐厅油烟经油烟净化器处理后排放，对周边产生的环境影响较小。</w:t>
            </w:r>
          </w:p>
          <w:p>
            <w:pPr>
              <w:pStyle w:val="22"/>
              <w:bidi w:val="0"/>
              <w:rPr>
                <w:rFonts w:hint="default"/>
                <w:lang w:val="en-US" w:eastAsia="zh-CN"/>
              </w:rPr>
            </w:pPr>
            <w:r>
              <w:rPr>
                <w:rFonts w:hint="eastAsia"/>
                <w:lang w:val="en-US" w:eastAsia="zh-CN"/>
              </w:rPr>
              <w:t>③</w:t>
            </w:r>
            <w:r>
              <w:rPr>
                <w:rFonts w:hint="eastAsia"/>
                <w:color w:val="auto"/>
                <w:sz w:val="24"/>
                <w:szCs w:val="32"/>
                <w:lang w:val="en-US" w:eastAsia="zh-CN"/>
              </w:rPr>
              <w:t>备用发电机燃烧废气</w:t>
            </w:r>
          </w:p>
          <w:p>
            <w:pPr>
              <w:pStyle w:val="22"/>
              <w:bidi w:val="0"/>
              <w:rPr>
                <w:rFonts w:hint="default"/>
                <w:lang w:val="en-US" w:eastAsia="zh-CN"/>
              </w:rPr>
            </w:pPr>
            <w:r>
              <w:rPr>
                <w:rFonts w:hint="eastAsia"/>
                <w:lang w:val="en-US" w:eastAsia="zh-CN"/>
              </w:rPr>
              <w:t>项</w:t>
            </w:r>
            <w:r>
              <w:rPr>
                <w:rFonts w:hint="default"/>
                <w:lang w:val="en-US" w:eastAsia="zh-CN"/>
              </w:rPr>
              <w:t>目拟设置</w:t>
            </w:r>
            <w:r>
              <w:rPr>
                <w:rFonts w:hint="eastAsia"/>
                <w:lang w:val="en-US" w:eastAsia="zh-CN"/>
              </w:rPr>
              <w:t>一台</w:t>
            </w:r>
            <w:r>
              <w:rPr>
                <w:rFonts w:hint="default"/>
                <w:lang w:val="en-US" w:eastAsia="zh-CN"/>
              </w:rPr>
              <w:t>800千瓦备用发电机，在停电时与正常维护时启用，位于设备用房。由于发电机使用的机会小，</w:t>
            </w:r>
            <w:r>
              <w:rPr>
                <w:rFonts w:hint="eastAsia"/>
                <w:lang w:val="en-US" w:eastAsia="zh-CN"/>
              </w:rPr>
              <w:t>仅在市政停电紧急情况下使用，该区日常供电稳定，发电机使用频率较低，全年使用时间很短，产污量较少。</w:t>
            </w:r>
            <w:r>
              <w:rPr>
                <w:rFonts w:hint="default"/>
              </w:rPr>
              <w:t>燃油发电机尾气经处理后通过管道引至楼顶高空排放</w:t>
            </w:r>
            <w:r>
              <w:rPr>
                <w:rFonts w:hint="eastAsia"/>
                <w:lang w:eastAsia="zh-CN"/>
              </w:rPr>
              <w:t>，</w:t>
            </w:r>
            <w:r>
              <w:rPr>
                <w:rFonts w:hint="default"/>
                <w:lang w:val="en-US" w:eastAsia="zh-CN"/>
              </w:rPr>
              <w:t>对周围大气环境污染因子的浓度贡献值很小。</w:t>
            </w:r>
          </w:p>
          <w:p>
            <w:pPr>
              <w:pStyle w:val="22"/>
              <w:bidi w:val="0"/>
              <w:rPr>
                <w:rFonts w:hint="eastAsia"/>
                <w:lang w:val="en-US" w:eastAsia="zh-CN"/>
              </w:rPr>
            </w:pPr>
            <w:r>
              <w:rPr>
                <w:rFonts w:hint="eastAsia"/>
                <w:lang w:val="en-US" w:eastAsia="zh-CN"/>
              </w:rPr>
              <w:t>④汽车尾气</w:t>
            </w:r>
          </w:p>
          <w:p>
            <w:pPr>
              <w:pStyle w:val="22"/>
              <w:bidi w:val="0"/>
              <w:rPr>
                <w:rFonts w:hint="default"/>
                <w:lang w:val="en-US" w:eastAsia="zh-CN"/>
              </w:rPr>
            </w:pPr>
            <w:r>
              <w:rPr>
                <w:rFonts w:hint="default"/>
                <w:lang w:val="en-US" w:eastAsia="zh-CN"/>
              </w:rPr>
              <w:t>因项目空间较大且车位分布相对比较分散，产生的机动车</w:t>
            </w:r>
            <w:r>
              <w:rPr>
                <w:rFonts w:hint="eastAsia"/>
                <w:lang w:val="en-US" w:eastAsia="zh-CN"/>
              </w:rPr>
              <w:t>尾气</w:t>
            </w:r>
            <w:r>
              <w:rPr>
                <w:rFonts w:hint="default"/>
                <w:lang w:val="en-US" w:eastAsia="zh-CN"/>
              </w:rPr>
              <w:t>能及时扩散，</w:t>
            </w:r>
            <w:r>
              <w:rPr>
                <w:rFonts w:hint="eastAsia"/>
                <w:lang w:val="en-US" w:eastAsia="zh-CN"/>
              </w:rPr>
              <w:t>且四周搭配种植有绿化带。</w:t>
            </w:r>
            <w:r>
              <w:rPr>
                <w:rFonts w:hint="default"/>
                <w:lang w:val="en-US" w:eastAsia="zh-CN"/>
              </w:rPr>
              <w:t>因此</w:t>
            </w:r>
            <w:r>
              <w:rPr>
                <w:rFonts w:hint="eastAsia"/>
                <w:lang w:val="en-US" w:eastAsia="zh-CN"/>
              </w:rPr>
              <w:t>，</w:t>
            </w:r>
            <w:r>
              <w:rPr>
                <w:rFonts w:hint="default"/>
                <w:lang w:val="en-US" w:eastAsia="zh-CN"/>
              </w:rPr>
              <w:t>地面停车场产生的机动车尾气对周围大气环境影响较小。</w:t>
            </w:r>
          </w:p>
          <w:p>
            <w:pPr>
              <w:pStyle w:val="22"/>
              <w:bidi w:val="0"/>
              <w:rPr>
                <w:rFonts w:hint="eastAsia"/>
                <w:lang w:val="en-US" w:eastAsia="zh-CN"/>
              </w:rPr>
            </w:pPr>
            <w:r>
              <w:rPr>
                <w:rFonts w:hint="eastAsia"/>
                <w:lang w:val="en-US" w:eastAsia="zh-CN"/>
              </w:rPr>
              <w:t>⑤公厕恶臭</w:t>
            </w:r>
          </w:p>
          <w:p>
            <w:pPr>
              <w:pStyle w:val="22"/>
              <w:bidi w:val="0"/>
              <w:rPr>
                <w:rFonts w:hint="default"/>
                <w:lang w:val="en-US" w:eastAsia="zh-CN"/>
              </w:rPr>
            </w:pPr>
            <w:r>
              <w:rPr>
                <w:rFonts w:hint="default"/>
                <w:lang w:val="en-US" w:eastAsia="zh-CN"/>
              </w:rPr>
              <w:t>本项目配备专门清洁人员，公厕周围不设死角，便于清洁人员清理；项目公厕张贴爱护卫生等标识</w:t>
            </w:r>
            <w:r>
              <w:rPr>
                <w:rFonts w:hint="eastAsia"/>
                <w:lang w:val="en-US" w:eastAsia="zh-CN"/>
              </w:rPr>
              <w:t>，</w:t>
            </w:r>
            <w:r>
              <w:rPr>
                <w:rFonts w:hint="default"/>
                <w:lang w:val="en-US" w:eastAsia="zh-CN"/>
              </w:rPr>
              <w:t>则项目运营后产生的恶臭废气对周围大气环境影响不大。由于项目周边没有学校、医院、居民楼等环境敏感点，在采取以上措施的前提下，公厕恶臭对周边环境的影响可接受。</w:t>
            </w:r>
          </w:p>
          <w:p>
            <w:pPr>
              <w:pStyle w:val="22"/>
              <w:numPr>
                <w:ilvl w:val="0"/>
                <w:numId w:val="10"/>
              </w:numPr>
              <w:bidi w:val="0"/>
              <w:ind w:left="0" w:leftChars="0" w:firstLine="0" w:firstLineChars="0"/>
              <w:rPr>
                <w:rFonts w:hint="eastAsia"/>
                <w:b/>
                <w:bCs/>
                <w:lang w:val="en-US" w:eastAsia="zh-CN"/>
              </w:rPr>
            </w:pPr>
            <w:r>
              <w:rPr>
                <w:rFonts w:hint="eastAsia"/>
                <w:b/>
                <w:bCs/>
                <w:lang w:val="en-US" w:eastAsia="zh-CN"/>
              </w:rPr>
              <w:t>地表水环境影响分析</w:t>
            </w:r>
          </w:p>
          <w:p>
            <w:pPr>
              <w:pStyle w:val="22"/>
              <w:numPr>
                <w:ilvl w:val="0"/>
                <w:numId w:val="11"/>
              </w:numPr>
              <w:bidi w:val="0"/>
              <w:ind w:leftChars="0"/>
              <w:rPr>
                <w:rFonts w:hint="eastAsia"/>
                <w:b w:val="0"/>
                <w:bCs w:val="0"/>
                <w:color w:val="auto"/>
                <w:lang w:val="en-US" w:eastAsia="zh-CN"/>
              </w:rPr>
            </w:pPr>
            <w:r>
              <w:rPr>
                <w:rFonts w:hint="eastAsia"/>
                <w:b w:val="0"/>
                <w:bCs w:val="0"/>
                <w:color w:val="auto"/>
                <w:lang w:val="en-US" w:eastAsia="zh-CN"/>
              </w:rPr>
              <w:t>源强核算</w:t>
            </w:r>
          </w:p>
          <w:p>
            <w:pPr>
              <w:bidi w:val="0"/>
              <w:rPr>
                <w:rFonts w:hint="default"/>
                <w:color w:val="auto"/>
                <w:lang w:val="en-US" w:eastAsia="zh-CN"/>
              </w:rPr>
            </w:pPr>
            <w:r>
              <w:rPr>
                <w:rFonts w:hint="eastAsia"/>
                <w:color w:val="auto"/>
                <w:lang w:val="en-US" w:eastAsia="zh-CN"/>
              </w:rPr>
              <w:t>本项目营运期产生的废水主要为员工生活污水、游客淋浴废水、公厕废水、主题餐厅废水、员工食堂废水和水池娱乐废水。员工食堂废水、主题餐厅废水经隔油沉淀后，与员工生活污水</w:t>
            </w:r>
            <w:r>
              <w:rPr>
                <w:rFonts w:hint="default"/>
                <w:color w:val="auto"/>
              </w:rPr>
              <w:t>、游客淋浴废水、公厕废水</w:t>
            </w:r>
            <w:r>
              <w:rPr>
                <w:rFonts w:hint="eastAsia"/>
                <w:color w:val="auto"/>
                <w:lang w:val="en-US" w:eastAsia="zh-CN"/>
              </w:rPr>
              <w:t>一起进入化粪池，经</w:t>
            </w:r>
            <w:r>
              <w:rPr>
                <w:rFonts w:hint="default"/>
                <w:color w:val="auto"/>
              </w:rPr>
              <w:t>化粪池处理达标后</w:t>
            </w:r>
            <w:r>
              <w:rPr>
                <w:rFonts w:hint="eastAsia"/>
                <w:color w:val="auto"/>
                <w:lang w:eastAsia="zh-CN"/>
              </w:rPr>
              <w:t>，</w:t>
            </w:r>
            <w:r>
              <w:rPr>
                <w:rFonts w:hint="eastAsia"/>
                <w:color w:val="auto"/>
                <w:lang w:val="en-US" w:eastAsia="zh-CN"/>
              </w:rPr>
              <w:t>通过</w:t>
            </w:r>
            <w:r>
              <w:rPr>
                <w:rFonts w:hint="default"/>
                <w:color w:val="auto"/>
              </w:rPr>
              <w:t>市政污水管网</w:t>
            </w:r>
            <w:r>
              <w:rPr>
                <w:rFonts w:hint="eastAsia"/>
                <w:color w:val="auto"/>
                <w:lang w:val="en-US" w:eastAsia="zh-CN"/>
              </w:rPr>
              <w:t>排入</w:t>
            </w:r>
            <w:r>
              <w:rPr>
                <w:rFonts w:hint="eastAsia"/>
                <w:color w:val="auto"/>
                <w:lang w:eastAsia="zh-CN"/>
              </w:rPr>
              <w:t>松木</w:t>
            </w:r>
            <w:r>
              <w:rPr>
                <w:rFonts w:hint="eastAsia"/>
                <w:color w:val="auto"/>
                <w:lang w:val="en-US" w:eastAsia="zh-CN"/>
              </w:rPr>
              <w:t>生活</w:t>
            </w:r>
            <w:r>
              <w:rPr>
                <w:rFonts w:hint="eastAsia"/>
                <w:color w:val="auto"/>
                <w:lang w:eastAsia="zh-CN"/>
              </w:rPr>
              <w:t>污水处理厂，</w:t>
            </w:r>
            <w:r>
              <w:rPr>
                <w:rFonts w:hint="eastAsia"/>
                <w:color w:val="auto"/>
                <w:lang w:val="en-US" w:eastAsia="zh-CN"/>
              </w:rPr>
              <w:t>最终排入湘江</w:t>
            </w:r>
            <w:r>
              <w:rPr>
                <w:rFonts w:hint="default"/>
                <w:color w:val="auto"/>
              </w:rPr>
              <w:t>。</w:t>
            </w:r>
            <w:r>
              <w:rPr>
                <w:rFonts w:hint="eastAsia"/>
                <w:color w:val="auto"/>
                <w:lang w:val="en-US" w:eastAsia="zh-CN"/>
              </w:rPr>
              <w:t>水池娱乐用水经业内最先进的珍珠岩过滤系统过滤后循环使用，为保障水质稳定，闭园时水池娱乐用水全部排空，水池娱乐排空的废水</w:t>
            </w:r>
            <w:r>
              <w:rPr>
                <w:rFonts w:hint="eastAsia"/>
                <w:color w:val="auto"/>
                <w:u w:val="none"/>
                <w:lang w:val="en-US" w:eastAsia="zh-CN"/>
              </w:rPr>
              <w:t>与其他废水一起进入化粪池处理，</w:t>
            </w:r>
            <w:r>
              <w:rPr>
                <w:rFonts w:hint="eastAsia"/>
                <w:color w:val="auto"/>
                <w:lang w:val="en-US" w:eastAsia="zh-CN"/>
              </w:rPr>
              <w:t>经</w:t>
            </w:r>
            <w:r>
              <w:rPr>
                <w:rFonts w:hint="default"/>
                <w:color w:val="auto"/>
              </w:rPr>
              <w:t>化粪池处理达标后</w:t>
            </w:r>
            <w:r>
              <w:rPr>
                <w:rFonts w:hint="eastAsia"/>
                <w:color w:val="auto"/>
                <w:lang w:eastAsia="zh-CN"/>
              </w:rPr>
              <w:t>，</w:t>
            </w:r>
            <w:r>
              <w:rPr>
                <w:rFonts w:hint="eastAsia"/>
                <w:color w:val="auto"/>
                <w:lang w:val="en-US" w:eastAsia="zh-CN"/>
              </w:rPr>
              <w:t>通过</w:t>
            </w:r>
            <w:r>
              <w:rPr>
                <w:rFonts w:hint="default"/>
                <w:color w:val="auto"/>
              </w:rPr>
              <w:t>市政污水管网</w:t>
            </w:r>
            <w:r>
              <w:rPr>
                <w:rFonts w:hint="eastAsia"/>
                <w:color w:val="auto"/>
                <w:lang w:val="en-US" w:eastAsia="zh-CN"/>
              </w:rPr>
              <w:t>排入</w:t>
            </w:r>
            <w:r>
              <w:rPr>
                <w:rFonts w:hint="eastAsia"/>
                <w:color w:val="auto"/>
                <w:lang w:eastAsia="zh-CN"/>
              </w:rPr>
              <w:t>松木</w:t>
            </w:r>
            <w:r>
              <w:rPr>
                <w:rFonts w:hint="eastAsia"/>
                <w:color w:val="auto"/>
                <w:lang w:val="en-US" w:eastAsia="zh-CN"/>
              </w:rPr>
              <w:t>生活</w:t>
            </w:r>
            <w:r>
              <w:rPr>
                <w:rFonts w:hint="eastAsia"/>
                <w:color w:val="auto"/>
                <w:lang w:eastAsia="zh-CN"/>
              </w:rPr>
              <w:t>污水处理厂，</w:t>
            </w:r>
            <w:r>
              <w:rPr>
                <w:rFonts w:hint="eastAsia"/>
                <w:color w:val="auto"/>
                <w:lang w:val="en-US" w:eastAsia="zh-CN"/>
              </w:rPr>
              <w:t>最终排入湘江</w:t>
            </w:r>
            <w:r>
              <w:rPr>
                <w:rFonts w:hint="default"/>
                <w:color w:val="auto"/>
              </w:rPr>
              <w:t>。</w:t>
            </w:r>
          </w:p>
          <w:p>
            <w:pPr>
              <w:pStyle w:val="22"/>
              <w:bidi w:val="0"/>
              <w:rPr>
                <w:rFonts w:hint="eastAsia"/>
                <w:color w:val="auto"/>
                <w:lang w:val="en-US" w:eastAsia="zh-CN"/>
              </w:rPr>
            </w:pPr>
            <w:r>
              <w:rPr>
                <w:rFonts w:hint="eastAsia"/>
                <w:color w:val="auto"/>
                <w:lang w:val="en-US" w:eastAsia="zh-CN"/>
              </w:rPr>
              <w:t>本项目综合废水产生量共计94624.08m</w:t>
            </w:r>
            <w:r>
              <w:rPr>
                <w:rFonts w:hint="eastAsia"/>
                <w:color w:val="auto"/>
                <w:vertAlign w:val="superscript"/>
                <w:lang w:val="en-US" w:eastAsia="zh-CN"/>
              </w:rPr>
              <w:t>3</w:t>
            </w:r>
            <w:r>
              <w:rPr>
                <w:rFonts w:hint="eastAsia"/>
                <w:color w:val="auto"/>
                <w:lang w:val="en-US" w:eastAsia="zh-CN"/>
              </w:rPr>
              <w:t>/a，即1182.801m</w:t>
            </w:r>
            <w:r>
              <w:rPr>
                <w:rFonts w:hint="eastAsia"/>
                <w:color w:val="auto"/>
                <w:vertAlign w:val="superscript"/>
                <w:lang w:val="en-US" w:eastAsia="zh-CN"/>
              </w:rPr>
              <w:t>3</w:t>
            </w:r>
            <w:r>
              <w:rPr>
                <w:rFonts w:hint="eastAsia"/>
                <w:color w:val="auto"/>
                <w:lang w:val="en-US" w:eastAsia="zh-CN"/>
              </w:rPr>
              <w:t>/d。类比其他水上乐园报告，废水污染物产生浓度分别为COD：300mg/L、BOD</w:t>
            </w:r>
            <w:r>
              <w:rPr>
                <w:rFonts w:hint="eastAsia"/>
                <w:color w:val="auto"/>
                <w:vertAlign w:val="subscript"/>
                <w:lang w:val="en-US" w:eastAsia="zh-CN"/>
              </w:rPr>
              <w:t>5</w:t>
            </w:r>
            <w:r>
              <w:rPr>
                <w:rFonts w:hint="eastAsia"/>
                <w:color w:val="auto"/>
                <w:lang w:val="en-US" w:eastAsia="zh-CN"/>
              </w:rPr>
              <w:t>：</w:t>
            </w:r>
            <w:r>
              <w:rPr>
                <w:rFonts w:hint="eastAsia"/>
                <w:color w:val="auto"/>
                <w:vertAlign w:val="baseline"/>
                <w:lang w:val="en-US" w:eastAsia="zh-CN"/>
              </w:rPr>
              <w:t>200</w:t>
            </w:r>
            <w:r>
              <w:rPr>
                <w:rFonts w:hint="eastAsia"/>
                <w:color w:val="auto"/>
                <w:lang w:val="en-US" w:eastAsia="zh-CN"/>
              </w:rPr>
              <w:t>mg/L、SS：220mg/L、NH</w:t>
            </w:r>
            <w:r>
              <w:rPr>
                <w:rFonts w:hint="eastAsia"/>
                <w:color w:val="auto"/>
                <w:vertAlign w:val="subscript"/>
                <w:lang w:val="en-US" w:eastAsia="zh-CN"/>
              </w:rPr>
              <w:t>3</w:t>
            </w:r>
            <w:r>
              <w:rPr>
                <w:rFonts w:hint="eastAsia"/>
                <w:color w:val="auto"/>
                <w:lang w:val="en-US" w:eastAsia="zh-CN"/>
              </w:rPr>
              <w:t>-N：25mg/L、动植物油：50mg/L。</w:t>
            </w:r>
          </w:p>
          <w:p>
            <w:pPr>
              <w:pStyle w:val="22"/>
              <w:bidi w:val="0"/>
              <w:rPr>
                <w:rFonts w:hint="eastAsia"/>
                <w:color w:val="auto"/>
                <w:lang w:val="en-US" w:eastAsia="zh-CN"/>
              </w:rPr>
            </w:pPr>
            <w:r>
              <w:rPr>
                <w:rFonts w:hint="eastAsia"/>
                <w:color w:val="auto"/>
                <w:lang w:val="en-US" w:eastAsia="zh-CN"/>
              </w:rPr>
              <w:t>本项目综合废水污染物产排污情况如下：</w:t>
            </w:r>
          </w:p>
          <w:p>
            <w:pPr>
              <w:pStyle w:val="18"/>
              <w:bidi w:val="0"/>
              <w:rPr>
                <w:rFonts w:hint="eastAsia"/>
                <w:color w:val="auto"/>
                <w:lang w:val="en-US" w:eastAsia="zh-CN"/>
              </w:rPr>
            </w:pPr>
            <w:r>
              <w:rPr>
                <w:rFonts w:hint="eastAsia"/>
                <w:color w:val="auto"/>
                <w:lang w:val="en-US" w:eastAsia="zh-CN"/>
              </w:rPr>
              <w:t>表29 本项目废水产排情况一览表      单位：mg/L</w:t>
            </w:r>
          </w:p>
          <w:tbl>
            <w:tblPr>
              <w:tblStyle w:val="16"/>
              <w:tblW w:w="835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1"/>
              <w:gridCol w:w="1125"/>
              <w:gridCol w:w="1016"/>
              <w:gridCol w:w="1044"/>
              <w:gridCol w:w="1044"/>
              <w:gridCol w:w="1044"/>
              <w:gridCol w:w="1044"/>
              <w:gridCol w:w="10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gridSpan w:val="2"/>
                  <w:vAlign w:val="center"/>
                </w:tcPr>
                <w:p>
                  <w:pPr>
                    <w:pStyle w:val="19"/>
                    <w:bidi w:val="0"/>
                    <w:jc w:val="center"/>
                    <w:rPr>
                      <w:rFonts w:hint="eastAsia"/>
                      <w:color w:val="auto"/>
                      <w:lang w:val="en-US" w:eastAsia="zh-CN"/>
                    </w:rPr>
                  </w:pPr>
                  <w:r>
                    <w:rPr>
                      <w:rFonts w:hint="eastAsia"/>
                      <w:color w:val="auto"/>
                      <w:lang w:val="en-US" w:eastAsia="zh-CN"/>
                    </w:rPr>
                    <w:t>本项目废水污染物</w:t>
                  </w:r>
                </w:p>
              </w:tc>
              <w:tc>
                <w:tcPr>
                  <w:tcW w:w="1016" w:type="dxa"/>
                  <w:vAlign w:val="center"/>
                </w:tcPr>
                <w:p>
                  <w:pPr>
                    <w:pStyle w:val="19"/>
                    <w:bidi w:val="0"/>
                    <w:jc w:val="center"/>
                    <w:rPr>
                      <w:rFonts w:hint="default"/>
                      <w:color w:val="auto"/>
                      <w:lang w:val="en-US" w:eastAsia="zh-CN"/>
                    </w:rPr>
                  </w:pPr>
                  <w:r>
                    <w:rPr>
                      <w:rFonts w:hint="eastAsia"/>
                      <w:color w:val="auto"/>
                      <w:lang w:val="en-US" w:eastAsia="zh-CN"/>
                    </w:rPr>
                    <w:t>废水排放量t/a</w:t>
                  </w:r>
                </w:p>
              </w:tc>
              <w:tc>
                <w:tcPr>
                  <w:tcW w:w="1044" w:type="dxa"/>
                  <w:vAlign w:val="center"/>
                </w:tcPr>
                <w:p>
                  <w:pPr>
                    <w:pStyle w:val="19"/>
                    <w:bidi w:val="0"/>
                    <w:jc w:val="center"/>
                    <w:rPr>
                      <w:rFonts w:hint="default"/>
                      <w:color w:val="auto"/>
                      <w:lang w:val="en-US" w:eastAsia="zh-CN"/>
                    </w:rPr>
                  </w:pPr>
                  <w:r>
                    <w:rPr>
                      <w:rFonts w:hint="eastAsia"/>
                      <w:color w:val="auto"/>
                      <w:lang w:val="en-US" w:eastAsia="zh-CN"/>
                    </w:rPr>
                    <w:t>COD</w:t>
                  </w:r>
                </w:p>
              </w:tc>
              <w:tc>
                <w:tcPr>
                  <w:tcW w:w="1044" w:type="dxa"/>
                  <w:vAlign w:val="center"/>
                </w:tcPr>
                <w:p>
                  <w:pPr>
                    <w:pStyle w:val="19"/>
                    <w:bidi w:val="0"/>
                    <w:jc w:val="center"/>
                    <w:rPr>
                      <w:rFonts w:hint="default"/>
                      <w:color w:val="auto"/>
                      <w:lang w:val="en-US" w:eastAsia="zh-CN"/>
                    </w:rPr>
                  </w:pPr>
                  <w:r>
                    <w:rPr>
                      <w:rFonts w:hint="eastAsia"/>
                      <w:color w:val="auto"/>
                      <w:lang w:val="en-US" w:eastAsia="zh-CN"/>
                    </w:rPr>
                    <w:t>BOD</w:t>
                  </w:r>
                  <w:r>
                    <w:rPr>
                      <w:rFonts w:hint="eastAsia"/>
                      <w:color w:val="auto"/>
                      <w:vertAlign w:val="subscript"/>
                      <w:lang w:val="en-US" w:eastAsia="zh-CN"/>
                    </w:rPr>
                    <w:t>5</w:t>
                  </w:r>
                </w:p>
              </w:tc>
              <w:tc>
                <w:tcPr>
                  <w:tcW w:w="1044" w:type="dxa"/>
                  <w:vAlign w:val="center"/>
                </w:tcPr>
                <w:p>
                  <w:pPr>
                    <w:pStyle w:val="19"/>
                    <w:bidi w:val="0"/>
                    <w:jc w:val="center"/>
                    <w:rPr>
                      <w:rFonts w:hint="default"/>
                      <w:color w:val="auto"/>
                      <w:lang w:val="en-US" w:eastAsia="zh-CN"/>
                    </w:rPr>
                  </w:pPr>
                  <w:r>
                    <w:rPr>
                      <w:rFonts w:hint="eastAsia"/>
                      <w:color w:val="auto"/>
                      <w:lang w:val="en-US" w:eastAsia="zh-CN"/>
                    </w:rPr>
                    <w:t>SS</w:t>
                  </w:r>
                </w:p>
              </w:tc>
              <w:tc>
                <w:tcPr>
                  <w:tcW w:w="1044" w:type="dxa"/>
                  <w:vAlign w:val="center"/>
                </w:tcPr>
                <w:p>
                  <w:pPr>
                    <w:pStyle w:val="19"/>
                    <w:bidi w:val="0"/>
                    <w:jc w:val="center"/>
                    <w:rPr>
                      <w:rFonts w:hint="default"/>
                      <w:color w:val="auto"/>
                      <w:lang w:val="en-US" w:eastAsia="zh-CN"/>
                    </w:rPr>
                  </w:pPr>
                  <w:r>
                    <w:rPr>
                      <w:rFonts w:hint="eastAsia"/>
                      <w:color w:val="auto"/>
                      <w:lang w:val="en-US" w:eastAsia="zh-CN"/>
                    </w:rPr>
                    <w:t>NH</w:t>
                  </w:r>
                  <w:r>
                    <w:rPr>
                      <w:rFonts w:hint="eastAsia"/>
                      <w:color w:val="auto"/>
                      <w:vertAlign w:val="subscript"/>
                      <w:lang w:val="en-US" w:eastAsia="zh-CN"/>
                    </w:rPr>
                    <w:t>3</w:t>
                  </w:r>
                  <w:r>
                    <w:rPr>
                      <w:rFonts w:hint="eastAsia"/>
                      <w:color w:val="auto"/>
                      <w:lang w:val="en-US" w:eastAsia="zh-CN"/>
                    </w:rPr>
                    <w:t>-N</w:t>
                  </w:r>
                </w:p>
              </w:tc>
              <w:tc>
                <w:tcPr>
                  <w:tcW w:w="1044" w:type="dxa"/>
                  <w:vAlign w:val="center"/>
                </w:tcPr>
                <w:p>
                  <w:pPr>
                    <w:pStyle w:val="19"/>
                    <w:bidi w:val="0"/>
                    <w:jc w:val="center"/>
                    <w:rPr>
                      <w:rFonts w:hint="default"/>
                      <w:color w:val="auto"/>
                      <w:lang w:val="en-US" w:eastAsia="zh-CN"/>
                    </w:rPr>
                  </w:pPr>
                  <w:r>
                    <w:rPr>
                      <w:rFonts w:hint="eastAsia"/>
                      <w:color w:val="auto"/>
                      <w:lang w:val="en-US" w:eastAsia="zh-CN"/>
                    </w:rPr>
                    <w:t>动植物油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991" w:type="dxa"/>
                  <w:vMerge w:val="restart"/>
                  <w:vAlign w:val="center"/>
                </w:tcPr>
                <w:p>
                  <w:pPr>
                    <w:pStyle w:val="19"/>
                    <w:bidi w:val="0"/>
                    <w:jc w:val="center"/>
                    <w:rPr>
                      <w:rFonts w:hint="default"/>
                      <w:color w:val="auto"/>
                      <w:lang w:val="en-US" w:eastAsia="zh-CN"/>
                    </w:rPr>
                  </w:pPr>
                  <w:r>
                    <w:rPr>
                      <w:rFonts w:hint="eastAsia"/>
                      <w:color w:val="auto"/>
                      <w:lang w:val="en-US" w:eastAsia="zh-CN"/>
                    </w:rPr>
                    <w:t>员工食堂废水+主题餐厅废水</w:t>
                  </w:r>
                </w:p>
              </w:tc>
              <w:tc>
                <w:tcPr>
                  <w:tcW w:w="1125"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产生浓度</w:t>
                  </w:r>
                  <w:r>
                    <w:rPr>
                      <w:color w:val="auto"/>
                      <w:lang w:val="en-US" w:eastAsia="zh-CN"/>
                    </w:rPr>
                    <w:t>mg/L</w:t>
                  </w:r>
                </w:p>
              </w:tc>
              <w:tc>
                <w:tcPr>
                  <w:tcW w:w="1016" w:type="dxa"/>
                  <w:vMerge w:val="restart"/>
                  <w:vAlign w:val="center"/>
                </w:tcPr>
                <w:p>
                  <w:pPr>
                    <w:pStyle w:val="23"/>
                    <w:bidi w:val="0"/>
                    <w:ind w:firstLine="0" w:firstLineChars="0"/>
                    <w:jc w:val="center"/>
                    <w:rPr>
                      <w:rFonts w:hint="default"/>
                      <w:color w:val="auto"/>
                      <w:lang w:val="en-US" w:eastAsia="zh-CN"/>
                    </w:rPr>
                  </w:pPr>
                  <w:r>
                    <w:rPr>
                      <w:rFonts w:hint="eastAsia"/>
                      <w:color w:val="auto"/>
                      <w:lang w:val="en-US" w:eastAsia="zh-CN"/>
                    </w:rPr>
                    <w:t>3024</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400</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180</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300</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20</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991" w:type="dxa"/>
                  <w:vMerge w:val="continue"/>
                  <w:vAlign w:val="center"/>
                </w:tcPr>
                <w:p>
                  <w:pPr>
                    <w:pStyle w:val="19"/>
                    <w:bidi w:val="0"/>
                    <w:jc w:val="center"/>
                    <w:rPr>
                      <w:rFonts w:hint="eastAsia"/>
                      <w:color w:val="auto"/>
                      <w:lang w:val="en-US" w:eastAsia="zh-CN"/>
                    </w:rPr>
                  </w:pPr>
                </w:p>
              </w:tc>
              <w:tc>
                <w:tcPr>
                  <w:tcW w:w="1125" w:type="dxa"/>
                  <w:vAlign w:val="center"/>
                </w:tcPr>
                <w:p>
                  <w:pPr>
                    <w:pStyle w:val="23"/>
                    <w:bidi w:val="0"/>
                    <w:ind w:firstLine="0" w:firstLineChars="0"/>
                    <w:jc w:val="center"/>
                    <w:rPr>
                      <w:rFonts w:hint="eastAsia"/>
                      <w:color w:val="auto"/>
                      <w:lang w:val="en-US" w:eastAsia="zh-CN"/>
                    </w:rPr>
                  </w:pPr>
                  <w:r>
                    <w:rPr>
                      <w:rFonts w:hint="eastAsia"/>
                      <w:color w:val="auto"/>
                      <w:lang w:val="en-US" w:eastAsia="zh-CN"/>
                    </w:rPr>
                    <w:t>产生量</w:t>
                  </w:r>
                  <w:r>
                    <w:rPr>
                      <w:color w:val="auto"/>
                      <w:lang w:val="en-US" w:eastAsia="zh-CN"/>
                    </w:rPr>
                    <w:t>t/a</w:t>
                  </w:r>
                </w:p>
              </w:tc>
              <w:tc>
                <w:tcPr>
                  <w:tcW w:w="1016" w:type="dxa"/>
                  <w:vMerge w:val="continue"/>
                  <w:vAlign w:val="center"/>
                </w:tcPr>
                <w:p>
                  <w:pPr>
                    <w:pStyle w:val="23"/>
                    <w:bidi w:val="0"/>
                    <w:ind w:firstLine="0" w:firstLineChars="0"/>
                    <w:jc w:val="center"/>
                    <w:rPr>
                      <w:rFonts w:hint="eastAsia"/>
                      <w:color w:val="auto"/>
                      <w:lang w:val="en-US" w:eastAsia="zh-CN"/>
                    </w:rPr>
                  </w:pP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1.2096</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0.5443</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0.9072</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0.0605</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0.3024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vMerge w:val="restart"/>
                  <w:vAlign w:val="center"/>
                </w:tcPr>
                <w:p>
                  <w:pPr>
                    <w:pStyle w:val="19"/>
                    <w:bidi w:val="0"/>
                    <w:jc w:val="center"/>
                    <w:rPr>
                      <w:rFonts w:hint="default"/>
                      <w:color w:val="auto"/>
                      <w:lang w:val="en-US" w:eastAsia="zh-CN"/>
                    </w:rPr>
                  </w:pPr>
                  <w:r>
                    <w:rPr>
                      <w:rFonts w:hint="eastAsia"/>
                      <w:color w:val="auto"/>
                      <w:lang w:val="en-US" w:eastAsia="zh-CN"/>
                    </w:rPr>
                    <w:t>其他混合废水</w:t>
                  </w:r>
                </w:p>
              </w:tc>
              <w:tc>
                <w:tcPr>
                  <w:tcW w:w="1125" w:type="dxa"/>
                  <w:vAlign w:val="center"/>
                </w:tcPr>
                <w:p>
                  <w:pPr>
                    <w:pStyle w:val="23"/>
                    <w:bidi w:val="0"/>
                    <w:ind w:firstLine="0" w:firstLineChars="0"/>
                    <w:jc w:val="center"/>
                    <w:rPr>
                      <w:rFonts w:hint="eastAsia"/>
                      <w:color w:val="auto"/>
                      <w:lang w:val="en-US" w:eastAsia="zh-CN"/>
                    </w:rPr>
                  </w:pPr>
                  <w:r>
                    <w:rPr>
                      <w:rFonts w:hint="eastAsia"/>
                      <w:color w:val="auto"/>
                      <w:lang w:val="en-US" w:eastAsia="zh-CN"/>
                    </w:rPr>
                    <w:t>产生浓度</w:t>
                  </w:r>
                  <w:r>
                    <w:rPr>
                      <w:color w:val="auto"/>
                      <w:lang w:val="en-US" w:eastAsia="zh-CN"/>
                    </w:rPr>
                    <w:t>mg/L</w:t>
                  </w:r>
                </w:p>
              </w:tc>
              <w:tc>
                <w:tcPr>
                  <w:tcW w:w="1016" w:type="dxa"/>
                  <w:vMerge w:val="restart"/>
                  <w:vAlign w:val="center"/>
                </w:tcPr>
                <w:p>
                  <w:pPr>
                    <w:pStyle w:val="23"/>
                    <w:bidi w:val="0"/>
                    <w:ind w:firstLine="0" w:firstLineChars="0"/>
                    <w:jc w:val="center"/>
                    <w:rPr>
                      <w:rFonts w:hint="default"/>
                      <w:color w:val="auto"/>
                      <w:lang w:val="en-US" w:eastAsia="zh-CN"/>
                    </w:rPr>
                  </w:pPr>
                  <w:r>
                    <w:rPr>
                      <w:rFonts w:hint="eastAsia"/>
                      <w:color w:val="auto"/>
                      <w:lang w:val="en-US" w:eastAsia="zh-CN"/>
                    </w:rPr>
                    <w:t>91600.08</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300</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200</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220</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25</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991" w:type="dxa"/>
                  <w:vMerge w:val="continue"/>
                  <w:vAlign w:val="center"/>
                </w:tcPr>
                <w:p>
                  <w:pPr>
                    <w:pStyle w:val="19"/>
                    <w:bidi w:val="0"/>
                    <w:jc w:val="center"/>
                    <w:rPr>
                      <w:rFonts w:hint="eastAsia"/>
                      <w:color w:val="auto"/>
                      <w:lang w:val="en-US" w:eastAsia="zh-CN"/>
                    </w:rPr>
                  </w:pPr>
                </w:p>
              </w:tc>
              <w:tc>
                <w:tcPr>
                  <w:tcW w:w="1125" w:type="dxa"/>
                  <w:vAlign w:val="center"/>
                </w:tcPr>
                <w:p>
                  <w:pPr>
                    <w:pStyle w:val="23"/>
                    <w:bidi w:val="0"/>
                    <w:ind w:firstLine="0" w:firstLineChars="0"/>
                    <w:jc w:val="center"/>
                    <w:rPr>
                      <w:rFonts w:hint="eastAsia"/>
                      <w:color w:val="auto"/>
                      <w:lang w:val="en-US" w:eastAsia="zh-CN"/>
                    </w:rPr>
                  </w:pPr>
                  <w:r>
                    <w:rPr>
                      <w:rFonts w:hint="eastAsia"/>
                      <w:color w:val="auto"/>
                      <w:lang w:val="en-US" w:eastAsia="zh-CN"/>
                    </w:rPr>
                    <w:t>产生量</w:t>
                  </w:r>
                  <w:r>
                    <w:rPr>
                      <w:color w:val="auto"/>
                      <w:lang w:val="en-US" w:eastAsia="zh-CN"/>
                    </w:rPr>
                    <w:t>t/a</w:t>
                  </w:r>
                </w:p>
              </w:tc>
              <w:tc>
                <w:tcPr>
                  <w:tcW w:w="1016" w:type="dxa"/>
                  <w:vMerge w:val="continue"/>
                  <w:vAlign w:val="center"/>
                </w:tcPr>
                <w:p>
                  <w:pPr>
                    <w:pStyle w:val="23"/>
                    <w:bidi w:val="0"/>
                    <w:ind w:firstLine="0" w:firstLineChars="0"/>
                    <w:jc w:val="center"/>
                    <w:rPr>
                      <w:rFonts w:hint="eastAsia"/>
                      <w:color w:val="auto"/>
                      <w:lang w:val="en-US" w:eastAsia="zh-CN"/>
                    </w:rPr>
                  </w:pP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27.48</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18.32</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20.152</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2.29</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4.58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vMerge w:val="restart"/>
                  <w:vAlign w:val="center"/>
                </w:tcPr>
                <w:p>
                  <w:pPr>
                    <w:pStyle w:val="19"/>
                    <w:bidi w:val="0"/>
                    <w:jc w:val="center"/>
                    <w:rPr>
                      <w:rFonts w:hint="default"/>
                      <w:color w:val="auto"/>
                      <w:lang w:val="en-US" w:eastAsia="zh-CN"/>
                    </w:rPr>
                  </w:pPr>
                  <w:r>
                    <w:rPr>
                      <w:rFonts w:hint="eastAsia"/>
                      <w:color w:val="auto"/>
                      <w:lang w:val="en-US" w:eastAsia="zh-CN"/>
                    </w:rPr>
                    <w:t>综合废水</w:t>
                  </w:r>
                </w:p>
              </w:tc>
              <w:tc>
                <w:tcPr>
                  <w:tcW w:w="1125" w:type="dxa"/>
                  <w:vAlign w:val="center"/>
                </w:tcPr>
                <w:p>
                  <w:pPr>
                    <w:pStyle w:val="23"/>
                    <w:bidi w:val="0"/>
                    <w:ind w:firstLine="0" w:firstLineChars="0"/>
                    <w:jc w:val="center"/>
                    <w:rPr>
                      <w:rFonts w:hint="eastAsia"/>
                      <w:color w:val="auto"/>
                      <w:lang w:val="en-US" w:eastAsia="zh-CN"/>
                    </w:rPr>
                  </w:pPr>
                  <w:r>
                    <w:rPr>
                      <w:rFonts w:hint="eastAsia"/>
                      <w:color w:val="auto"/>
                      <w:lang w:val="en-US" w:eastAsia="zh-CN"/>
                    </w:rPr>
                    <w:t>产生浓度</w:t>
                  </w:r>
                  <w:r>
                    <w:rPr>
                      <w:color w:val="auto"/>
                      <w:lang w:val="en-US" w:eastAsia="zh-CN"/>
                    </w:rPr>
                    <w:t>mg/L</w:t>
                  </w:r>
                </w:p>
              </w:tc>
              <w:tc>
                <w:tcPr>
                  <w:tcW w:w="1016" w:type="dxa"/>
                  <w:vMerge w:val="restart"/>
                  <w:vAlign w:val="center"/>
                </w:tcPr>
                <w:p>
                  <w:pPr>
                    <w:pStyle w:val="23"/>
                    <w:bidi w:val="0"/>
                    <w:ind w:firstLine="0" w:firstLineChars="0"/>
                    <w:jc w:val="center"/>
                    <w:rPr>
                      <w:rFonts w:hint="default"/>
                      <w:color w:val="auto"/>
                      <w:lang w:val="en-US" w:eastAsia="zh-CN"/>
                    </w:rPr>
                  </w:pPr>
                  <w:r>
                    <w:rPr>
                      <w:rFonts w:hint="eastAsia"/>
                      <w:color w:val="auto"/>
                      <w:lang w:val="en-US" w:eastAsia="zh-CN"/>
                    </w:rPr>
                    <w:t>94624.08</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303.196</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199.361</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222.557</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24.84</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51.598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trPr>
              <w:tc>
                <w:tcPr>
                  <w:tcW w:w="991" w:type="dxa"/>
                  <w:vMerge w:val="continue"/>
                  <w:vAlign w:val="center"/>
                </w:tcPr>
                <w:p>
                  <w:pPr>
                    <w:pStyle w:val="19"/>
                    <w:bidi w:val="0"/>
                    <w:jc w:val="center"/>
                    <w:rPr>
                      <w:rFonts w:hint="eastAsia"/>
                      <w:color w:val="auto"/>
                      <w:lang w:val="en-US" w:eastAsia="zh-CN"/>
                    </w:rPr>
                  </w:pPr>
                </w:p>
              </w:tc>
              <w:tc>
                <w:tcPr>
                  <w:tcW w:w="1125" w:type="dxa"/>
                  <w:vAlign w:val="center"/>
                </w:tcPr>
                <w:p>
                  <w:pPr>
                    <w:pStyle w:val="23"/>
                    <w:bidi w:val="0"/>
                    <w:ind w:firstLine="0" w:firstLineChars="0"/>
                    <w:jc w:val="center"/>
                    <w:rPr>
                      <w:rFonts w:hint="eastAsia"/>
                      <w:color w:val="auto"/>
                      <w:lang w:val="en-US" w:eastAsia="zh-CN"/>
                    </w:rPr>
                  </w:pPr>
                  <w:r>
                    <w:rPr>
                      <w:rFonts w:hint="eastAsia"/>
                      <w:color w:val="auto"/>
                      <w:lang w:val="en-US" w:eastAsia="zh-CN"/>
                    </w:rPr>
                    <w:t>产生量</w:t>
                  </w:r>
                  <w:r>
                    <w:rPr>
                      <w:color w:val="auto"/>
                      <w:lang w:val="en-US" w:eastAsia="zh-CN"/>
                    </w:rPr>
                    <w:t>t/a</w:t>
                  </w:r>
                </w:p>
              </w:tc>
              <w:tc>
                <w:tcPr>
                  <w:tcW w:w="1016" w:type="dxa"/>
                  <w:vMerge w:val="continue"/>
                  <w:vAlign w:val="center"/>
                </w:tcPr>
                <w:p>
                  <w:pPr>
                    <w:pStyle w:val="23"/>
                    <w:bidi w:val="0"/>
                    <w:ind w:firstLine="0" w:firstLineChars="0"/>
                    <w:jc w:val="center"/>
                    <w:rPr>
                      <w:rFonts w:hint="eastAsia"/>
                      <w:color w:val="auto"/>
                      <w:lang w:val="en-US" w:eastAsia="zh-CN"/>
                    </w:rPr>
                  </w:pP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28.6896</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18.8643</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21.0592</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2.3505</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4.8824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vMerge w:val="continue"/>
                  <w:vAlign w:val="center"/>
                </w:tcPr>
                <w:p>
                  <w:pPr>
                    <w:pStyle w:val="19"/>
                    <w:bidi w:val="0"/>
                    <w:jc w:val="center"/>
                    <w:rPr>
                      <w:rFonts w:hint="eastAsia"/>
                      <w:color w:val="auto"/>
                      <w:lang w:val="en-US" w:eastAsia="zh-CN"/>
                    </w:rPr>
                  </w:pPr>
                </w:p>
              </w:tc>
              <w:tc>
                <w:tcPr>
                  <w:tcW w:w="1125" w:type="dxa"/>
                  <w:vAlign w:val="center"/>
                </w:tcPr>
                <w:p>
                  <w:pPr>
                    <w:pStyle w:val="23"/>
                    <w:bidi w:val="0"/>
                    <w:ind w:firstLine="0" w:firstLineChars="0"/>
                    <w:jc w:val="center"/>
                    <w:rPr>
                      <w:rFonts w:hint="eastAsia"/>
                      <w:color w:val="auto"/>
                      <w:lang w:val="en-US" w:eastAsia="zh-CN"/>
                    </w:rPr>
                  </w:pPr>
                  <w:r>
                    <w:rPr>
                      <w:rFonts w:hint="eastAsia"/>
                      <w:color w:val="auto"/>
                      <w:lang w:val="en-US" w:eastAsia="zh-CN"/>
                    </w:rPr>
                    <w:t>化粪池处理效率</w:t>
                  </w:r>
                </w:p>
              </w:tc>
              <w:tc>
                <w:tcPr>
                  <w:tcW w:w="1016"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15%</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9%</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30%</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3%</w:t>
                  </w:r>
                </w:p>
              </w:tc>
              <w:tc>
                <w:tcPr>
                  <w:tcW w:w="1044" w:type="dxa"/>
                  <w:vAlign w:val="center"/>
                </w:tcPr>
                <w:p>
                  <w:pPr>
                    <w:pStyle w:val="23"/>
                    <w:bidi w:val="0"/>
                    <w:ind w:firstLine="0" w:firstLineChars="0"/>
                    <w:jc w:val="center"/>
                    <w:rPr>
                      <w:rFonts w:hint="eastAsia"/>
                      <w:color w:val="auto"/>
                      <w:lang w:val="en-US" w:eastAsia="zh-CN"/>
                    </w:rPr>
                  </w:pPr>
                  <w:r>
                    <w:rPr>
                      <w:rFonts w:hint="eastAsia"/>
                      <w:color w:val="auto"/>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991" w:type="dxa"/>
                  <w:vMerge w:val="continue"/>
                  <w:vAlign w:val="center"/>
                </w:tcPr>
                <w:p>
                  <w:pPr>
                    <w:pStyle w:val="19"/>
                    <w:bidi w:val="0"/>
                    <w:jc w:val="center"/>
                    <w:rPr>
                      <w:rFonts w:hint="eastAsia"/>
                      <w:color w:val="auto"/>
                      <w:lang w:val="en-US" w:eastAsia="zh-CN"/>
                    </w:rPr>
                  </w:pPr>
                </w:p>
              </w:tc>
              <w:tc>
                <w:tcPr>
                  <w:tcW w:w="1125" w:type="dxa"/>
                  <w:vAlign w:val="center"/>
                </w:tcPr>
                <w:p>
                  <w:pPr>
                    <w:pStyle w:val="23"/>
                    <w:bidi w:val="0"/>
                    <w:ind w:firstLine="0" w:firstLineChars="0"/>
                    <w:jc w:val="center"/>
                    <w:rPr>
                      <w:rFonts w:hint="eastAsia"/>
                      <w:color w:val="auto"/>
                      <w:lang w:val="en-US" w:eastAsia="zh-CN"/>
                    </w:rPr>
                  </w:pPr>
                  <w:r>
                    <w:rPr>
                      <w:rFonts w:hint="eastAsia"/>
                      <w:color w:val="auto"/>
                      <w:lang w:val="en-US" w:eastAsia="zh-CN"/>
                    </w:rPr>
                    <w:t>排放浓度</w:t>
                  </w:r>
                  <w:r>
                    <w:rPr>
                      <w:color w:val="auto"/>
                      <w:lang w:val="en-US" w:eastAsia="zh-CN"/>
                    </w:rPr>
                    <w:t>mg/L</w:t>
                  </w:r>
                </w:p>
              </w:tc>
              <w:tc>
                <w:tcPr>
                  <w:tcW w:w="1016" w:type="dxa"/>
                  <w:vMerge w:val="restart"/>
                  <w:vAlign w:val="center"/>
                </w:tcPr>
                <w:p>
                  <w:pPr>
                    <w:pStyle w:val="23"/>
                    <w:bidi w:val="0"/>
                    <w:ind w:firstLine="0" w:firstLineChars="0"/>
                    <w:jc w:val="center"/>
                    <w:rPr>
                      <w:rFonts w:hint="eastAsia"/>
                      <w:color w:val="auto"/>
                      <w:lang w:val="en-US" w:eastAsia="zh-CN"/>
                    </w:rPr>
                  </w:pPr>
                  <w:r>
                    <w:rPr>
                      <w:rFonts w:hint="eastAsia"/>
                      <w:color w:val="auto"/>
                      <w:lang w:val="en-US" w:eastAsia="zh-CN"/>
                    </w:rPr>
                    <w:t>94624.08</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257.716</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181.418</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155.79</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24.095</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43.858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991" w:type="dxa"/>
                  <w:vMerge w:val="continue"/>
                  <w:vAlign w:val="center"/>
                </w:tcPr>
                <w:p>
                  <w:pPr>
                    <w:pStyle w:val="19"/>
                    <w:bidi w:val="0"/>
                    <w:jc w:val="center"/>
                    <w:rPr>
                      <w:rFonts w:hint="eastAsia"/>
                      <w:color w:val="auto"/>
                      <w:lang w:val="en-US" w:eastAsia="zh-CN"/>
                    </w:rPr>
                  </w:pPr>
                </w:p>
              </w:tc>
              <w:tc>
                <w:tcPr>
                  <w:tcW w:w="1125" w:type="dxa"/>
                  <w:vAlign w:val="center"/>
                </w:tcPr>
                <w:p>
                  <w:pPr>
                    <w:pStyle w:val="23"/>
                    <w:bidi w:val="0"/>
                    <w:ind w:firstLine="0" w:firstLineChars="0"/>
                    <w:jc w:val="center"/>
                    <w:rPr>
                      <w:rFonts w:hint="eastAsia"/>
                      <w:color w:val="auto"/>
                      <w:lang w:val="en-US" w:eastAsia="zh-CN"/>
                    </w:rPr>
                  </w:pPr>
                  <w:r>
                    <w:rPr>
                      <w:rFonts w:hint="eastAsia"/>
                      <w:color w:val="auto"/>
                      <w:lang w:val="en-US" w:eastAsia="zh-CN"/>
                    </w:rPr>
                    <w:t>排放量</w:t>
                  </w:r>
                  <w:r>
                    <w:rPr>
                      <w:color w:val="auto"/>
                      <w:lang w:val="en-US" w:eastAsia="zh-CN"/>
                    </w:rPr>
                    <w:t>t/a</w:t>
                  </w:r>
                </w:p>
              </w:tc>
              <w:tc>
                <w:tcPr>
                  <w:tcW w:w="1016" w:type="dxa"/>
                  <w:vMerge w:val="continue"/>
                  <w:vAlign w:val="center"/>
                </w:tcPr>
                <w:p>
                  <w:pPr>
                    <w:pStyle w:val="23"/>
                    <w:bidi w:val="0"/>
                    <w:ind w:firstLine="0" w:firstLineChars="0"/>
                    <w:jc w:val="center"/>
                    <w:rPr>
                      <w:rFonts w:hint="eastAsia"/>
                      <w:color w:val="auto"/>
                      <w:lang w:val="en-US" w:eastAsia="zh-CN"/>
                    </w:rPr>
                  </w:pP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24.3862</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17.1665</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14.7415</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2.28</w:t>
                  </w:r>
                </w:p>
              </w:tc>
              <w:tc>
                <w:tcPr>
                  <w:tcW w:w="1044" w:type="dxa"/>
                  <w:vAlign w:val="center"/>
                </w:tcPr>
                <w:p>
                  <w:pPr>
                    <w:pStyle w:val="23"/>
                    <w:bidi w:val="0"/>
                    <w:ind w:firstLine="0" w:firstLineChars="0"/>
                    <w:jc w:val="center"/>
                    <w:rPr>
                      <w:rFonts w:hint="default"/>
                      <w:color w:val="auto"/>
                      <w:lang w:val="en-US" w:eastAsia="zh-CN"/>
                    </w:rPr>
                  </w:pPr>
                  <w:r>
                    <w:rPr>
                      <w:rFonts w:hint="eastAsia"/>
                      <w:color w:val="auto"/>
                      <w:lang w:val="en-US" w:eastAsia="zh-CN"/>
                    </w:rPr>
                    <w:t>4.15</w:t>
                  </w:r>
                </w:p>
              </w:tc>
            </w:tr>
          </w:tbl>
          <w:p>
            <w:pPr>
              <w:pStyle w:val="22"/>
              <w:numPr>
                <w:ilvl w:val="0"/>
                <w:numId w:val="11"/>
              </w:numPr>
              <w:bidi w:val="0"/>
              <w:ind w:left="0" w:leftChars="0" w:firstLine="480" w:firstLineChars="200"/>
              <w:rPr>
                <w:rFonts w:hint="eastAsia"/>
                <w:b w:val="0"/>
                <w:bCs w:val="0"/>
                <w:color w:val="auto"/>
                <w:lang w:val="en-US" w:eastAsia="zh-CN"/>
              </w:rPr>
            </w:pPr>
            <w:r>
              <w:rPr>
                <w:rFonts w:hint="eastAsia"/>
                <w:b w:val="0"/>
                <w:bCs w:val="0"/>
                <w:color w:val="auto"/>
                <w:lang w:val="en-US" w:eastAsia="zh-CN"/>
              </w:rPr>
              <w:t>影响分析</w:t>
            </w:r>
          </w:p>
          <w:p>
            <w:pPr>
              <w:bidi w:val="0"/>
              <w:rPr>
                <w:rFonts w:hint="eastAsia"/>
                <w:color w:val="auto"/>
                <w:lang w:val="en-US" w:eastAsia="zh-CN"/>
              </w:rPr>
            </w:pPr>
            <w:r>
              <w:rPr>
                <w:rFonts w:hint="eastAsia"/>
                <w:color w:val="auto"/>
                <w:lang w:val="en-US" w:eastAsia="zh-CN"/>
              </w:rPr>
              <w:t>本项目营运期产生的废水主要为员工生活污水、游客淋浴废水、公厕废水、主题餐厅废水、员工食堂废水和水池娱乐废水。</w:t>
            </w:r>
          </w:p>
          <w:p>
            <w:pPr>
              <w:bidi w:val="0"/>
              <w:rPr>
                <w:rFonts w:hint="default"/>
                <w:color w:val="auto"/>
                <w:lang w:val="en-US" w:eastAsia="zh-CN"/>
              </w:rPr>
            </w:pPr>
            <w:r>
              <w:rPr>
                <w:rFonts w:hint="eastAsia"/>
                <w:color w:val="auto"/>
                <w:lang w:val="en-US" w:eastAsia="zh-CN"/>
              </w:rPr>
              <w:t>员工食堂废水、主题餐厅废水经隔油沉淀后，与员工生活污水</w:t>
            </w:r>
            <w:r>
              <w:rPr>
                <w:rFonts w:hint="default"/>
                <w:color w:val="auto"/>
              </w:rPr>
              <w:t>、游客淋浴废水、公厕废水</w:t>
            </w:r>
            <w:r>
              <w:rPr>
                <w:rFonts w:hint="eastAsia"/>
                <w:color w:val="auto"/>
                <w:lang w:val="en-US" w:eastAsia="zh-CN"/>
              </w:rPr>
              <w:t>一起进入化粪池，经</w:t>
            </w:r>
            <w:r>
              <w:rPr>
                <w:rFonts w:hint="default"/>
                <w:color w:val="auto"/>
              </w:rPr>
              <w:t>化粪池处理达标后</w:t>
            </w:r>
            <w:r>
              <w:rPr>
                <w:rFonts w:hint="eastAsia"/>
                <w:color w:val="auto"/>
                <w:lang w:eastAsia="zh-CN"/>
              </w:rPr>
              <w:t>，</w:t>
            </w:r>
            <w:r>
              <w:rPr>
                <w:rFonts w:hint="eastAsia"/>
                <w:color w:val="auto"/>
                <w:lang w:val="en-US" w:eastAsia="zh-CN"/>
              </w:rPr>
              <w:t>通过</w:t>
            </w:r>
            <w:r>
              <w:rPr>
                <w:rFonts w:hint="default"/>
                <w:color w:val="auto"/>
              </w:rPr>
              <w:t>市政污水管网</w:t>
            </w:r>
            <w:r>
              <w:rPr>
                <w:rFonts w:hint="eastAsia"/>
                <w:color w:val="auto"/>
                <w:lang w:val="en-US" w:eastAsia="zh-CN"/>
              </w:rPr>
              <w:t>排入</w:t>
            </w:r>
            <w:r>
              <w:rPr>
                <w:rFonts w:hint="eastAsia"/>
                <w:color w:val="auto"/>
                <w:lang w:eastAsia="zh-CN"/>
              </w:rPr>
              <w:t>松木</w:t>
            </w:r>
            <w:r>
              <w:rPr>
                <w:rFonts w:hint="eastAsia"/>
                <w:color w:val="auto"/>
                <w:lang w:val="en-US" w:eastAsia="zh-CN"/>
              </w:rPr>
              <w:t>生活</w:t>
            </w:r>
            <w:r>
              <w:rPr>
                <w:rFonts w:hint="eastAsia"/>
                <w:color w:val="auto"/>
                <w:lang w:eastAsia="zh-CN"/>
              </w:rPr>
              <w:t>污水处理厂，</w:t>
            </w:r>
            <w:r>
              <w:rPr>
                <w:rFonts w:hint="eastAsia"/>
                <w:color w:val="auto"/>
                <w:lang w:val="en-US" w:eastAsia="zh-CN"/>
              </w:rPr>
              <w:t>最终排入湘江</w:t>
            </w:r>
            <w:r>
              <w:rPr>
                <w:rFonts w:hint="default"/>
                <w:color w:val="auto"/>
              </w:rPr>
              <w:t>。</w:t>
            </w:r>
            <w:r>
              <w:rPr>
                <w:rFonts w:hint="eastAsia"/>
                <w:color w:val="auto"/>
                <w:lang w:val="en-US" w:eastAsia="zh-CN"/>
              </w:rPr>
              <w:t>水池娱乐用水经业内最先进的珍珠岩过滤系统过滤后循环使用，为保障水质稳定，闭园时水池娱乐用水全部排空，水池娱乐排空的废水</w:t>
            </w:r>
            <w:r>
              <w:rPr>
                <w:rFonts w:hint="eastAsia"/>
                <w:color w:val="auto"/>
                <w:u w:val="none"/>
                <w:lang w:val="en-US" w:eastAsia="zh-CN"/>
              </w:rPr>
              <w:t>与其他废水一起进入化粪池处理，</w:t>
            </w:r>
            <w:r>
              <w:rPr>
                <w:rFonts w:hint="eastAsia"/>
                <w:color w:val="auto"/>
                <w:lang w:val="en-US" w:eastAsia="zh-CN"/>
              </w:rPr>
              <w:t>经</w:t>
            </w:r>
            <w:r>
              <w:rPr>
                <w:rFonts w:hint="default"/>
                <w:color w:val="auto"/>
              </w:rPr>
              <w:t>化粪池处理达标后</w:t>
            </w:r>
            <w:r>
              <w:rPr>
                <w:rFonts w:hint="eastAsia"/>
                <w:color w:val="auto"/>
                <w:lang w:eastAsia="zh-CN"/>
              </w:rPr>
              <w:t>，</w:t>
            </w:r>
            <w:r>
              <w:rPr>
                <w:rFonts w:hint="eastAsia"/>
                <w:color w:val="auto"/>
                <w:lang w:val="en-US" w:eastAsia="zh-CN"/>
              </w:rPr>
              <w:t>通过</w:t>
            </w:r>
            <w:r>
              <w:rPr>
                <w:rFonts w:hint="default"/>
                <w:color w:val="auto"/>
              </w:rPr>
              <w:t>市政污水管网</w:t>
            </w:r>
            <w:r>
              <w:rPr>
                <w:rFonts w:hint="eastAsia"/>
                <w:color w:val="auto"/>
                <w:lang w:val="en-US" w:eastAsia="zh-CN"/>
              </w:rPr>
              <w:t>排入</w:t>
            </w:r>
            <w:r>
              <w:rPr>
                <w:rFonts w:hint="eastAsia"/>
                <w:color w:val="auto"/>
                <w:lang w:eastAsia="zh-CN"/>
              </w:rPr>
              <w:t>松木</w:t>
            </w:r>
            <w:r>
              <w:rPr>
                <w:rFonts w:hint="eastAsia"/>
                <w:color w:val="auto"/>
                <w:lang w:val="en-US" w:eastAsia="zh-CN"/>
              </w:rPr>
              <w:t>生活</w:t>
            </w:r>
            <w:r>
              <w:rPr>
                <w:rFonts w:hint="eastAsia"/>
                <w:color w:val="auto"/>
                <w:lang w:eastAsia="zh-CN"/>
              </w:rPr>
              <w:t>污水处理厂，</w:t>
            </w:r>
            <w:r>
              <w:rPr>
                <w:rFonts w:hint="eastAsia"/>
                <w:color w:val="auto"/>
                <w:lang w:val="en-US" w:eastAsia="zh-CN"/>
              </w:rPr>
              <w:t>最终排入湘江</w:t>
            </w:r>
            <w:r>
              <w:rPr>
                <w:rFonts w:hint="default"/>
                <w:color w:val="auto"/>
              </w:rPr>
              <w:t>。</w:t>
            </w:r>
            <w:r>
              <w:rPr>
                <w:rFonts w:hint="eastAsia"/>
                <w:color w:val="auto"/>
                <w:lang w:val="en-US" w:eastAsia="zh-CN"/>
              </w:rPr>
              <w:t>故本项目产生的废水对环境影响较小。</w:t>
            </w:r>
          </w:p>
          <w:p>
            <w:pPr>
              <w:pStyle w:val="22"/>
              <w:numPr>
                <w:ilvl w:val="0"/>
                <w:numId w:val="0"/>
              </w:numPr>
              <w:bidi w:val="0"/>
              <w:rPr>
                <w:rFonts w:hint="default"/>
                <w:b/>
                <w:bCs/>
                <w:color w:val="auto"/>
                <w:lang w:val="en-US" w:eastAsia="zh-CN"/>
              </w:rPr>
            </w:pPr>
            <w:r>
              <w:rPr>
                <w:rFonts w:hint="eastAsia"/>
                <w:b/>
                <w:bCs/>
                <w:color w:val="auto"/>
                <w:lang w:val="en-US" w:eastAsia="zh-CN"/>
              </w:rPr>
              <w:t>3、声环境影响分析</w:t>
            </w:r>
          </w:p>
          <w:p>
            <w:pPr>
              <w:pStyle w:val="22"/>
              <w:bidi w:val="0"/>
              <w:rPr>
                <w:rFonts w:hint="default" w:eastAsia="宋体"/>
                <w:lang w:val="en-US" w:eastAsia="zh-CN"/>
              </w:rPr>
            </w:pPr>
            <w:r>
              <w:rPr>
                <w:rFonts w:hint="default"/>
              </w:rPr>
              <w:t>项目主要噪声源为风机、备用发电机、游乐设施、空压机产生的设备噪声以及机动车噪声、商业噪声，类比同类型项目噪声值，约为70~85dB（A）。</w:t>
            </w:r>
            <w:r>
              <w:rPr>
                <w:rFonts w:hint="eastAsia"/>
                <w:lang w:val="en-US" w:eastAsia="zh-CN"/>
              </w:rPr>
              <w:t>经采取减振、隔声等措施处理后可达标，对周边环境影响较小。</w:t>
            </w:r>
          </w:p>
          <w:p>
            <w:pPr>
              <w:pStyle w:val="22"/>
              <w:bidi w:val="0"/>
              <w:ind w:left="0" w:leftChars="0" w:firstLine="0" w:firstLineChars="0"/>
              <w:rPr>
                <w:b/>
                <w:bCs/>
              </w:rPr>
            </w:pPr>
            <w:r>
              <w:rPr>
                <w:rFonts w:hint="eastAsia"/>
                <w:b/>
                <w:bCs/>
                <w:lang w:val="en-US" w:eastAsia="zh-CN"/>
              </w:rPr>
              <w:t>4、固体废物影响分析</w:t>
            </w:r>
          </w:p>
          <w:p>
            <w:pPr>
              <w:pStyle w:val="22"/>
              <w:bidi w:val="0"/>
              <w:rPr>
                <w:rFonts w:hint="default" w:eastAsia="宋体"/>
                <w:lang w:val="en-US" w:eastAsia="zh-CN"/>
              </w:rPr>
            </w:pPr>
            <w:r>
              <w:rPr>
                <w:rFonts w:hint="eastAsia"/>
                <w:lang w:val="en-US" w:eastAsia="zh-CN"/>
              </w:rPr>
              <w:t>本项目产生的固体废物主要为生活垃圾和毛发过滤器收集的毛发。</w:t>
            </w:r>
          </w:p>
          <w:p>
            <w:pPr>
              <w:pStyle w:val="22"/>
              <w:numPr>
                <w:ilvl w:val="0"/>
                <w:numId w:val="12"/>
              </w:numPr>
              <w:bidi w:val="0"/>
              <w:rPr>
                <w:rFonts w:hint="default"/>
              </w:rPr>
            </w:pPr>
            <w:r>
              <w:rPr>
                <w:rFonts w:hint="default"/>
              </w:rPr>
              <w:t>生活垃圾</w:t>
            </w:r>
          </w:p>
          <w:p>
            <w:pPr>
              <w:pStyle w:val="22"/>
              <w:numPr>
                <w:ilvl w:val="0"/>
                <w:numId w:val="0"/>
              </w:numPr>
              <w:bidi w:val="0"/>
              <w:ind w:firstLine="480" w:firstLineChars="200"/>
              <w:rPr>
                <w:rFonts w:hint="default"/>
              </w:rPr>
            </w:pPr>
            <w:r>
              <w:rPr>
                <w:rFonts w:hint="default"/>
              </w:rPr>
              <w:t>本项目</w:t>
            </w:r>
            <w:r>
              <w:rPr>
                <w:rFonts w:hint="eastAsia"/>
                <w:lang w:val="en-US" w:eastAsia="zh-CN"/>
              </w:rPr>
              <w:t>年运营80天，</w:t>
            </w:r>
            <w:r>
              <w:rPr>
                <w:rFonts w:hint="default"/>
              </w:rPr>
              <w:t>管理人员预计</w:t>
            </w:r>
            <w:r>
              <w:rPr>
                <w:rFonts w:hint="eastAsia"/>
                <w:lang w:val="en-US" w:eastAsia="zh-CN"/>
              </w:rPr>
              <w:t>600</w:t>
            </w:r>
            <w:r>
              <w:rPr>
                <w:rFonts w:hint="default"/>
              </w:rPr>
              <w:t>人，员工</w:t>
            </w:r>
            <w:r>
              <w:rPr>
                <w:rFonts w:hint="eastAsia"/>
                <w:lang w:val="en-US" w:eastAsia="zh-CN"/>
              </w:rPr>
              <w:t>产生的</w:t>
            </w:r>
            <w:r>
              <w:rPr>
                <w:rFonts w:hint="default"/>
              </w:rPr>
              <w:t>生活垃圾按每人每天1kg计算，其产生量约</w:t>
            </w:r>
            <w:r>
              <w:rPr>
                <w:rFonts w:hint="eastAsia"/>
                <w:lang w:val="en-US" w:eastAsia="zh-CN"/>
              </w:rPr>
              <w:t>600</w:t>
            </w:r>
            <w:r>
              <w:rPr>
                <w:rFonts w:hint="default"/>
              </w:rPr>
              <w:t>kg/d（</w:t>
            </w:r>
            <w:r>
              <w:rPr>
                <w:rFonts w:hint="eastAsia"/>
                <w:lang w:val="en-US" w:eastAsia="zh-CN"/>
              </w:rPr>
              <w:t>48</w:t>
            </w:r>
            <w:r>
              <w:rPr>
                <w:rFonts w:hint="default"/>
              </w:rPr>
              <w:t>t/a）。综合日均入园人数预计7214人次，生活垃圾按每人每天0.5kg计算，其产生量约3607kg/d（</w:t>
            </w:r>
            <w:r>
              <w:rPr>
                <w:rFonts w:hint="eastAsia"/>
                <w:lang w:val="en-US" w:eastAsia="zh-CN"/>
              </w:rPr>
              <w:t>288.56</w:t>
            </w:r>
            <w:r>
              <w:rPr>
                <w:rFonts w:hint="default"/>
              </w:rPr>
              <w:t>t/a）。</w:t>
            </w:r>
            <w:r>
              <w:rPr>
                <w:rFonts w:hint="eastAsia"/>
                <w:lang w:val="en-US" w:eastAsia="zh-CN"/>
              </w:rPr>
              <w:t>产生的生活垃圾共计4207kg/d，即336.56</w:t>
            </w:r>
            <w:r>
              <w:rPr>
                <w:rFonts w:hint="default"/>
              </w:rPr>
              <w:t>t/a</w:t>
            </w:r>
            <w:r>
              <w:rPr>
                <w:rFonts w:hint="eastAsia"/>
                <w:lang w:eastAsia="zh-CN"/>
              </w:rPr>
              <w:t>。</w:t>
            </w:r>
            <w:r>
              <w:rPr>
                <w:rFonts w:hint="default"/>
              </w:rPr>
              <w:t>产生的生活垃圾分类收集，避雨堆放，定期交由环卫部门处理，垃圾堆放点定期消毒、灭蝇、灭鼠。</w:t>
            </w:r>
          </w:p>
          <w:p>
            <w:pPr>
              <w:pStyle w:val="22"/>
              <w:numPr>
                <w:ilvl w:val="0"/>
                <w:numId w:val="12"/>
              </w:numPr>
              <w:bidi w:val="0"/>
              <w:ind w:left="0" w:leftChars="0" w:firstLine="480" w:firstLineChars="200"/>
              <w:rPr>
                <w:rFonts w:hint="eastAsia"/>
                <w:lang w:val="en-US" w:eastAsia="zh-CN"/>
              </w:rPr>
            </w:pPr>
            <w:r>
              <w:rPr>
                <w:rFonts w:hint="eastAsia"/>
                <w:lang w:val="en-US" w:eastAsia="zh-CN"/>
              </w:rPr>
              <w:t>毛发过滤器收集的毛发</w:t>
            </w:r>
          </w:p>
          <w:p>
            <w:pPr>
              <w:pStyle w:val="22"/>
              <w:bidi w:val="0"/>
              <w:rPr>
                <w:rFonts w:hint="eastAsia"/>
                <w:lang w:val="en-US" w:eastAsia="zh-CN"/>
              </w:rPr>
            </w:pPr>
            <w:r>
              <w:rPr>
                <w:rFonts w:hint="eastAsia"/>
                <w:lang w:val="en-US" w:eastAsia="zh-CN"/>
              </w:rPr>
              <w:t>本项目设置2套毛发过滤器，毛发过滤器收集的毛发预计为1kg/d，即0.08t/a，统一收集后同生活垃圾一起委托环卫部门清运处理。</w:t>
            </w:r>
          </w:p>
          <w:p>
            <w:pPr>
              <w:pStyle w:val="18"/>
              <w:bidi w:val="0"/>
              <w:rPr>
                <w:rFonts w:hint="eastAsia"/>
                <w:lang w:val="en-US" w:eastAsia="zh-CN"/>
              </w:rPr>
            </w:pPr>
            <w:r>
              <w:rPr>
                <w:rFonts w:hint="eastAsia"/>
                <w:lang w:val="en-US" w:eastAsia="zh-CN"/>
              </w:rPr>
              <w:t>表30 项目固体废物产排情况表    单位：t/a</w:t>
            </w:r>
          </w:p>
          <w:tbl>
            <w:tblPr>
              <w:tblStyle w:val="16"/>
              <w:tblW w:w="83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8"/>
              <w:gridCol w:w="1372"/>
              <w:gridCol w:w="832"/>
              <w:gridCol w:w="1125"/>
              <w:gridCol w:w="953"/>
              <w:gridCol w:w="1645"/>
              <w:gridCol w:w="9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trPr>
              <w:tc>
                <w:tcPr>
                  <w:tcW w:w="1438" w:type="dxa"/>
                  <w:vAlign w:val="center"/>
                </w:tcPr>
                <w:p>
                  <w:pPr>
                    <w:pStyle w:val="19"/>
                    <w:bidi w:val="0"/>
                    <w:rPr>
                      <w:rFonts w:hint="default"/>
                      <w:lang w:val="en-US" w:eastAsia="zh-CN"/>
                    </w:rPr>
                  </w:pPr>
                  <w:r>
                    <w:rPr>
                      <w:rFonts w:hint="eastAsia"/>
                      <w:lang w:val="en-US" w:eastAsia="zh-CN"/>
                    </w:rPr>
                    <w:t>产生环节</w:t>
                  </w:r>
                </w:p>
              </w:tc>
              <w:tc>
                <w:tcPr>
                  <w:tcW w:w="1372" w:type="dxa"/>
                  <w:vAlign w:val="center"/>
                </w:tcPr>
                <w:p>
                  <w:pPr>
                    <w:pStyle w:val="19"/>
                    <w:bidi w:val="0"/>
                    <w:rPr>
                      <w:rFonts w:hint="default"/>
                      <w:lang w:val="en-US" w:eastAsia="zh-CN"/>
                    </w:rPr>
                  </w:pPr>
                  <w:r>
                    <w:rPr>
                      <w:rFonts w:hint="eastAsia"/>
                      <w:lang w:val="en-US" w:eastAsia="zh-CN"/>
                    </w:rPr>
                    <w:t>固废名称</w:t>
                  </w:r>
                </w:p>
              </w:tc>
              <w:tc>
                <w:tcPr>
                  <w:tcW w:w="832" w:type="dxa"/>
                  <w:vAlign w:val="center"/>
                </w:tcPr>
                <w:p>
                  <w:pPr>
                    <w:pStyle w:val="19"/>
                    <w:bidi w:val="0"/>
                    <w:rPr>
                      <w:rFonts w:hint="default"/>
                      <w:lang w:val="en-US" w:eastAsia="zh-CN"/>
                    </w:rPr>
                  </w:pPr>
                  <w:r>
                    <w:rPr>
                      <w:rFonts w:hint="eastAsia"/>
                      <w:lang w:val="en-US" w:eastAsia="zh-CN"/>
                    </w:rPr>
                    <w:t>属性</w:t>
                  </w:r>
                </w:p>
              </w:tc>
              <w:tc>
                <w:tcPr>
                  <w:tcW w:w="1125" w:type="dxa"/>
                  <w:vAlign w:val="center"/>
                </w:tcPr>
                <w:p>
                  <w:pPr>
                    <w:pStyle w:val="19"/>
                    <w:bidi w:val="0"/>
                    <w:rPr>
                      <w:rFonts w:hint="default"/>
                      <w:lang w:val="en-US" w:eastAsia="zh-CN"/>
                    </w:rPr>
                  </w:pPr>
                  <w:r>
                    <w:rPr>
                      <w:rFonts w:hint="eastAsia"/>
                      <w:lang w:val="en-US" w:eastAsia="zh-CN"/>
                    </w:rPr>
                    <w:t>年产生量</w:t>
                  </w:r>
                </w:p>
              </w:tc>
              <w:tc>
                <w:tcPr>
                  <w:tcW w:w="953" w:type="dxa"/>
                  <w:vAlign w:val="center"/>
                </w:tcPr>
                <w:p>
                  <w:pPr>
                    <w:pStyle w:val="19"/>
                    <w:bidi w:val="0"/>
                    <w:rPr>
                      <w:rFonts w:hint="default"/>
                      <w:lang w:val="en-US" w:eastAsia="zh-CN"/>
                    </w:rPr>
                  </w:pPr>
                  <w:r>
                    <w:rPr>
                      <w:rFonts w:hint="eastAsia"/>
                      <w:lang w:val="en-US" w:eastAsia="zh-CN"/>
                    </w:rPr>
                    <w:t>贮存方式</w:t>
                  </w:r>
                </w:p>
              </w:tc>
              <w:tc>
                <w:tcPr>
                  <w:tcW w:w="1645" w:type="dxa"/>
                  <w:vAlign w:val="center"/>
                </w:tcPr>
                <w:p>
                  <w:pPr>
                    <w:pStyle w:val="19"/>
                    <w:bidi w:val="0"/>
                    <w:rPr>
                      <w:rFonts w:hint="default"/>
                      <w:lang w:val="en-US" w:eastAsia="zh-CN"/>
                    </w:rPr>
                  </w:pPr>
                  <w:r>
                    <w:rPr>
                      <w:rFonts w:hint="eastAsia"/>
                      <w:lang w:val="en-US" w:eastAsia="zh-CN"/>
                    </w:rPr>
                    <w:t>处置方式和去向</w:t>
                  </w:r>
                </w:p>
              </w:tc>
              <w:tc>
                <w:tcPr>
                  <w:tcW w:w="971" w:type="dxa"/>
                  <w:vAlign w:val="center"/>
                </w:tcPr>
                <w:p>
                  <w:pPr>
                    <w:pStyle w:val="19"/>
                    <w:bidi w:val="0"/>
                    <w:rPr>
                      <w:rFonts w:hint="default"/>
                      <w:lang w:val="en-US" w:eastAsia="zh-CN"/>
                    </w:rPr>
                  </w:pPr>
                  <w:r>
                    <w:rPr>
                      <w:rFonts w:hint="eastAsia"/>
                      <w:lang w:val="en-US" w:eastAsia="zh-CN"/>
                    </w:rPr>
                    <w:t>处置量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438" w:type="dxa"/>
                  <w:vAlign w:val="center"/>
                </w:tcPr>
                <w:p>
                  <w:pPr>
                    <w:pStyle w:val="19"/>
                    <w:bidi w:val="0"/>
                    <w:rPr>
                      <w:rFonts w:hint="default"/>
                      <w:lang w:val="en-US" w:eastAsia="zh-CN"/>
                    </w:rPr>
                  </w:pPr>
                  <w:r>
                    <w:rPr>
                      <w:rFonts w:hint="eastAsia"/>
                      <w:lang w:val="en-US" w:eastAsia="zh-CN"/>
                    </w:rPr>
                    <w:t>员工日常办公</w:t>
                  </w:r>
                </w:p>
              </w:tc>
              <w:tc>
                <w:tcPr>
                  <w:tcW w:w="1372" w:type="dxa"/>
                  <w:vAlign w:val="center"/>
                </w:tcPr>
                <w:p>
                  <w:pPr>
                    <w:pStyle w:val="19"/>
                    <w:bidi w:val="0"/>
                    <w:rPr>
                      <w:rFonts w:hint="default"/>
                      <w:lang w:val="en-US" w:eastAsia="zh-CN"/>
                    </w:rPr>
                  </w:pPr>
                  <w:r>
                    <w:rPr>
                      <w:rFonts w:hint="eastAsia"/>
                      <w:lang w:val="en-US" w:eastAsia="zh-CN"/>
                    </w:rPr>
                    <w:t>生活垃圾</w:t>
                  </w:r>
                </w:p>
              </w:tc>
              <w:tc>
                <w:tcPr>
                  <w:tcW w:w="832" w:type="dxa"/>
                  <w:vMerge w:val="restart"/>
                  <w:vAlign w:val="center"/>
                </w:tcPr>
                <w:p>
                  <w:pPr>
                    <w:pStyle w:val="19"/>
                    <w:bidi w:val="0"/>
                    <w:rPr>
                      <w:rFonts w:hint="default"/>
                      <w:lang w:val="en-US" w:eastAsia="zh-CN"/>
                    </w:rPr>
                  </w:pPr>
                  <w:r>
                    <w:rPr>
                      <w:rFonts w:hint="eastAsia"/>
                      <w:lang w:val="en-US" w:eastAsia="zh-CN"/>
                    </w:rPr>
                    <w:t>一般固体废物</w:t>
                  </w:r>
                </w:p>
              </w:tc>
              <w:tc>
                <w:tcPr>
                  <w:tcW w:w="1125" w:type="dxa"/>
                  <w:vAlign w:val="center"/>
                </w:tcPr>
                <w:p>
                  <w:pPr>
                    <w:pStyle w:val="19"/>
                    <w:bidi w:val="0"/>
                    <w:rPr>
                      <w:rFonts w:hint="default"/>
                      <w:lang w:val="en-US" w:eastAsia="zh-CN"/>
                    </w:rPr>
                  </w:pPr>
                  <w:r>
                    <w:rPr>
                      <w:rFonts w:hint="eastAsia"/>
                      <w:lang w:val="en-US" w:eastAsia="zh-CN"/>
                    </w:rPr>
                    <w:t>336.56</w:t>
                  </w:r>
                </w:p>
              </w:tc>
              <w:tc>
                <w:tcPr>
                  <w:tcW w:w="953" w:type="dxa"/>
                  <w:vAlign w:val="center"/>
                </w:tcPr>
                <w:p>
                  <w:pPr>
                    <w:pStyle w:val="19"/>
                    <w:bidi w:val="0"/>
                    <w:rPr>
                      <w:rFonts w:hint="default"/>
                      <w:lang w:val="en-US" w:eastAsia="zh-CN"/>
                    </w:rPr>
                  </w:pPr>
                  <w:r>
                    <w:rPr>
                      <w:rFonts w:hint="eastAsia"/>
                      <w:lang w:val="en-US" w:eastAsia="zh-CN"/>
                    </w:rPr>
                    <w:t>垃圾桶</w:t>
                  </w:r>
                </w:p>
              </w:tc>
              <w:tc>
                <w:tcPr>
                  <w:tcW w:w="1645" w:type="dxa"/>
                  <w:vMerge w:val="restart"/>
                  <w:vAlign w:val="center"/>
                </w:tcPr>
                <w:p>
                  <w:pPr>
                    <w:pStyle w:val="19"/>
                    <w:bidi w:val="0"/>
                    <w:rPr>
                      <w:rFonts w:hint="default"/>
                      <w:lang w:val="en-US" w:eastAsia="zh-CN"/>
                    </w:rPr>
                  </w:pPr>
                  <w:r>
                    <w:rPr>
                      <w:rFonts w:hint="eastAsia"/>
                      <w:lang w:val="en-US" w:eastAsia="zh-CN"/>
                    </w:rPr>
                    <w:t>统一收集后交由环卫部门处理</w:t>
                  </w:r>
                </w:p>
              </w:tc>
              <w:tc>
                <w:tcPr>
                  <w:tcW w:w="971" w:type="dxa"/>
                  <w:vAlign w:val="center"/>
                </w:tcPr>
                <w:p>
                  <w:pPr>
                    <w:pStyle w:val="19"/>
                    <w:bidi w:val="0"/>
                    <w:rPr>
                      <w:rFonts w:hint="default"/>
                      <w:lang w:val="en-US" w:eastAsia="zh-CN"/>
                    </w:rPr>
                  </w:pPr>
                  <w:r>
                    <w:rPr>
                      <w:rFonts w:hint="eastAsia"/>
                      <w:lang w:val="en-US" w:eastAsia="zh-CN"/>
                    </w:rPr>
                    <w:t>336.56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1438" w:type="dxa"/>
                  <w:vAlign w:val="center"/>
                </w:tcPr>
                <w:p>
                  <w:pPr>
                    <w:pStyle w:val="19"/>
                    <w:bidi w:val="0"/>
                    <w:rPr>
                      <w:rFonts w:hint="default"/>
                      <w:lang w:val="en-US" w:eastAsia="zh-CN"/>
                    </w:rPr>
                  </w:pPr>
                  <w:r>
                    <w:rPr>
                      <w:rFonts w:hint="eastAsia"/>
                      <w:lang w:val="en-US" w:eastAsia="zh-CN"/>
                    </w:rPr>
                    <w:t>水池处理</w:t>
                  </w:r>
                </w:p>
              </w:tc>
              <w:tc>
                <w:tcPr>
                  <w:tcW w:w="1372" w:type="dxa"/>
                  <w:vAlign w:val="center"/>
                </w:tcPr>
                <w:p>
                  <w:pPr>
                    <w:pStyle w:val="19"/>
                    <w:bidi w:val="0"/>
                    <w:rPr>
                      <w:rFonts w:hint="default"/>
                      <w:lang w:val="en-US" w:eastAsia="zh-CN"/>
                    </w:rPr>
                  </w:pPr>
                  <w:r>
                    <w:rPr>
                      <w:rFonts w:hint="eastAsia"/>
                      <w:lang w:val="en-US" w:eastAsia="zh-CN"/>
                    </w:rPr>
                    <w:t>毛发过滤器收集的毛发</w:t>
                  </w:r>
                </w:p>
              </w:tc>
              <w:tc>
                <w:tcPr>
                  <w:tcW w:w="832" w:type="dxa"/>
                  <w:vMerge w:val="continue"/>
                  <w:vAlign w:val="center"/>
                </w:tcPr>
                <w:p>
                  <w:pPr>
                    <w:pStyle w:val="19"/>
                    <w:bidi w:val="0"/>
                    <w:rPr>
                      <w:rFonts w:hint="default"/>
                      <w:lang w:val="en-US" w:eastAsia="zh-CN"/>
                    </w:rPr>
                  </w:pPr>
                </w:p>
              </w:tc>
              <w:tc>
                <w:tcPr>
                  <w:tcW w:w="1125" w:type="dxa"/>
                  <w:vAlign w:val="center"/>
                </w:tcPr>
                <w:p>
                  <w:pPr>
                    <w:pStyle w:val="19"/>
                    <w:bidi w:val="0"/>
                    <w:rPr>
                      <w:rFonts w:hint="default"/>
                      <w:lang w:val="en-US" w:eastAsia="zh-CN"/>
                    </w:rPr>
                  </w:pPr>
                  <w:r>
                    <w:rPr>
                      <w:rFonts w:hint="eastAsia"/>
                      <w:lang w:val="en-US" w:eastAsia="zh-CN"/>
                    </w:rPr>
                    <w:t>0.08</w:t>
                  </w:r>
                </w:p>
              </w:tc>
              <w:tc>
                <w:tcPr>
                  <w:tcW w:w="953" w:type="dxa"/>
                  <w:vAlign w:val="center"/>
                </w:tcPr>
                <w:p>
                  <w:pPr>
                    <w:pStyle w:val="19"/>
                    <w:bidi w:val="0"/>
                    <w:rPr>
                      <w:rFonts w:hint="default"/>
                      <w:lang w:val="en-US" w:eastAsia="zh-CN"/>
                    </w:rPr>
                  </w:pPr>
                  <w:r>
                    <w:rPr>
                      <w:rFonts w:hint="eastAsia"/>
                      <w:lang w:val="en-US" w:eastAsia="zh-CN"/>
                    </w:rPr>
                    <w:t>垃圾桶</w:t>
                  </w:r>
                </w:p>
              </w:tc>
              <w:tc>
                <w:tcPr>
                  <w:tcW w:w="1645" w:type="dxa"/>
                  <w:vMerge w:val="continue"/>
                  <w:vAlign w:val="center"/>
                </w:tcPr>
                <w:p>
                  <w:pPr>
                    <w:pStyle w:val="19"/>
                    <w:bidi w:val="0"/>
                    <w:rPr>
                      <w:rFonts w:hint="default"/>
                      <w:lang w:val="en-US" w:eastAsia="zh-CN"/>
                    </w:rPr>
                  </w:pPr>
                </w:p>
              </w:tc>
              <w:tc>
                <w:tcPr>
                  <w:tcW w:w="971" w:type="dxa"/>
                  <w:vAlign w:val="center"/>
                </w:tcPr>
                <w:p>
                  <w:pPr>
                    <w:pStyle w:val="19"/>
                    <w:bidi w:val="0"/>
                    <w:rPr>
                      <w:rFonts w:hint="default"/>
                      <w:lang w:val="en-US" w:eastAsia="zh-CN"/>
                    </w:rPr>
                  </w:pPr>
                  <w:r>
                    <w:rPr>
                      <w:rFonts w:hint="eastAsia"/>
                      <w:lang w:val="en-US" w:eastAsia="zh-CN"/>
                    </w:rPr>
                    <w:t>0.08</w:t>
                  </w:r>
                </w:p>
              </w:tc>
            </w:tr>
          </w:tbl>
          <w:p>
            <w:pPr>
              <w:pStyle w:val="22"/>
              <w:bidi w:val="0"/>
              <w:ind w:left="0" w:leftChars="0" w:firstLine="480" w:firstLineChars="200"/>
            </w:pPr>
            <w:r>
              <w:rPr>
                <w:rFonts w:hint="eastAsia"/>
                <w:lang w:val="en-US" w:eastAsia="zh-CN"/>
              </w:rPr>
              <w:t>本</w:t>
            </w:r>
            <w:r>
              <w:rPr>
                <w:rFonts w:hint="default"/>
              </w:rPr>
              <w:t>项目固体废物经采取相关的措施处理处置后，可以得到及时、妥善的处理和处置，对周围环境的影响在可接受范围内。</w:t>
            </w:r>
          </w:p>
          <w:p>
            <w:pPr>
              <w:pStyle w:val="22"/>
              <w:bidi w:val="0"/>
              <w:ind w:left="0" w:leftChars="0" w:firstLine="0" w:firstLineChars="0"/>
              <w:rPr>
                <w:rFonts w:hint="eastAsia"/>
                <w:b/>
                <w:bCs/>
              </w:rPr>
            </w:pPr>
            <w:r>
              <w:rPr>
                <w:rFonts w:hint="eastAsia"/>
                <w:b/>
                <w:bCs/>
                <w:lang w:val="en-US" w:eastAsia="zh-CN"/>
              </w:rPr>
              <w:t>5</w:t>
            </w:r>
            <w:r>
              <w:rPr>
                <w:rFonts w:hint="eastAsia"/>
                <w:b/>
                <w:bCs/>
              </w:rPr>
              <w:t>、地下水、土壤环境影响分析</w:t>
            </w:r>
          </w:p>
          <w:p>
            <w:pPr>
              <w:pStyle w:val="22"/>
              <w:bidi w:val="0"/>
              <w:ind w:left="0" w:leftChars="0" w:firstLine="480" w:firstLineChars="200"/>
              <w:rPr>
                <w:rFonts w:hint="eastAsia"/>
                <w:b w:val="0"/>
                <w:bCs w:val="0"/>
              </w:rPr>
            </w:pPr>
            <w:r>
              <w:rPr>
                <w:rFonts w:hint="eastAsia"/>
                <w:b w:val="0"/>
                <w:bCs w:val="0"/>
                <w:lang w:val="en-US" w:eastAsia="zh-CN"/>
              </w:rPr>
              <w:t>（1）</w:t>
            </w:r>
            <w:r>
              <w:rPr>
                <w:rFonts w:hint="eastAsia"/>
                <w:b w:val="0"/>
                <w:bCs w:val="0"/>
              </w:rPr>
              <w:t>土壤</w:t>
            </w:r>
          </w:p>
          <w:p>
            <w:pPr>
              <w:pStyle w:val="22"/>
              <w:bidi w:val="0"/>
              <w:rPr>
                <w:rFonts w:hint="eastAsia"/>
              </w:rPr>
            </w:pPr>
            <w:r>
              <w:rPr>
                <w:rFonts w:hint="eastAsia"/>
              </w:rPr>
              <w:t>由于项目运营期综合废水经市政管网排入</w:t>
            </w:r>
            <w:r>
              <w:rPr>
                <w:rFonts w:hint="eastAsia"/>
                <w:lang w:val="en-US" w:eastAsia="zh-CN"/>
              </w:rPr>
              <w:t>松木生活污水处理</w:t>
            </w:r>
            <w:r>
              <w:rPr>
                <w:rFonts w:hint="eastAsia"/>
              </w:rPr>
              <w:t>厂，废气经处理后排放量较少，可达标排放，对周围环境影响在可接受范围内；且项目所在区域地面将全部采用水泥硬化</w:t>
            </w:r>
            <w:r>
              <w:rPr>
                <w:rFonts w:hint="eastAsia"/>
                <w:lang w:eastAsia="zh-CN"/>
              </w:rPr>
              <w:t>。</w:t>
            </w:r>
            <w:r>
              <w:rPr>
                <w:rFonts w:hint="eastAsia"/>
              </w:rPr>
              <w:t>因此，项目发生渗漏及污染土壤的可能性很小，对周边土壤影响</w:t>
            </w:r>
            <w:r>
              <w:rPr>
                <w:rFonts w:hint="eastAsia"/>
                <w:lang w:val="en-US" w:eastAsia="zh-CN"/>
              </w:rPr>
              <w:t>较小</w:t>
            </w:r>
            <w:r>
              <w:rPr>
                <w:rFonts w:hint="eastAsia"/>
              </w:rPr>
              <w:t>。</w:t>
            </w:r>
          </w:p>
          <w:p>
            <w:pPr>
              <w:pStyle w:val="22"/>
              <w:bidi w:val="0"/>
              <w:ind w:left="0" w:leftChars="0" w:firstLine="480" w:firstLineChars="200"/>
              <w:rPr>
                <w:rFonts w:hint="eastAsia"/>
                <w:b w:val="0"/>
                <w:bCs w:val="0"/>
                <w:lang w:val="en-US" w:eastAsia="zh-CN"/>
              </w:rPr>
            </w:pPr>
            <w:r>
              <w:rPr>
                <w:rFonts w:hint="eastAsia"/>
                <w:b w:val="0"/>
                <w:bCs w:val="0"/>
                <w:lang w:val="en-US" w:eastAsia="zh-CN"/>
              </w:rPr>
              <w:t>（2）地下水</w:t>
            </w:r>
          </w:p>
          <w:p>
            <w:pPr>
              <w:pStyle w:val="22"/>
              <w:bidi w:val="0"/>
              <w:rPr>
                <w:rFonts w:hint="eastAsia"/>
              </w:rPr>
            </w:pPr>
            <w:r>
              <w:rPr>
                <w:rFonts w:hint="eastAsia"/>
              </w:rPr>
              <w:t>项目所在地地下水环境不敏感，项目水源采用市政供水，为地表水源，不使用地下水作为供水水源，不采用渗井、渗坑等方式排放废水，不会因项目生产用水需要引起地下水水位下降或引起环境水文地质问题。</w:t>
            </w:r>
          </w:p>
          <w:p>
            <w:pPr>
              <w:pStyle w:val="22"/>
              <w:bidi w:val="0"/>
              <w:rPr>
                <w:rFonts w:hint="eastAsia"/>
              </w:rPr>
            </w:pPr>
            <w:r>
              <w:rPr>
                <w:rFonts w:hint="eastAsia"/>
              </w:rPr>
              <w:t>由于项目运营期综合废水经市政管网排入</w:t>
            </w:r>
            <w:r>
              <w:rPr>
                <w:rFonts w:hint="eastAsia"/>
                <w:lang w:eastAsia="zh-CN"/>
              </w:rPr>
              <w:t>松木</w:t>
            </w:r>
            <w:r>
              <w:rPr>
                <w:rFonts w:hint="eastAsia"/>
                <w:lang w:val="en-US" w:eastAsia="zh-CN"/>
              </w:rPr>
              <w:t>生活</w:t>
            </w:r>
            <w:r>
              <w:rPr>
                <w:rFonts w:hint="eastAsia"/>
                <w:lang w:eastAsia="zh-CN"/>
              </w:rPr>
              <w:t>污水处理</w:t>
            </w:r>
            <w:r>
              <w:rPr>
                <w:rFonts w:hint="eastAsia"/>
              </w:rPr>
              <w:t>厂</w:t>
            </w:r>
            <w:r>
              <w:rPr>
                <w:rFonts w:hint="eastAsia"/>
                <w:lang w:eastAsia="zh-CN"/>
              </w:rPr>
              <w:t>，</w:t>
            </w:r>
            <w:r>
              <w:rPr>
                <w:rFonts w:hint="eastAsia"/>
              </w:rPr>
              <w:t>且项目所在区域地面已采用水泥硬化</w:t>
            </w:r>
            <w:r>
              <w:rPr>
                <w:rFonts w:hint="eastAsia"/>
                <w:lang w:eastAsia="zh-CN"/>
              </w:rPr>
              <w:t>。</w:t>
            </w:r>
            <w:r>
              <w:rPr>
                <w:rFonts w:hint="eastAsia"/>
              </w:rPr>
              <w:t>项目发生渗漏的可能性很小，地下水基本不会受到污染</w:t>
            </w:r>
            <w:r>
              <w:rPr>
                <w:rFonts w:hint="eastAsia"/>
                <w:lang w:eastAsia="zh-CN"/>
              </w:rPr>
              <w:t>。</w:t>
            </w:r>
            <w:r>
              <w:rPr>
                <w:rFonts w:hint="eastAsia"/>
              </w:rPr>
              <w:t>因此本项目不开展地下水环境质量现状监测工作。</w:t>
            </w:r>
          </w:p>
          <w:p>
            <w:pPr>
              <w:pStyle w:val="22"/>
              <w:bidi w:val="0"/>
              <w:ind w:left="0" w:leftChars="0" w:firstLine="0" w:firstLineChars="0"/>
              <w:rPr>
                <w:rFonts w:hint="default"/>
                <w:b/>
                <w:bCs/>
              </w:rPr>
            </w:pPr>
            <w:r>
              <w:rPr>
                <w:rFonts w:hint="default"/>
                <w:b/>
                <w:bCs/>
              </w:rPr>
              <w:t>6、生态环境影响分析</w:t>
            </w:r>
          </w:p>
          <w:p>
            <w:pPr>
              <w:pStyle w:val="22"/>
              <w:bidi w:val="0"/>
              <w:rPr>
                <w:rFonts w:hint="default"/>
              </w:rPr>
            </w:pPr>
            <w:r>
              <w:rPr>
                <w:rFonts w:hint="default"/>
              </w:rPr>
              <w:t>项目选址现状基本为空地、绿地，项目建设过程会破坏绿地绿化</w:t>
            </w:r>
            <w:r>
              <w:rPr>
                <w:rFonts w:hint="eastAsia"/>
                <w:lang w:eastAsia="zh-CN"/>
              </w:rPr>
              <w:t>。</w:t>
            </w:r>
            <w:r>
              <w:rPr>
                <w:rFonts w:hint="default"/>
              </w:rPr>
              <w:t>根据现场勘查，选址区绿化带均为</w:t>
            </w:r>
            <w:r>
              <w:rPr>
                <w:rFonts w:hint="eastAsia"/>
                <w:lang w:eastAsia="zh-CN"/>
              </w:rPr>
              <w:t>衡阳</w:t>
            </w:r>
            <w:r>
              <w:rPr>
                <w:rFonts w:hint="default"/>
              </w:rPr>
              <w:t>市常见绿化植物，未发现珍稀、濒危植物和古大树等保护物种。项目施工工程完工后，应及时恢复及加强项目周边绿化的建设，不仅应补偿工程施工造成的植被损失，还应选择有利于水土涵养和景观观赏性的树种。</w:t>
            </w:r>
          </w:p>
          <w:p>
            <w:pPr>
              <w:pStyle w:val="22"/>
              <w:bidi w:val="0"/>
              <w:ind w:left="0" w:leftChars="0" w:firstLine="0" w:firstLineChars="0"/>
              <w:rPr>
                <w:rFonts w:hint="eastAsia"/>
                <w:b/>
                <w:bCs/>
                <w:lang w:val="en-US" w:eastAsia="zh-CN"/>
              </w:rPr>
            </w:pPr>
            <w:r>
              <w:rPr>
                <w:rFonts w:hint="eastAsia"/>
                <w:b/>
                <w:bCs/>
                <w:lang w:val="en-US" w:eastAsia="zh-CN"/>
              </w:rPr>
              <w:t>7、环境风险分析和保护措施</w:t>
            </w:r>
          </w:p>
          <w:p>
            <w:pPr>
              <w:pStyle w:val="22"/>
              <w:bidi w:val="0"/>
              <w:rPr>
                <w:rFonts w:hint="eastAsia"/>
                <w:b w:val="0"/>
                <w:bCs w:val="0"/>
                <w:lang w:val="en-US" w:eastAsia="zh-CN"/>
              </w:rPr>
            </w:pPr>
            <w:r>
              <w:rPr>
                <w:rFonts w:hint="eastAsia"/>
                <w:b w:val="0"/>
                <w:bCs w:val="0"/>
                <w:lang w:val="en-US" w:eastAsia="zh-CN"/>
              </w:rPr>
              <w:t>（1）评价依据</w:t>
            </w:r>
          </w:p>
          <w:p>
            <w:pPr>
              <w:pStyle w:val="22"/>
              <w:bidi w:val="0"/>
              <w:rPr>
                <w:rFonts w:hint="eastAsia"/>
                <w:lang w:val="en-US" w:eastAsia="zh-CN"/>
              </w:rPr>
            </w:pPr>
            <w:r>
              <w:rPr>
                <w:rFonts w:hint="eastAsia"/>
                <w:lang w:val="en-US" w:eastAsia="zh-CN"/>
              </w:rPr>
              <w:t>①风险调查</w:t>
            </w:r>
          </w:p>
          <w:p>
            <w:pPr>
              <w:pStyle w:val="22"/>
              <w:bidi w:val="0"/>
              <w:rPr>
                <w:rFonts w:hint="eastAsia"/>
                <w:lang w:val="en-US" w:eastAsia="zh-CN"/>
              </w:rPr>
            </w:pPr>
            <w:r>
              <w:rPr>
                <w:rFonts w:hint="eastAsia"/>
                <w:lang w:val="en-US" w:eastAsia="zh-CN"/>
              </w:rPr>
              <w:t>根据《建设项目环境风险评价技术导则》（HJ 169-2018）及其附录B，本项目使用的柴油、润滑油、次氯酸钠属于（HJ 169-2018）附录B.1列示的突发环境事件风险物质。</w:t>
            </w:r>
          </w:p>
          <w:p>
            <w:pPr>
              <w:pStyle w:val="22"/>
              <w:bidi w:val="0"/>
              <w:rPr>
                <w:rFonts w:hint="eastAsia"/>
                <w:lang w:val="en-US" w:eastAsia="zh-CN"/>
              </w:rPr>
            </w:pPr>
            <w:r>
              <w:rPr>
                <w:rFonts w:hint="eastAsia"/>
                <w:lang w:val="en-US" w:eastAsia="zh-CN"/>
              </w:rPr>
              <w:t>②评价等级</w:t>
            </w:r>
          </w:p>
          <w:p>
            <w:pPr>
              <w:pStyle w:val="22"/>
              <w:numPr>
                <w:ilvl w:val="0"/>
                <w:numId w:val="13"/>
              </w:numPr>
              <w:bidi w:val="0"/>
              <w:rPr>
                <w:rFonts w:hint="eastAsia"/>
                <w:lang w:val="en-US" w:eastAsia="zh-CN"/>
              </w:rPr>
            </w:pPr>
            <w:r>
              <w:rPr>
                <w:rFonts w:hint="eastAsia"/>
                <w:lang w:val="en-US" w:eastAsia="zh-CN"/>
              </w:rPr>
              <w:t>评价等级划分依据</w:t>
            </w:r>
          </w:p>
          <w:p>
            <w:pPr>
              <w:pStyle w:val="22"/>
              <w:bidi w:val="0"/>
              <w:rPr>
                <w:rFonts w:hint="default" w:ascii="Times New Roman" w:hAnsi="Times New Roman" w:cs="Times New Roman"/>
                <w:lang w:val="en-US" w:eastAsia="zh-CN"/>
              </w:rPr>
            </w:pPr>
            <w:r>
              <w:rPr>
                <w:rFonts w:hint="default" w:ascii="Times New Roman" w:hAnsi="Times New Roman" w:cs="Times New Roman"/>
                <w:lang w:val="en-US" w:eastAsia="zh-CN"/>
              </w:rPr>
              <w:t>环境风险评价工作等级划分为一级、二级、三级，根据建设项目涉及的物质及工艺系统危险性和所在地的环境敏感性确定环境风险潜势，按照下表确定评价工作等级。风险潜势为Ⅵ及以上，进行一级评价；风险潜势为Ⅲ，进行二级评价；风险潜势为Ⅱ，进行三级评价；风险潜势为Ⅰ，可开展简单分析。</w:t>
            </w:r>
          </w:p>
          <w:p>
            <w:pPr>
              <w:pStyle w:val="18"/>
              <w:bidi w:val="0"/>
              <w:rPr>
                <w:rFonts w:hint="eastAsia"/>
                <w:lang w:val="en-US" w:eastAsia="zh-CN"/>
              </w:rPr>
            </w:pPr>
            <w:r>
              <w:rPr>
                <w:rFonts w:hint="eastAsia"/>
                <w:lang w:val="en-US" w:eastAsia="zh-CN"/>
              </w:rPr>
              <w:t>表31 评价工作等级划分</w:t>
            </w:r>
          </w:p>
          <w:tbl>
            <w:tblPr>
              <w:tblStyle w:val="15"/>
              <w:tblW w:w="843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87"/>
              <w:gridCol w:w="1688"/>
              <w:gridCol w:w="1688"/>
              <w:gridCol w:w="1688"/>
              <w:gridCol w:w="168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6" w:hRule="atLeast"/>
                <w:jc w:val="center"/>
              </w:trPr>
              <w:tc>
                <w:tcPr>
                  <w:tcW w:w="1687"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9"/>
                    <w:bidi w:val="0"/>
                    <w:rPr>
                      <w:rFonts w:hint="default"/>
                      <w:lang w:val="en-US" w:eastAsia="zh-CN"/>
                    </w:rPr>
                  </w:pPr>
                  <w:r>
                    <w:rPr>
                      <w:rFonts w:hint="default"/>
                      <w:lang w:val="en-US" w:eastAsia="zh-CN"/>
                    </w:rPr>
                    <w:t>环境风险潜势</w:t>
                  </w:r>
                </w:p>
              </w:tc>
              <w:tc>
                <w:tcPr>
                  <w:tcW w:w="1688"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9"/>
                    <w:bidi w:val="0"/>
                    <w:rPr>
                      <w:rFonts w:hint="default"/>
                      <w:lang w:val="en-US" w:eastAsia="zh-CN"/>
                    </w:rPr>
                  </w:pPr>
                  <w:r>
                    <w:rPr>
                      <w:rFonts w:hint="default"/>
                      <w:lang w:val="en-US" w:eastAsia="zh-CN"/>
                    </w:rPr>
                    <w:t>Ⅵ、Ⅵ+</w:t>
                  </w:r>
                </w:p>
              </w:tc>
              <w:tc>
                <w:tcPr>
                  <w:tcW w:w="1688"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9"/>
                    <w:bidi w:val="0"/>
                    <w:rPr>
                      <w:rFonts w:hint="default"/>
                      <w:lang w:val="en-US" w:eastAsia="zh-CN"/>
                    </w:rPr>
                  </w:pPr>
                  <w:r>
                    <w:rPr>
                      <w:rFonts w:hint="default"/>
                      <w:lang w:val="en-US" w:eastAsia="zh-CN"/>
                    </w:rPr>
                    <w:t>Ⅲ</w:t>
                  </w:r>
                </w:p>
              </w:tc>
              <w:tc>
                <w:tcPr>
                  <w:tcW w:w="1688"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9"/>
                    <w:bidi w:val="0"/>
                    <w:rPr>
                      <w:rFonts w:hint="default"/>
                      <w:lang w:val="en-US" w:eastAsia="zh-CN"/>
                    </w:rPr>
                  </w:pPr>
                  <w:r>
                    <w:rPr>
                      <w:rFonts w:hint="default"/>
                      <w:lang w:val="en-US" w:eastAsia="zh-CN"/>
                    </w:rPr>
                    <w:t>Ⅱ</w:t>
                  </w:r>
                </w:p>
              </w:tc>
              <w:tc>
                <w:tcPr>
                  <w:tcW w:w="1688"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9"/>
                    <w:bidi w:val="0"/>
                    <w:rPr>
                      <w:rFonts w:hint="default"/>
                      <w:lang w:val="en-US" w:eastAsia="zh-CN"/>
                    </w:rPr>
                  </w:pPr>
                  <w:r>
                    <w:rPr>
                      <w:rFonts w:hint="default"/>
                      <w:lang w:val="en-US" w:eastAsia="zh-CN"/>
                    </w:rPr>
                    <w:t>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687"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9"/>
                    <w:bidi w:val="0"/>
                    <w:rPr>
                      <w:rFonts w:hint="default"/>
                      <w:lang w:val="en-US" w:eastAsia="zh-CN"/>
                    </w:rPr>
                  </w:pPr>
                  <w:r>
                    <w:rPr>
                      <w:rFonts w:hint="default"/>
                      <w:lang w:val="en-US" w:eastAsia="zh-CN"/>
                    </w:rPr>
                    <w:t>评价工作等级</w:t>
                  </w:r>
                </w:p>
              </w:tc>
              <w:tc>
                <w:tcPr>
                  <w:tcW w:w="1688"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9"/>
                    <w:bidi w:val="0"/>
                    <w:rPr>
                      <w:rFonts w:hint="default"/>
                      <w:lang w:val="en-US" w:eastAsia="zh-CN"/>
                    </w:rPr>
                  </w:pPr>
                  <w:r>
                    <w:rPr>
                      <w:rFonts w:hint="default"/>
                      <w:lang w:val="en-US" w:eastAsia="zh-CN"/>
                    </w:rPr>
                    <w:t>一</w:t>
                  </w:r>
                </w:p>
              </w:tc>
              <w:tc>
                <w:tcPr>
                  <w:tcW w:w="1688"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9"/>
                    <w:bidi w:val="0"/>
                    <w:rPr>
                      <w:rFonts w:hint="default"/>
                      <w:lang w:val="en-US" w:eastAsia="zh-CN"/>
                    </w:rPr>
                  </w:pPr>
                  <w:r>
                    <w:rPr>
                      <w:rFonts w:hint="default"/>
                      <w:lang w:val="en-US" w:eastAsia="zh-CN"/>
                    </w:rPr>
                    <w:t>二</w:t>
                  </w:r>
                </w:p>
              </w:tc>
              <w:tc>
                <w:tcPr>
                  <w:tcW w:w="1688"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9"/>
                    <w:bidi w:val="0"/>
                    <w:rPr>
                      <w:rFonts w:hint="default"/>
                      <w:lang w:val="en-US" w:eastAsia="zh-CN"/>
                    </w:rPr>
                  </w:pPr>
                  <w:r>
                    <w:rPr>
                      <w:rFonts w:hint="default"/>
                      <w:lang w:val="en-US" w:eastAsia="zh-CN"/>
                    </w:rPr>
                    <w:t>三</w:t>
                  </w:r>
                </w:p>
              </w:tc>
              <w:tc>
                <w:tcPr>
                  <w:tcW w:w="1688"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9"/>
                    <w:bidi w:val="0"/>
                    <w:rPr>
                      <w:rFonts w:hint="default"/>
                      <w:lang w:val="en-US" w:eastAsia="zh-CN"/>
                    </w:rPr>
                  </w:pPr>
                  <w:r>
                    <w:rPr>
                      <w:rFonts w:hint="default"/>
                      <w:lang w:val="en-US" w:eastAsia="zh-CN"/>
                    </w:rPr>
                    <w:t>简单分析 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4" w:hRule="atLeast"/>
                <w:jc w:val="center"/>
              </w:trPr>
              <w:tc>
                <w:tcPr>
                  <w:tcW w:w="8439" w:type="dxa"/>
                  <w:gridSpan w:val="5"/>
                  <w:tcBorders>
                    <w:top w:val="single" w:color="000000" w:sz="4" w:space="0"/>
                    <w:left w:val="single" w:color="000000" w:sz="4" w:space="0"/>
                    <w:bottom w:val="single" w:color="000000" w:sz="4" w:space="0"/>
                    <w:right w:val="single" w:color="000000" w:sz="4" w:space="0"/>
                    <w:tl2br w:val="nil"/>
                    <w:tr2bl w:val="nil"/>
                  </w:tcBorders>
                  <w:noWrap w:val="0"/>
                  <w:vAlign w:val="top"/>
                </w:tcPr>
                <w:p>
                  <w:pPr>
                    <w:pStyle w:val="19"/>
                    <w:bidi w:val="0"/>
                    <w:jc w:val="left"/>
                    <w:rPr>
                      <w:rFonts w:hint="default" w:ascii="Times New Roman" w:hAnsi="Times New Roman" w:cs="Times New Roman"/>
                      <w:lang w:val="en-US" w:eastAsia="zh-CN"/>
                    </w:rPr>
                  </w:pPr>
                  <w:r>
                    <w:rPr>
                      <w:rFonts w:hint="eastAsia"/>
                      <w:lang w:val="en-US" w:eastAsia="zh-CN"/>
                    </w:rPr>
                    <w:t>注：</w:t>
                  </w:r>
                  <w:r>
                    <w:rPr>
                      <w:rFonts w:hint="default"/>
                      <w:lang w:val="en-US" w:eastAsia="zh-CN"/>
                    </w:rPr>
                    <w:t>a 是相对于详细评价工作内容而言，在描述危险物质、环境影响途径、环境危害后果、风险防范措施等方面给出定性的说明。</w:t>
                  </w:r>
                </w:p>
              </w:tc>
            </w:tr>
          </w:tbl>
          <w:p>
            <w:pPr>
              <w:pStyle w:val="22"/>
              <w:bidi w:val="0"/>
              <w:rPr>
                <w:rFonts w:hint="eastAsia"/>
                <w:lang w:val="en-US" w:eastAsia="zh-CN"/>
              </w:rPr>
            </w:pPr>
            <w:r>
              <w:rPr>
                <w:rFonts w:hint="eastAsia"/>
                <w:lang w:val="en-US" w:eastAsia="zh-CN"/>
              </w:rPr>
              <w:t>根据建设项目涉及的物质及工艺系统的危险性和所在地的环境敏感程度，确定项目潜在环境危险程度进行概化分析，按照下表确定环境风险潜势。</w:t>
            </w:r>
          </w:p>
          <w:p>
            <w:pPr>
              <w:pStyle w:val="18"/>
              <w:bidi w:val="0"/>
              <w:rPr>
                <w:rFonts w:hint="default"/>
              </w:rPr>
            </w:pPr>
            <w:r>
              <w:rPr>
                <w:rFonts w:hint="default"/>
              </w:rPr>
              <w:t>表</w:t>
            </w:r>
            <w:r>
              <w:rPr>
                <w:rFonts w:hint="eastAsia"/>
                <w:lang w:val="en-US" w:eastAsia="zh-CN"/>
              </w:rPr>
              <w:t xml:space="preserve">32 </w:t>
            </w:r>
            <w:r>
              <w:rPr>
                <w:rFonts w:hint="default"/>
              </w:rPr>
              <w:t>建设项目环境风险潜势划分</w:t>
            </w:r>
          </w:p>
          <w:tbl>
            <w:tblPr>
              <w:tblStyle w:val="15"/>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172"/>
              <w:gridCol w:w="1439"/>
              <w:gridCol w:w="1580"/>
              <w:gridCol w:w="1673"/>
              <w:gridCol w:w="153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2172" w:type="dxa"/>
                  <w:vMerge w:val="restart"/>
                  <w:tcBorders>
                    <w:tl2br w:val="nil"/>
                    <w:tr2bl w:val="nil"/>
                  </w:tcBorders>
                  <w:noWrap w:val="0"/>
                  <w:vAlign w:val="center"/>
                </w:tcPr>
                <w:p>
                  <w:pPr>
                    <w:pStyle w:val="19"/>
                    <w:bidi w:val="0"/>
                    <w:rPr>
                      <w:rFonts w:hint="default"/>
                    </w:rPr>
                  </w:pPr>
                  <w:r>
                    <w:rPr>
                      <w:rFonts w:hint="default"/>
                    </w:rPr>
                    <w:t>环境敏感度（E）</w:t>
                  </w:r>
                </w:p>
              </w:tc>
              <w:tc>
                <w:tcPr>
                  <w:tcW w:w="6227" w:type="dxa"/>
                  <w:gridSpan w:val="4"/>
                  <w:tcBorders>
                    <w:tl2br w:val="nil"/>
                    <w:tr2bl w:val="nil"/>
                  </w:tcBorders>
                  <w:noWrap w:val="0"/>
                  <w:vAlign w:val="center"/>
                </w:tcPr>
                <w:p>
                  <w:pPr>
                    <w:pStyle w:val="19"/>
                    <w:bidi w:val="0"/>
                    <w:rPr>
                      <w:rFonts w:hint="default"/>
                    </w:rPr>
                  </w:pPr>
                  <w:r>
                    <w:rPr>
                      <w:rFonts w:hint="default"/>
                    </w:rPr>
                    <w:t>危险物质及工艺系统危险性（P）</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9" w:hRule="atLeast"/>
                <w:jc w:val="center"/>
              </w:trPr>
              <w:tc>
                <w:tcPr>
                  <w:tcW w:w="2172" w:type="dxa"/>
                  <w:vMerge w:val="continue"/>
                  <w:tcBorders>
                    <w:tl2br w:val="nil"/>
                    <w:tr2bl w:val="nil"/>
                  </w:tcBorders>
                  <w:noWrap w:val="0"/>
                  <w:vAlign w:val="center"/>
                </w:tcPr>
                <w:p>
                  <w:pPr>
                    <w:pStyle w:val="19"/>
                    <w:bidi w:val="0"/>
                    <w:rPr>
                      <w:rFonts w:hint="default"/>
                    </w:rPr>
                  </w:pPr>
                </w:p>
              </w:tc>
              <w:tc>
                <w:tcPr>
                  <w:tcW w:w="1439" w:type="dxa"/>
                  <w:tcBorders>
                    <w:tl2br w:val="nil"/>
                    <w:tr2bl w:val="nil"/>
                  </w:tcBorders>
                  <w:noWrap w:val="0"/>
                  <w:vAlign w:val="center"/>
                </w:tcPr>
                <w:p>
                  <w:pPr>
                    <w:pStyle w:val="19"/>
                    <w:bidi w:val="0"/>
                    <w:rPr>
                      <w:rFonts w:hint="eastAsia"/>
                      <w:lang w:eastAsia="zh-CN"/>
                    </w:rPr>
                  </w:pPr>
                  <w:r>
                    <w:rPr>
                      <w:rFonts w:hint="default"/>
                    </w:rPr>
                    <w:t>极高危害（P1</w:t>
                  </w:r>
                  <w:r>
                    <w:rPr>
                      <w:rFonts w:hint="eastAsia"/>
                      <w:lang w:eastAsia="zh-CN"/>
                    </w:rPr>
                    <w:t>）</w:t>
                  </w:r>
                </w:p>
              </w:tc>
              <w:tc>
                <w:tcPr>
                  <w:tcW w:w="1580" w:type="dxa"/>
                  <w:tcBorders>
                    <w:tl2br w:val="nil"/>
                    <w:tr2bl w:val="nil"/>
                  </w:tcBorders>
                  <w:noWrap w:val="0"/>
                  <w:vAlign w:val="center"/>
                </w:tcPr>
                <w:p>
                  <w:pPr>
                    <w:pStyle w:val="19"/>
                    <w:bidi w:val="0"/>
                    <w:rPr>
                      <w:rFonts w:hint="default"/>
                    </w:rPr>
                  </w:pPr>
                  <w:r>
                    <w:rPr>
                      <w:rFonts w:hint="default"/>
                    </w:rPr>
                    <w:t>高度危害（P2）</w:t>
                  </w:r>
                </w:p>
              </w:tc>
              <w:tc>
                <w:tcPr>
                  <w:tcW w:w="1673" w:type="dxa"/>
                  <w:tcBorders>
                    <w:tl2br w:val="nil"/>
                    <w:tr2bl w:val="nil"/>
                  </w:tcBorders>
                  <w:noWrap w:val="0"/>
                  <w:vAlign w:val="center"/>
                </w:tcPr>
                <w:p>
                  <w:pPr>
                    <w:pStyle w:val="19"/>
                    <w:bidi w:val="0"/>
                    <w:rPr>
                      <w:rFonts w:hint="default"/>
                    </w:rPr>
                  </w:pPr>
                  <w:r>
                    <w:rPr>
                      <w:rFonts w:hint="default"/>
                    </w:rPr>
                    <w:t>中度危害（P3）</w:t>
                  </w:r>
                </w:p>
              </w:tc>
              <w:tc>
                <w:tcPr>
                  <w:tcW w:w="1535" w:type="dxa"/>
                  <w:tcBorders>
                    <w:tl2br w:val="nil"/>
                    <w:tr2bl w:val="nil"/>
                  </w:tcBorders>
                  <w:noWrap w:val="0"/>
                  <w:vAlign w:val="center"/>
                </w:tcPr>
                <w:p>
                  <w:pPr>
                    <w:pStyle w:val="19"/>
                    <w:bidi w:val="0"/>
                    <w:rPr>
                      <w:rFonts w:hint="default"/>
                    </w:rPr>
                  </w:pPr>
                  <w:r>
                    <w:rPr>
                      <w:rFonts w:hint="default"/>
                    </w:rPr>
                    <w:t>轻度危害（P4）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0" w:hRule="atLeast"/>
                <w:jc w:val="center"/>
              </w:trPr>
              <w:tc>
                <w:tcPr>
                  <w:tcW w:w="2172" w:type="dxa"/>
                  <w:tcBorders>
                    <w:tl2br w:val="nil"/>
                    <w:tr2bl w:val="nil"/>
                  </w:tcBorders>
                  <w:noWrap w:val="0"/>
                  <w:vAlign w:val="center"/>
                </w:tcPr>
                <w:p>
                  <w:pPr>
                    <w:pStyle w:val="19"/>
                    <w:bidi w:val="0"/>
                    <w:rPr>
                      <w:rFonts w:hint="default"/>
                    </w:rPr>
                  </w:pPr>
                  <w:r>
                    <w:rPr>
                      <w:rFonts w:hint="default"/>
                    </w:rPr>
                    <w:t>环境高度敏感区（E1）</w:t>
                  </w:r>
                </w:p>
              </w:tc>
              <w:tc>
                <w:tcPr>
                  <w:tcW w:w="1439" w:type="dxa"/>
                  <w:tcBorders>
                    <w:tl2br w:val="nil"/>
                    <w:tr2bl w:val="nil"/>
                  </w:tcBorders>
                  <w:noWrap w:val="0"/>
                  <w:vAlign w:val="center"/>
                </w:tcPr>
                <w:p>
                  <w:pPr>
                    <w:pStyle w:val="19"/>
                    <w:bidi w:val="0"/>
                    <w:rPr>
                      <w:rFonts w:hint="default"/>
                    </w:rPr>
                  </w:pPr>
                  <w:r>
                    <w:rPr>
                      <w:rFonts w:hint="default"/>
                    </w:rPr>
                    <w:t>IV+</w:t>
                  </w:r>
                </w:p>
              </w:tc>
              <w:tc>
                <w:tcPr>
                  <w:tcW w:w="1580" w:type="dxa"/>
                  <w:tcBorders>
                    <w:tl2br w:val="nil"/>
                    <w:tr2bl w:val="nil"/>
                  </w:tcBorders>
                  <w:noWrap w:val="0"/>
                  <w:vAlign w:val="center"/>
                </w:tcPr>
                <w:p>
                  <w:pPr>
                    <w:pStyle w:val="19"/>
                    <w:bidi w:val="0"/>
                    <w:rPr>
                      <w:rFonts w:hint="default"/>
                    </w:rPr>
                  </w:pPr>
                  <w:r>
                    <w:rPr>
                      <w:rFonts w:hint="default"/>
                    </w:rPr>
                    <w:t>IV</w:t>
                  </w:r>
                </w:p>
              </w:tc>
              <w:tc>
                <w:tcPr>
                  <w:tcW w:w="1673" w:type="dxa"/>
                  <w:tcBorders>
                    <w:tl2br w:val="nil"/>
                    <w:tr2bl w:val="nil"/>
                  </w:tcBorders>
                  <w:noWrap w:val="0"/>
                  <w:vAlign w:val="center"/>
                </w:tcPr>
                <w:p>
                  <w:pPr>
                    <w:pStyle w:val="19"/>
                    <w:bidi w:val="0"/>
                    <w:rPr>
                      <w:rFonts w:hint="default"/>
                    </w:rPr>
                  </w:pPr>
                  <w:r>
                    <w:rPr>
                      <w:rFonts w:hint="default"/>
                    </w:rPr>
                    <w:t>III</w:t>
                  </w:r>
                </w:p>
              </w:tc>
              <w:tc>
                <w:tcPr>
                  <w:tcW w:w="1535" w:type="dxa"/>
                  <w:tcBorders>
                    <w:tl2br w:val="nil"/>
                    <w:tr2bl w:val="nil"/>
                  </w:tcBorders>
                  <w:noWrap w:val="0"/>
                  <w:vAlign w:val="center"/>
                </w:tcPr>
                <w:p>
                  <w:pPr>
                    <w:pStyle w:val="19"/>
                    <w:bidi w:val="0"/>
                    <w:rPr>
                      <w:rFonts w:hint="default"/>
                    </w:rPr>
                  </w:pPr>
                  <w:r>
                    <w:rPr>
                      <w:rFonts w:hint="default"/>
                    </w:rPr>
                    <w:t>III</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0" w:hRule="atLeast"/>
                <w:jc w:val="center"/>
              </w:trPr>
              <w:tc>
                <w:tcPr>
                  <w:tcW w:w="2172" w:type="dxa"/>
                  <w:tcBorders>
                    <w:tl2br w:val="nil"/>
                    <w:tr2bl w:val="nil"/>
                  </w:tcBorders>
                  <w:noWrap w:val="0"/>
                  <w:vAlign w:val="center"/>
                </w:tcPr>
                <w:p>
                  <w:pPr>
                    <w:pStyle w:val="19"/>
                    <w:bidi w:val="0"/>
                    <w:rPr>
                      <w:rFonts w:hint="default"/>
                    </w:rPr>
                  </w:pPr>
                  <w:r>
                    <w:rPr>
                      <w:rFonts w:hint="default"/>
                    </w:rPr>
                    <w:t>环境中度敏感区（E2）</w:t>
                  </w:r>
                </w:p>
              </w:tc>
              <w:tc>
                <w:tcPr>
                  <w:tcW w:w="1439" w:type="dxa"/>
                  <w:tcBorders>
                    <w:tl2br w:val="nil"/>
                    <w:tr2bl w:val="nil"/>
                  </w:tcBorders>
                  <w:noWrap w:val="0"/>
                  <w:vAlign w:val="center"/>
                </w:tcPr>
                <w:p>
                  <w:pPr>
                    <w:pStyle w:val="19"/>
                    <w:bidi w:val="0"/>
                    <w:rPr>
                      <w:rFonts w:hint="default"/>
                    </w:rPr>
                  </w:pPr>
                  <w:r>
                    <w:rPr>
                      <w:rFonts w:hint="default"/>
                    </w:rPr>
                    <w:t>IV</w:t>
                  </w:r>
                </w:p>
              </w:tc>
              <w:tc>
                <w:tcPr>
                  <w:tcW w:w="1580" w:type="dxa"/>
                  <w:tcBorders>
                    <w:tl2br w:val="nil"/>
                    <w:tr2bl w:val="nil"/>
                  </w:tcBorders>
                  <w:noWrap w:val="0"/>
                  <w:vAlign w:val="center"/>
                </w:tcPr>
                <w:p>
                  <w:pPr>
                    <w:pStyle w:val="19"/>
                    <w:bidi w:val="0"/>
                    <w:rPr>
                      <w:rFonts w:hint="default"/>
                    </w:rPr>
                  </w:pPr>
                  <w:r>
                    <w:rPr>
                      <w:rFonts w:hint="default"/>
                    </w:rPr>
                    <w:t>III</w:t>
                  </w:r>
                </w:p>
              </w:tc>
              <w:tc>
                <w:tcPr>
                  <w:tcW w:w="1673" w:type="dxa"/>
                  <w:tcBorders>
                    <w:tl2br w:val="nil"/>
                    <w:tr2bl w:val="nil"/>
                  </w:tcBorders>
                  <w:noWrap w:val="0"/>
                  <w:vAlign w:val="center"/>
                </w:tcPr>
                <w:p>
                  <w:pPr>
                    <w:pStyle w:val="19"/>
                    <w:bidi w:val="0"/>
                    <w:rPr>
                      <w:rFonts w:hint="default"/>
                    </w:rPr>
                  </w:pPr>
                  <w:r>
                    <w:rPr>
                      <w:rFonts w:hint="default"/>
                    </w:rPr>
                    <w:t>III</w:t>
                  </w:r>
                </w:p>
              </w:tc>
              <w:tc>
                <w:tcPr>
                  <w:tcW w:w="1535" w:type="dxa"/>
                  <w:tcBorders>
                    <w:tl2br w:val="nil"/>
                    <w:tr2bl w:val="nil"/>
                  </w:tcBorders>
                  <w:noWrap w:val="0"/>
                  <w:vAlign w:val="center"/>
                </w:tcPr>
                <w:p>
                  <w:pPr>
                    <w:pStyle w:val="19"/>
                    <w:bidi w:val="0"/>
                    <w:rPr>
                      <w:rFonts w:hint="default"/>
                    </w:rPr>
                  </w:pPr>
                  <w:r>
                    <w:rPr>
                      <w:rFonts w:hint="default"/>
                    </w:rPr>
                    <w:t>II</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0" w:hRule="atLeast"/>
                <w:jc w:val="center"/>
              </w:trPr>
              <w:tc>
                <w:tcPr>
                  <w:tcW w:w="2172" w:type="dxa"/>
                  <w:tcBorders>
                    <w:tl2br w:val="nil"/>
                    <w:tr2bl w:val="nil"/>
                  </w:tcBorders>
                  <w:noWrap w:val="0"/>
                  <w:vAlign w:val="center"/>
                </w:tcPr>
                <w:p>
                  <w:pPr>
                    <w:pStyle w:val="19"/>
                    <w:bidi w:val="0"/>
                    <w:rPr>
                      <w:rFonts w:hint="default"/>
                    </w:rPr>
                  </w:pPr>
                  <w:r>
                    <w:rPr>
                      <w:rFonts w:hint="default"/>
                    </w:rPr>
                    <w:t>环境低度敏感区（E3）</w:t>
                  </w:r>
                </w:p>
              </w:tc>
              <w:tc>
                <w:tcPr>
                  <w:tcW w:w="1439" w:type="dxa"/>
                  <w:tcBorders>
                    <w:tl2br w:val="nil"/>
                    <w:tr2bl w:val="nil"/>
                  </w:tcBorders>
                  <w:noWrap w:val="0"/>
                  <w:vAlign w:val="center"/>
                </w:tcPr>
                <w:p>
                  <w:pPr>
                    <w:pStyle w:val="19"/>
                    <w:bidi w:val="0"/>
                    <w:rPr>
                      <w:rFonts w:hint="default"/>
                    </w:rPr>
                  </w:pPr>
                  <w:r>
                    <w:rPr>
                      <w:rFonts w:hint="default"/>
                    </w:rPr>
                    <w:t>III</w:t>
                  </w:r>
                </w:p>
              </w:tc>
              <w:tc>
                <w:tcPr>
                  <w:tcW w:w="1580" w:type="dxa"/>
                  <w:tcBorders>
                    <w:tl2br w:val="nil"/>
                    <w:tr2bl w:val="nil"/>
                  </w:tcBorders>
                  <w:noWrap w:val="0"/>
                  <w:vAlign w:val="center"/>
                </w:tcPr>
                <w:p>
                  <w:pPr>
                    <w:pStyle w:val="19"/>
                    <w:bidi w:val="0"/>
                    <w:rPr>
                      <w:rFonts w:hint="default"/>
                    </w:rPr>
                  </w:pPr>
                  <w:r>
                    <w:rPr>
                      <w:rFonts w:hint="default"/>
                    </w:rPr>
                    <w:t>III</w:t>
                  </w:r>
                </w:p>
              </w:tc>
              <w:tc>
                <w:tcPr>
                  <w:tcW w:w="1673" w:type="dxa"/>
                  <w:tcBorders>
                    <w:tl2br w:val="nil"/>
                    <w:tr2bl w:val="nil"/>
                  </w:tcBorders>
                  <w:noWrap w:val="0"/>
                  <w:vAlign w:val="center"/>
                </w:tcPr>
                <w:p>
                  <w:pPr>
                    <w:pStyle w:val="19"/>
                    <w:bidi w:val="0"/>
                    <w:rPr>
                      <w:rFonts w:hint="default"/>
                    </w:rPr>
                  </w:pPr>
                  <w:r>
                    <w:rPr>
                      <w:rFonts w:hint="default"/>
                    </w:rPr>
                    <w:t>II</w:t>
                  </w:r>
                </w:p>
              </w:tc>
              <w:tc>
                <w:tcPr>
                  <w:tcW w:w="1535" w:type="dxa"/>
                  <w:tcBorders>
                    <w:tl2br w:val="nil"/>
                    <w:tr2bl w:val="nil"/>
                  </w:tcBorders>
                  <w:noWrap w:val="0"/>
                  <w:vAlign w:val="center"/>
                </w:tcPr>
                <w:p>
                  <w:pPr>
                    <w:pStyle w:val="19"/>
                    <w:bidi w:val="0"/>
                    <w:rPr>
                      <w:rFonts w:hint="default"/>
                    </w:rPr>
                  </w:pPr>
                  <w:r>
                    <w:rPr>
                      <w:rFonts w:hint="default"/>
                    </w:rPr>
                    <w:t>I</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jc w:val="center"/>
              </w:trPr>
              <w:tc>
                <w:tcPr>
                  <w:tcW w:w="8399" w:type="dxa"/>
                  <w:gridSpan w:val="5"/>
                  <w:tcBorders>
                    <w:tl2br w:val="nil"/>
                    <w:tr2bl w:val="nil"/>
                  </w:tcBorders>
                  <w:noWrap w:val="0"/>
                  <w:vAlign w:val="center"/>
                </w:tcPr>
                <w:p>
                  <w:pPr>
                    <w:pStyle w:val="19"/>
                    <w:bidi w:val="0"/>
                    <w:rPr>
                      <w:rFonts w:hint="default"/>
                    </w:rPr>
                  </w:pPr>
                  <w:r>
                    <w:rPr>
                      <w:rFonts w:hint="default"/>
                    </w:rPr>
                    <w:t>注：IV+为极高环境风险。</w:t>
                  </w:r>
                </w:p>
              </w:tc>
            </w:tr>
          </w:tbl>
          <w:p>
            <w:pPr>
              <w:pStyle w:val="22"/>
              <w:bidi w:val="0"/>
              <w:rPr>
                <w:rFonts w:hint="default"/>
              </w:rPr>
            </w:pPr>
            <w:r>
              <w:rPr>
                <w:rFonts w:hint="eastAsia"/>
                <w:lang w:val="en-US" w:eastAsia="zh-CN"/>
              </w:rPr>
              <w:t>B.</w:t>
            </w:r>
            <w:r>
              <w:rPr>
                <w:rFonts w:hint="default"/>
              </w:rPr>
              <w:t>评价等级确定</w:t>
            </w:r>
          </w:p>
          <w:p>
            <w:pPr>
              <w:pStyle w:val="22"/>
              <w:bidi w:val="0"/>
              <w:rPr>
                <w:rFonts w:hint="default"/>
              </w:rPr>
            </w:pPr>
            <w:r>
              <w:rPr>
                <w:rFonts w:hint="default"/>
              </w:rPr>
              <w:t>项目涉及环境风险的物质为柴油、润滑油、次氯酸钠，按下式</w:t>
            </w:r>
            <w:r>
              <w:rPr>
                <w:rFonts w:hint="eastAsia"/>
                <w:lang w:eastAsia="zh-CN"/>
              </w:rPr>
              <w:t>计算</w:t>
            </w:r>
            <w:r>
              <w:rPr>
                <w:rFonts w:hint="default"/>
              </w:rPr>
              <w:t>Q值。</w:t>
            </w:r>
          </w:p>
          <w:p>
            <w:pPr>
              <w:pStyle w:val="22"/>
              <w:bidi w:val="0"/>
              <w:rPr>
                <w:rFonts w:hint="default"/>
              </w:rPr>
            </w:pPr>
            <w:r>
              <w:rPr>
                <w:rFonts w:hint="default"/>
              </w:rPr>
              <w:t>Q =q1/Q1+q2/Q2+q3/Q3</w:t>
            </w:r>
          </w:p>
          <w:p>
            <w:pPr>
              <w:pStyle w:val="22"/>
              <w:bidi w:val="0"/>
              <w:rPr>
                <w:rFonts w:hint="default"/>
              </w:rPr>
            </w:pPr>
            <w:r>
              <w:rPr>
                <w:rFonts w:hint="default"/>
              </w:rPr>
              <w:t>式中：q1，q2，q3为每种危险物质实际存在量，t。</w:t>
            </w:r>
          </w:p>
          <w:p>
            <w:pPr>
              <w:pStyle w:val="22"/>
              <w:bidi w:val="0"/>
              <w:rPr>
                <w:rFonts w:hint="default"/>
              </w:rPr>
            </w:pPr>
            <w:r>
              <w:rPr>
                <w:rFonts w:hint="default"/>
              </w:rPr>
              <w:t>Q1，Q2，Q3为与各危险物质相对应的生产场所或贮存区的临界量，t。</w:t>
            </w:r>
          </w:p>
          <w:p>
            <w:pPr>
              <w:pStyle w:val="22"/>
              <w:bidi w:val="0"/>
              <w:rPr>
                <w:rFonts w:hint="default"/>
              </w:rPr>
            </w:pPr>
            <w:r>
              <w:rPr>
                <w:rFonts w:hint="default"/>
              </w:rPr>
              <w:t>本项目主要危险物质为柴油、润滑油、次氯酸钠，Q 值计算见下表。</w:t>
            </w:r>
          </w:p>
          <w:p>
            <w:pPr>
              <w:pStyle w:val="18"/>
              <w:bidi w:val="0"/>
              <w:rPr>
                <w:rFonts w:hint="default"/>
              </w:rPr>
            </w:pPr>
            <w:r>
              <w:rPr>
                <w:rFonts w:hint="default"/>
              </w:rPr>
              <w:t>表</w:t>
            </w:r>
            <w:r>
              <w:rPr>
                <w:rFonts w:hint="eastAsia"/>
                <w:lang w:val="en-US" w:eastAsia="zh-CN"/>
              </w:rPr>
              <w:t xml:space="preserve">33 </w:t>
            </w:r>
            <w:r>
              <w:rPr>
                <w:rFonts w:hint="default"/>
              </w:rPr>
              <w:t>项目涉及环境风险物质的Q值计算</w:t>
            </w:r>
          </w:p>
          <w:tbl>
            <w:tblPr>
              <w:tblStyle w:val="15"/>
              <w:tblW w:w="845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81"/>
              <w:gridCol w:w="1555"/>
              <w:gridCol w:w="1495"/>
              <w:gridCol w:w="362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atLeast"/>
                <w:jc w:val="center"/>
              </w:trPr>
              <w:tc>
                <w:tcPr>
                  <w:tcW w:w="1781" w:type="dxa"/>
                  <w:tcBorders>
                    <w:tl2br w:val="nil"/>
                    <w:tr2bl w:val="nil"/>
                  </w:tcBorders>
                  <w:noWrap w:val="0"/>
                  <w:vAlign w:val="center"/>
                </w:tcPr>
                <w:p>
                  <w:pPr>
                    <w:pStyle w:val="19"/>
                    <w:bidi w:val="0"/>
                    <w:rPr>
                      <w:rFonts w:hint="default"/>
                    </w:rPr>
                  </w:pPr>
                  <w:r>
                    <w:rPr>
                      <w:rFonts w:hint="default"/>
                    </w:rPr>
                    <w:t>名称</w:t>
                  </w:r>
                </w:p>
              </w:tc>
              <w:tc>
                <w:tcPr>
                  <w:tcW w:w="1555" w:type="dxa"/>
                  <w:tcBorders>
                    <w:tl2br w:val="nil"/>
                    <w:tr2bl w:val="nil"/>
                  </w:tcBorders>
                  <w:noWrap w:val="0"/>
                  <w:vAlign w:val="center"/>
                </w:tcPr>
                <w:p>
                  <w:pPr>
                    <w:pStyle w:val="19"/>
                    <w:bidi w:val="0"/>
                    <w:rPr>
                      <w:rFonts w:hint="default"/>
                    </w:rPr>
                  </w:pPr>
                  <w:r>
                    <w:rPr>
                      <w:rFonts w:hint="default"/>
                    </w:rPr>
                    <w:t>最大储存量（t）</w:t>
                  </w:r>
                </w:p>
              </w:tc>
              <w:tc>
                <w:tcPr>
                  <w:tcW w:w="1495" w:type="dxa"/>
                  <w:tcBorders>
                    <w:tl2br w:val="nil"/>
                    <w:tr2bl w:val="nil"/>
                  </w:tcBorders>
                  <w:noWrap w:val="0"/>
                  <w:vAlign w:val="center"/>
                </w:tcPr>
                <w:p>
                  <w:pPr>
                    <w:pStyle w:val="19"/>
                    <w:bidi w:val="0"/>
                    <w:rPr>
                      <w:rFonts w:hint="default"/>
                    </w:rPr>
                  </w:pPr>
                  <w:r>
                    <w:rPr>
                      <w:rFonts w:hint="eastAsia"/>
                      <w:lang w:val="en-US" w:eastAsia="zh-CN"/>
                    </w:rPr>
                    <w:t xml:space="preserve"> </w:t>
                  </w:r>
                  <w:r>
                    <w:rPr>
                      <w:rFonts w:hint="default"/>
                    </w:rPr>
                    <w:t>临界量（t）</w:t>
                  </w:r>
                </w:p>
              </w:tc>
              <w:tc>
                <w:tcPr>
                  <w:tcW w:w="3627" w:type="dxa"/>
                  <w:tcBorders>
                    <w:tl2br w:val="nil"/>
                    <w:tr2bl w:val="nil"/>
                  </w:tcBorders>
                  <w:noWrap w:val="0"/>
                  <w:vAlign w:val="center"/>
                </w:tcPr>
                <w:p>
                  <w:pPr>
                    <w:pStyle w:val="19"/>
                    <w:bidi w:val="0"/>
                    <w:rPr>
                      <w:rFonts w:hint="default"/>
                    </w:rPr>
                  </w:pPr>
                  <w:r>
                    <w:rPr>
                      <w:rFonts w:hint="default"/>
                    </w:rPr>
                    <w:t>最大储存量与临界量的比值（qi/Qi）</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4" w:hRule="atLeast"/>
                <w:jc w:val="center"/>
              </w:trPr>
              <w:tc>
                <w:tcPr>
                  <w:tcW w:w="1781" w:type="dxa"/>
                  <w:tcBorders>
                    <w:tl2br w:val="nil"/>
                    <w:tr2bl w:val="nil"/>
                  </w:tcBorders>
                  <w:noWrap w:val="0"/>
                  <w:vAlign w:val="center"/>
                </w:tcPr>
                <w:p>
                  <w:pPr>
                    <w:pStyle w:val="19"/>
                    <w:bidi w:val="0"/>
                    <w:rPr>
                      <w:rFonts w:hint="default"/>
                    </w:rPr>
                  </w:pPr>
                  <w:r>
                    <w:rPr>
                      <w:rFonts w:hint="default"/>
                    </w:rPr>
                    <w:t>柴油</w:t>
                  </w:r>
                </w:p>
              </w:tc>
              <w:tc>
                <w:tcPr>
                  <w:tcW w:w="1555" w:type="dxa"/>
                  <w:tcBorders>
                    <w:tl2br w:val="nil"/>
                    <w:tr2bl w:val="nil"/>
                  </w:tcBorders>
                  <w:noWrap w:val="0"/>
                  <w:vAlign w:val="center"/>
                </w:tcPr>
                <w:p>
                  <w:pPr>
                    <w:pStyle w:val="19"/>
                    <w:bidi w:val="0"/>
                    <w:rPr>
                      <w:rFonts w:hint="default"/>
                    </w:rPr>
                  </w:pPr>
                  <w:r>
                    <w:rPr>
                      <w:rFonts w:hint="default"/>
                    </w:rPr>
                    <w:t>1</w:t>
                  </w:r>
                </w:p>
              </w:tc>
              <w:tc>
                <w:tcPr>
                  <w:tcW w:w="1495" w:type="dxa"/>
                  <w:tcBorders>
                    <w:tl2br w:val="nil"/>
                    <w:tr2bl w:val="nil"/>
                  </w:tcBorders>
                  <w:noWrap w:val="0"/>
                  <w:vAlign w:val="center"/>
                </w:tcPr>
                <w:p>
                  <w:pPr>
                    <w:pStyle w:val="19"/>
                    <w:bidi w:val="0"/>
                    <w:rPr>
                      <w:rFonts w:hint="default"/>
                    </w:rPr>
                  </w:pPr>
                  <w:r>
                    <w:rPr>
                      <w:rFonts w:hint="default"/>
                    </w:rPr>
                    <w:t>2500</w:t>
                  </w:r>
                </w:p>
              </w:tc>
              <w:tc>
                <w:tcPr>
                  <w:tcW w:w="3627" w:type="dxa"/>
                  <w:tcBorders>
                    <w:tl2br w:val="nil"/>
                    <w:tr2bl w:val="nil"/>
                  </w:tcBorders>
                  <w:noWrap w:val="0"/>
                  <w:vAlign w:val="center"/>
                </w:tcPr>
                <w:p>
                  <w:pPr>
                    <w:pStyle w:val="19"/>
                    <w:bidi w:val="0"/>
                    <w:rPr>
                      <w:rFonts w:hint="default"/>
                    </w:rPr>
                  </w:pPr>
                  <w:r>
                    <w:rPr>
                      <w:rFonts w:hint="default"/>
                    </w:rPr>
                    <w:t>0.0004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4" w:hRule="atLeast"/>
                <w:jc w:val="center"/>
              </w:trPr>
              <w:tc>
                <w:tcPr>
                  <w:tcW w:w="1781" w:type="dxa"/>
                  <w:tcBorders>
                    <w:tl2br w:val="nil"/>
                    <w:tr2bl w:val="nil"/>
                  </w:tcBorders>
                  <w:noWrap w:val="0"/>
                  <w:vAlign w:val="center"/>
                </w:tcPr>
                <w:p>
                  <w:pPr>
                    <w:pStyle w:val="19"/>
                    <w:bidi w:val="0"/>
                    <w:rPr>
                      <w:rFonts w:hint="default"/>
                    </w:rPr>
                  </w:pPr>
                  <w:r>
                    <w:rPr>
                      <w:rFonts w:hint="default"/>
                    </w:rPr>
                    <w:t>润滑油</w:t>
                  </w:r>
                </w:p>
              </w:tc>
              <w:tc>
                <w:tcPr>
                  <w:tcW w:w="1555" w:type="dxa"/>
                  <w:tcBorders>
                    <w:tl2br w:val="nil"/>
                    <w:tr2bl w:val="nil"/>
                  </w:tcBorders>
                  <w:noWrap w:val="0"/>
                  <w:vAlign w:val="center"/>
                </w:tcPr>
                <w:p>
                  <w:pPr>
                    <w:pStyle w:val="19"/>
                    <w:bidi w:val="0"/>
                    <w:rPr>
                      <w:rFonts w:hint="default"/>
                    </w:rPr>
                  </w:pPr>
                  <w:r>
                    <w:rPr>
                      <w:rFonts w:hint="default"/>
                    </w:rPr>
                    <w:t>0.25</w:t>
                  </w:r>
                </w:p>
              </w:tc>
              <w:tc>
                <w:tcPr>
                  <w:tcW w:w="1495" w:type="dxa"/>
                  <w:tcBorders>
                    <w:tl2br w:val="nil"/>
                    <w:tr2bl w:val="nil"/>
                  </w:tcBorders>
                  <w:noWrap w:val="0"/>
                  <w:vAlign w:val="center"/>
                </w:tcPr>
                <w:p>
                  <w:pPr>
                    <w:pStyle w:val="19"/>
                    <w:bidi w:val="0"/>
                    <w:rPr>
                      <w:rFonts w:hint="default"/>
                    </w:rPr>
                  </w:pPr>
                  <w:r>
                    <w:rPr>
                      <w:rFonts w:hint="default"/>
                    </w:rPr>
                    <w:t>2500</w:t>
                  </w:r>
                </w:p>
              </w:tc>
              <w:tc>
                <w:tcPr>
                  <w:tcW w:w="3627" w:type="dxa"/>
                  <w:tcBorders>
                    <w:tl2br w:val="nil"/>
                    <w:tr2bl w:val="nil"/>
                  </w:tcBorders>
                  <w:noWrap w:val="0"/>
                  <w:vAlign w:val="center"/>
                </w:tcPr>
                <w:p>
                  <w:pPr>
                    <w:pStyle w:val="19"/>
                    <w:bidi w:val="0"/>
                    <w:rPr>
                      <w:rFonts w:hint="default"/>
                    </w:rPr>
                  </w:pPr>
                  <w:r>
                    <w:rPr>
                      <w:rFonts w:hint="default"/>
                    </w:rPr>
                    <w:t>0.0001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4" w:hRule="atLeast"/>
                <w:jc w:val="center"/>
              </w:trPr>
              <w:tc>
                <w:tcPr>
                  <w:tcW w:w="1781" w:type="dxa"/>
                  <w:tcBorders>
                    <w:tl2br w:val="nil"/>
                    <w:tr2bl w:val="nil"/>
                  </w:tcBorders>
                  <w:noWrap w:val="0"/>
                  <w:vAlign w:val="center"/>
                </w:tcPr>
                <w:p>
                  <w:pPr>
                    <w:pStyle w:val="19"/>
                    <w:bidi w:val="0"/>
                    <w:rPr>
                      <w:rFonts w:hint="default"/>
                    </w:rPr>
                  </w:pPr>
                  <w:r>
                    <w:rPr>
                      <w:rFonts w:hint="default"/>
                    </w:rPr>
                    <w:t>次氯酸钠</w:t>
                  </w:r>
                </w:p>
              </w:tc>
              <w:tc>
                <w:tcPr>
                  <w:tcW w:w="1555" w:type="dxa"/>
                  <w:tcBorders>
                    <w:tl2br w:val="nil"/>
                    <w:tr2bl w:val="nil"/>
                  </w:tcBorders>
                  <w:noWrap w:val="0"/>
                  <w:vAlign w:val="center"/>
                </w:tcPr>
                <w:p>
                  <w:pPr>
                    <w:pStyle w:val="19"/>
                    <w:bidi w:val="0"/>
                    <w:rPr>
                      <w:rFonts w:hint="default"/>
                    </w:rPr>
                  </w:pPr>
                  <w:r>
                    <w:rPr>
                      <w:rFonts w:hint="default"/>
                    </w:rPr>
                    <w:t>1</w:t>
                  </w:r>
                </w:p>
              </w:tc>
              <w:tc>
                <w:tcPr>
                  <w:tcW w:w="1495" w:type="dxa"/>
                  <w:tcBorders>
                    <w:tl2br w:val="nil"/>
                    <w:tr2bl w:val="nil"/>
                  </w:tcBorders>
                  <w:noWrap w:val="0"/>
                  <w:vAlign w:val="center"/>
                </w:tcPr>
                <w:p>
                  <w:pPr>
                    <w:pStyle w:val="19"/>
                    <w:bidi w:val="0"/>
                    <w:rPr>
                      <w:rFonts w:hint="default"/>
                    </w:rPr>
                  </w:pPr>
                  <w:r>
                    <w:rPr>
                      <w:rFonts w:hint="default"/>
                    </w:rPr>
                    <w:t>5</w:t>
                  </w:r>
                </w:p>
              </w:tc>
              <w:tc>
                <w:tcPr>
                  <w:tcW w:w="3627" w:type="dxa"/>
                  <w:tcBorders>
                    <w:tl2br w:val="nil"/>
                    <w:tr2bl w:val="nil"/>
                  </w:tcBorders>
                  <w:noWrap w:val="0"/>
                  <w:vAlign w:val="center"/>
                </w:tcPr>
                <w:p>
                  <w:pPr>
                    <w:pStyle w:val="19"/>
                    <w:bidi w:val="0"/>
                    <w:rPr>
                      <w:rFonts w:hint="default"/>
                    </w:rPr>
                  </w:pPr>
                  <w:r>
                    <w:rPr>
                      <w:rFonts w:hint="default"/>
                    </w:rPr>
                    <w:t>0.2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4" w:hRule="atLeast"/>
                <w:jc w:val="center"/>
              </w:trPr>
              <w:tc>
                <w:tcPr>
                  <w:tcW w:w="4831" w:type="dxa"/>
                  <w:gridSpan w:val="3"/>
                  <w:tcBorders>
                    <w:tl2br w:val="nil"/>
                    <w:tr2bl w:val="nil"/>
                  </w:tcBorders>
                  <w:noWrap w:val="0"/>
                  <w:vAlign w:val="center"/>
                </w:tcPr>
                <w:p>
                  <w:pPr>
                    <w:pStyle w:val="19"/>
                    <w:bidi w:val="0"/>
                    <w:rPr>
                      <w:rFonts w:hint="default"/>
                    </w:rPr>
                  </w:pPr>
                  <w:r>
                    <w:rPr>
                      <w:rFonts w:hint="default"/>
                    </w:rPr>
                    <w:drawing>
                      <wp:inline distT="0" distB="0" distL="114300" distR="114300">
                        <wp:extent cx="873125" cy="307340"/>
                        <wp:effectExtent l="0" t="0" r="3175" b="1651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61"/>
                                <a:stretch>
                                  <a:fillRect/>
                                </a:stretch>
                              </pic:blipFill>
                              <pic:spPr>
                                <a:xfrm>
                                  <a:off x="0" y="0"/>
                                  <a:ext cx="873125" cy="307340"/>
                                </a:xfrm>
                                <a:prstGeom prst="rect">
                                  <a:avLst/>
                                </a:prstGeom>
                                <a:noFill/>
                                <a:ln>
                                  <a:noFill/>
                                </a:ln>
                              </pic:spPr>
                            </pic:pic>
                          </a:graphicData>
                        </a:graphic>
                      </wp:inline>
                    </w:drawing>
                  </w:r>
                </w:p>
              </w:tc>
              <w:tc>
                <w:tcPr>
                  <w:tcW w:w="3627" w:type="dxa"/>
                  <w:tcBorders>
                    <w:tl2br w:val="nil"/>
                    <w:tr2bl w:val="nil"/>
                  </w:tcBorders>
                  <w:noWrap w:val="0"/>
                  <w:vAlign w:val="center"/>
                </w:tcPr>
                <w:p>
                  <w:pPr>
                    <w:pStyle w:val="19"/>
                    <w:bidi w:val="0"/>
                    <w:rPr>
                      <w:rFonts w:hint="default"/>
                    </w:rPr>
                  </w:pPr>
                  <w:r>
                    <w:rPr>
                      <w:rFonts w:hint="default"/>
                    </w:rPr>
                    <w:t>0.2005</w:t>
                  </w:r>
                </w:p>
              </w:tc>
            </w:tr>
          </w:tbl>
          <w:p>
            <w:pPr>
              <w:pStyle w:val="22"/>
              <w:bidi w:val="0"/>
              <w:rPr>
                <w:rFonts w:hint="default"/>
              </w:rPr>
            </w:pPr>
            <w:r>
              <w:rPr>
                <w:rFonts w:hint="eastAsia"/>
                <w:lang w:val="en-US" w:eastAsia="zh-CN"/>
              </w:rPr>
              <w:t>因</w:t>
            </w:r>
            <w:r>
              <w:rPr>
                <w:rFonts w:hint="default"/>
              </w:rPr>
              <w:t>Q值&lt;1，该项目环境风险潜势为I，简单分析即可。</w:t>
            </w:r>
          </w:p>
          <w:p>
            <w:pPr>
              <w:pStyle w:val="22"/>
              <w:bidi w:val="0"/>
              <w:rPr>
                <w:rFonts w:hint="default"/>
                <w:b w:val="0"/>
                <w:bCs w:val="0"/>
              </w:rPr>
            </w:pPr>
            <w:r>
              <w:rPr>
                <w:rFonts w:hint="eastAsia"/>
                <w:b w:val="0"/>
                <w:bCs w:val="0"/>
                <w:lang w:val="en-US" w:eastAsia="zh-CN"/>
              </w:rPr>
              <w:t>（2）</w:t>
            </w:r>
            <w:r>
              <w:rPr>
                <w:rFonts w:hint="default"/>
                <w:b w:val="0"/>
                <w:bCs w:val="0"/>
              </w:rPr>
              <w:t>环境敏感目标概况</w:t>
            </w:r>
          </w:p>
          <w:p>
            <w:pPr>
              <w:pStyle w:val="22"/>
              <w:bidi w:val="0"/>
              <w:rPr>
                <w:rFonts w:hint="default"/>
                <w:u w:val="none"/>
              </w:rPr>
            </w:pPr>
            <w:r>
              <w:rPr>
                <w:rFonts w:hint="default"/>
                <w:u w:val="none"/>
              </w:rPr>
              <w:t>项目环境敏感目标概况见</w:t>
            </w:r>
            <w:r>
              <w:rPr>
                <w:rFonts w:hint="eastAsia"/>
                <w:u w:val="none"/>
                <w:lang w:val="en-US" w:eastAsia="zh-CN"/>
              </w:rPr>
              <w:t>表10</w:t>
            </w:r>
            <w:r>
              <w:rPr>
                <w:rFonts w:hint="default"/>
                <w:u w:val="none"/>
              </w:rPr>
              <w:t>。</w:t>
            </w:r>
          </w:p>
          <w:p>
            <w:pPr>
              <w:pStyle w:val="22"/>
              <w:bidi w:val="0"/>
              <w:rPr>
                <w:rFonts w:hint="default"/>
                <w:b w:val="0"/>
                <w:bCs w:val="0"/>
              </w:rPr>
            </w:pPr>
            <w:r>
              <w:rPr>
                <w:rFonts w:hint="eastAsia"/>
                <w:b w:val="0"/>
                <w:bCs w:val="0"/>
                <w:lang w:eastAsia="zh-CN"/>
              </w:rPr>
              <w:t>（</w:t>
            </w:r>
            <w:r>
              <w:rPr>
                <w:rFonts w:hint="eastAsia"/>
                <w:b w:val="0"/>
                <w:bCs w:val="0"/>
                <w:lang w:val="en-US" w:eastAsia="zh-CN"/>
              </w:rPr>
              <w:t>3</w:t>
            </w:r>
            <w:r>
              <w:rPr>
                <w:rFonts w:hint="eastAsia"/>
                <w:b w:val="0"/>
                <w:bCs w:val="0"/>
                <w:lang w:eastAsia="zh-CN"/>
              </w:rPr>
              <w:t>）</w:t>
            </w:r>
            <w:r>
              <w:rPr>
                <w:rFonts w:hint="default"/>
                <w:b w:val="0"/>
                <w:bCs w:val="0"/>
              </w:rPr>
              <w:t>环境风险识别</w:t>
            </w:r>
          </w:p>
          <w:p>
            <w:pPr>
              <w:pStyle w:val="22"/>
              <w:bidi w:val="0"/>
              <w:rPr>
                <w:rFonts w:hint="default"/>
              </w:rPr>
            </w:pPr>
            <w:r>
              <w:rPr>
                <w:rFonts w:hint="eastAsia"/>
                <w:lang w:val="en-US" w:eastAsia="zh-CN"/>
              </w:rPr>
              <w:t>①</w:t>
            </w:r>
            <w:r>
              <w:rPr>
                <w:rFonts w:hint="default"/>
              </w:rPr>
              <w:t>物质危险性识别</w:t>
            </w:r>
          </w:p>
          <w:p>
            <w:pPr>
              <w:pStyle w:val="22"/>
              <w:bidi w:val="0"/>
              <w:rPr>
                <w:rFonts w:hint="default"/>
              </w:rPr>
            </w:pPr>
            <w:r>
              <w:rPr>
                <w:rFonts w:hint="default"/>
              </w:rPr>
              <w:t>项目使用的柴油、润滑油、次氯酸钠存储量低于附录</w:t>
            </w:r>
            <w:r>
              <w:rPr>
                <w:rFonts w:hint="eastAsia"/>
                <w:lang w:val="en-US" w:eastAsia="zh-CN"/>
              </w:rPr>
              <w:t>B</w:t>
            </w:r>
            <w:r>
              <w:rPr>
                <w:rFonts w:hint="default"/>
              </w:rPr>
              <w:t>所规定的临界量，因此项目不构成重大危险源。</w:t>
            </w:r>
          </w:p>
          <w:p>
            <w:pPr>
              <w:pStyle w:val="22"/>
              <w:bidi w:val="0"/>
              <w:rPr>
                <w:rFonts w:hint="default"/>
              </w:rPr>
            </w:pPr>
            <w:r>
              <w:rPr>
                <w:rFonts w:hint="eastAsia"/>
                <w:lang w:val="en-US" w:eastAsia="zh-CN"/>
              </w:rPr>
              <w:t>②</w:t>
            </w:r>
            <w:r>
              <w:rPr>
                <w:rFonts w:hint="default"/>
              </w:rPr>
              <w:t>危险物质向环境转移的途径识别</w:t>
            </w:r>
          </w:p>
          <w:p>
            <w:pPr>
              <w:pStyle w:val="22"/>
              <w:bidi w:val="0"/>
              <w:rPr>
                <w:rFonts w:hint="default"/>
              </w:rPr>
            </w:pPr>
            <w:r>
              <w:rPr>
                <w:rFonts w:hint="default"/>
              </w:rPr>
              <w:t>项目柴油、润滑油、次氯酸钠等</w:t>
            </w:r>
            <w:r>
              <w:rPr>
                <w:rFonts w:hint="eastAsia"/>
                <w:lang w:val="en-US" w:eastAsia="zh-CN"/>
              </w:rPr>
              <w:t>风</w:t>
            </w:r>
            <w:r>
              <w:rPr>
                <w:rFonts w:hint="default"/>
              </w:rPr>
              <w:t>险物质若发生泄漏，将导致其直接排入地表水环境中。火灾、爆炸等突发性事故将产生一氧化碳、氮氧化物等大气污染物排放到大气环境中，以及火灾</w:t>
            </w:r>
            <w:r>
              <w:rPr>
                <w:rFonts w:hint="eastAsia"/>
                <w:lang w:val="en-US" w:eastAsia="zh-CN"/>
              </w:rPr>
              <w:t>产生</w:t>
            </w:r>
            <w:r>
              <w:rPr>
                <w:rFonts w:hint="default"/>
              </w:rPr>
              <w:t>消防废水排放至地表水环境。</w:t>
            </w:r>
          </w:p>
          <w:p>
            <w:pPr>
              <w:pStyle w:val="22"/>
              <w:bidi w:val="0"/>
              <w:rPr>
                <w:rFonts w:hint="eastAsia"/>
                <w:b w:val="0"/>
                <w:bCs w:val="0"/>
              </w:rPr>
            </w:pPr>
            <w:r>
              <w:rPr>
                <w:rFonts w:hint="eastAsia"/>
                <w:b w:val="0"/>
                <w:bCs w:val="0"/>
                <w:lang w:eastAsia="zh-CN"/>
              </w:rPr>
              <w:t>（</w:t>
            </w:r>
            <w:r>
              <w:rPr>
                <w:rFonts w:hint="eastAsia"/>
                <w:b w:val="0"/>
                <w:bCs w:val="0"/>
                <w:lang w:val="en-US" w:eastAsia="zh-CN"/>
              </w:rPr>
              <w:t>4</w:t>
            </w:r>
            <w:r>
              <w:rPr>
                <w:rFonts w:hint="eastAsia"/>
                <w:b w:val="0"/>
                <w:bCs w:val="0"/>
                <w:lang w:eastAsia="zh-CN"/>
              </w:rPr>
              <w:t>）</w:t>
            </w:r>
            <w:r>
              <w:rPr>
                <w:rFonts w:hint="eastAsia"/>
                <w:b w:val="0"/>
                <w:bCs w:val="0"/>
              </w:rPr>
              <w:t>环境风险分析</w:t>
            </w:r>
          </w:p>
          <w:p>
            <w:pPr>
              <w:pStyle w:val="22"/>
              <w:bidi w:val="0"/>
              <w:rPr>
                <w:rFonts w:hint="eastAsia"/>
              </w:rPr>
            </w:pPr>
            <w:r>
              <w:rPr>
                <w:rFonts w:hint="eastAsia"/>
              </w:rPr>
              <w:t>项目运营期间主要风险为柴油、润滑油、次氯酸钠</w:t>
            </w:r>
            <w:r>
              <w:rPr>
                <w:rFonts w:hint="eastAsia"/>
                <w:lang w:eastAsia="zh-CN"/>
              </w:rPr>
              <w:t>泄漏</w:t>
            </w:r>
            <w:r>
              <w:rPr>
                <w:rFonts w:hint="eastAsia"/>
              </w:rPr>
              <w:t>风险</w:t>
            </w:r>
            <w:r>
              <w:rPr>
                <w:rFonts w:hint="eastAsia"/>
                <w:lang w:eastAsia="zh-CN"/>
              </w:rPr>
              <w:t>；</w:t>
            </w:r>
            <w:r>
              <w:rPr>
                <w:rFonts w:hint="eastAsia"/>
              </w:rPr>
              <w:t>火灾、爆炸情况下产生的伴生/次生</w:t>
            </w:r>
            <w:r>
              <w:rPr>
                <w:rFonts w:hint="eastAsia"/>
                <w:lang w:val="en-US" w:eastAsia="zh-CN"/>
              </w:rPr>
              <w:t>环境</w:t>
            </w:r>
            <w:r>
              <w:rPr>
                <w:rFonts w:hint="eastAsia"/>
              </w:rPr>
              <w:t>污染风险。</w:t>
            </w:r>
          </w:p>
          <w:p>
            <w:pPr>
              <w:pStyle w:val="22"/>
              <w:bidi w:val="0"/>
              <w:rPr>
                <w:rFonts w:hint="eastAsia"/>
              </w:rPr>
            </w:pPr>
            <w:r>
              <w:rPr>
                <w:rFonts w:hint="eastAsia"/>
              </w:rPr>
              <w:t>项目柴油、润滑油、次氯酸钠等原辅料在运输、使用过程中，均可能会因自然或人为因素，出现事故造成泄漏而排入周围环境。</w:t>
            </w:r>
          </w:p>
          <w:p>
            <w:pPr>
              <w:pStyle w:val="22"/>
              <w:bidi w:val="0"/>
              <w:rPr>
                <w:rFonts w:hint="eastAsia"/>
              </w:rPr>
            </w:pPr>
            <w:r>
              <w:rPr>
                <w:rFonts w:hint="eastAsia"/>
              </w:rPr>
              <w:t>根据</w:t>
            </w:r>
            <w:r>
              <w:rPr>
                <w:rFonts w:hint="eastAsia"/>
                <w:lang w:val="en-US" w:eastAsia="zh-CN"/>
              </w:rPr>
              <w:t>危险物质</w:t>
            </w:r>
            <w:r>
              <w:rPr>
                <w:rFonts w:hint="eastAsia"/>
              </w:rPr>
              <w:t>的物化性质，引起火灾、爆炸等突发性事故将产生一氧化碳、氮氧化物等大气污染物以及火灾</w:t>
            </w:r>
            <w:r>
              <w:rPr>
                <w:rFonts w:hint="eastAsia"/>
                <w:lang w:val="en-US" w:eastAsia="zh-CN"/>
              </w:rPr>
              <w:t>产生的</w:t>
            </w:r>
            <w:r>
              <w:rPr>
                <w:rFonts w:hint="eastAsia"/>
              </w:rPr>
              <w:t>消防废水等，同时二氧化碳、一氧化碳、氮氧化物等大气污染物在特殊情况下会对周围人员安危产生不利影响。</w:t>
            </w:r>
          </w:p>
          <w:p>
            <w:pPr>
              <w:pStyle w:val="22"/>
              <w:bidi w:val="0"/>
              <w:rPr>
                <w:rFonts w:hint="default"/>
                <w:b w:val="0"/>
                <w:bCs w:val="0"/>
              </w:rPr>
            </w:pPr>
            <w:r>
              <w:rPr>
                <w:rFonts w:hint="eastAsia"/>
                <w:b w:val="0"/>
                <w:bCs w:val="0"/>
                <w:lang w:val="en-US" w:eastAsia="zh-CN"/>
              </w:rPr>
              <w:t>（5）</w:t>
            </w:r>
            <w:r>
              <w:rPr>
                <w:rFonts w:hint="default"/>
                <w:b w:val="0"/>
                <w:bCs w:val="0"/>
              </w:rPr>
              <w:t>环境风险防范措施及应急要求</w:t>
            </w:r>
          </w:p>
          <w:p>
            <w:pPr>
              <w:pStyle w:val="22"/>
              <w:bidi w:val="0"/>
              <w:rPr>
                <w:rFonts w:hint="eastAsia" w:eastAsia="宋体"/>
                <w:lang w:eastAsia="zh-CN"/>
              </w:rPr>
            </w:pPr>
            <w:r>
              <w:rPr>
                <w:rFonts w:hint="default"/>
              </w:rPr>
              <w:t>针对目前本项目的具体情况提出以下环境风险管理对策</w:t>
            </w:r>
            <w:r>
              <w:rPr>
                <w:rFonts w:hint="eastAsia"/>
                <w:lang w:eastAsia="zh-CN"/>
              </w:rPr>
              <w:t>：</w:t>
            </w:r>
          </w:p>
          <w:p>
            <w:pPr>
              <w:pStyle w:val="22"/>
              <w:bidi w:val="0"/>
              <w:rPr>
                <w:rFonts w:hint="default"/>
              </w:rPr>
            </w:pPr>
            <w:r>
              <w:rPr>
                <w:rFonts w:hint="eastAsia"/>
                <w:lang w:val="en-US" w:eastAsia="zh-CN"/>
              </w:rPr>
              <w:t>①</w:t>
            </w:r>
            <w:r>
              <w:rPr>
                <w:rFonts w:hint="default"/>
              </w:rPr>
              <w:t>加强对员工</w:t>
            </w:r>
            <w:r>
              <w:rPr>
                <w:rFonts w:hint="eastAsia"/>
                <w:lang w:val="en-US" w:eastAsia="zh-CN"/>
              </w:rPr>
              <w:t>的</w:t>
            </w:r>
            <w:r>
              <w:rPr>
                <w:rFonts w:hint="default"/>
              </w:rPr>
              <w:t>培训，生产过程中原辅材料的量取、倾倒等严格按要求操作，严禁柴油、润滑油、次氯酸钠泄漏。柴油、润滑油、次氯酸钠及容器或包装物应放在盛漏托盘，确保盛漏托盘容量至少为原辅料贮存容量的110%。同时针对储存区设置围堰，围堰高度不低于0.15米。</w:t>
            </w:r>
          </w:p>
          <w:p>
            <w:pPr>
              <w:pStyle w:val="22"/>
              <w:bidi w:val="0"/>
              <w:rPr>
                <w:rFonts w:hint="default"/>
              </w:rPr>
            </w:pPr>
            <w:r>
              <w:rPr>
                <w:rFonts w:hint="eastAsia"/>
                <w:lang w:val="en-US" w:eastAsia="zh-CN"/>
              </w:rPr>
              <w:t>②</w:t>
            </w:r>
            <w:r>
              <w:rPr>
                <w:rFonts w:hint="default"/>
              </w:rPr>
              <w:t>柴油、润滑油、次氯酸钠单独存放于特定的场所（仓库），并由专职人员看管，加强管理。柴油、润滑油、次氯酸钠泄漏时应该隔离泄漏污染区，限制出入。</w:t>
            </w:r>
          </w:p>
          <w:p>
            <w:pPr>
              <w:pStyle w:val="22"/>
              <w:bidi w:val="0"/>
              <w:rPr>
                <w:rFonts w:hint="default"/>
              </w:rPr>
            </w:pPr>
            <w:r>
              <w:rPr>
                <w:rFonts w:hint="eastAsia"/>
                <w:lang w:val="en-US" w:eastAsia="zh-CN"/>
              </w:rPr>
              <w:t>③</w:t>
            </w:r>
            <w:r>
              <w:rPr>
                <w:rFonts w:hint="default"/>
              </w:rPr>
              <w:t>发生火灾、爆炸事故时，在事故发生位置四周用装满沙土的袋子围成围堰拦截消防废液，并在厂内采取导流方式将消防废液、泡沫等统一收集，集中处理，消除安全隐患后交由有资质单位处理。事故发生后，相关部门要制定污染监测计划，对可能污染进行监测，根据现场监测结果，</w:t>
            </w:r>
            <w:r>
              <w:rPr>
                <w:rFonts w:hint="eastAsia"/>
                <w:lang w:eastAsia="zh-CN"/>
              </w:rPr>
              <w:t>直至</w:t>
            </w:r>
            <w:r>
              <w:rPr>
                <w:rFonts w:hint="default"/>
              </w:rPr>
              <w:t>无异常方可停止监测工作。</w:t>
            </w:r>
          </w:p>
          <w:p>
            <w:pPr>
              <w:pStyle w:val="22"/>
              <w:bidi w:val="0"/>
              <w:rPr>
                <w:rFonts w:hint="default"/>
                <w:b w:val="0"/>
                <w:bCs w:val="0"/>
              </w:rPr>
            </w:pPr>
            <w:r>
              <w:rPr>
                <w:rFonts w:hint="eastAsia"/>
                <w:b w:val="0"/>
                <w:bCs w:val="0"/>
                <w:lang w:val="en-US" w:eastAsia="zh-CN"/>
              </w:rPr>
              <w:t>（6）</w:t>
            </w:r>
            <w:r>
              <w:rPr>
                <w:rFonts w:hint="default"/>
                <w:b w:val="0"/>
                <w:bCs w:val="0"/>
              </w:rPr>
              <w:t>风险评价结论</w:t>
            </w:r>
          </w:p>
          <w:p>
            <w:pPr>
              <w:keepNext w:val="0"/>
              <w:keepLines w:val="0"/>
              <w:widowControl/>
              <w:suppressLineNumbers w:val="0"/>
              <w:jc w:val="left"/>
              <w:rPr>
                <w:rFonts w:hint="default"/>
                <w:lang w:val="en-US" w:eastAsia="zh-CN"/>
              </w:rPr>
            </w:pPr>
            <w:r>
              <w:rPr>
                <w:rFonts w:hint="default"/>
              </w:rPr>
              <w:t>总之，本项目应严格按照国家安全规范及国家相关规定加强安全监督管理，对</w:t>
            </w:r>
            <w:r>
              <w:rPr>
                <w:rFonts w:hint="eastAsia"/>
                <w:lang w:val="en-US" w:eastAsia="zh-CN"/>
              </w:rPr>
              <w:t>可能</w:t>
            </w:r>
            <w:r>
              <w:rPr>
                <w:rFonts w:hint="default"/>
              </w:rPr>
              <w:t>出现的</w:t>
            </w:r>
            <w:r>
              <w:rPr>
                <w:rFonts w:hint="eastAsia"/>
                <w:lang w:val="en-US" w:eastAsia="zh-CN"/>
              </w:rPr>
              <w:t>风险物质泄漏</w:t>
            </w:r>
            <w:r>
              <w:rPr>
                <w:rFonts w:hint="default"/>
              </w:rPr>
              <w:t>风险、火灾、爆炸情况下产生的伴生/次生污染风险及时采取措施，对隐患坚决消除，将本项目的环境风险发生</w:t>
            </w:r>
            <w:r>
              <w:rPr>
                <w:rFonts w:hint="eastAsia"/>
                <w:lang w:eastAsia="zh-CN"/>
              </w:rPr>
              <w:t>的概率</w:t>
            </w:r>
            <w:r>
              <w:rPr>
                <w:rFonts w:hint="default"/>
              </w:rPr>
              <w:t>控制在最小水平，对周围环境的影响可得到控制。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lang w:val="en-US" w:eastAsia="zh-CN"/>
              </w:rPr>
            </w:pPr>
            <w:r>
              <w:rPr>
                <w:rFonts w:hint="eastAsia"/>
                <w:lang w:val="en-US" w:eastAsia="zh-CN"/>
              </w:rPr>
              <w:t>选址选线环境合理性分析</w:t>
            </w:r>
          </w:p>
        </w:tc>
        <w:tc>
          <w:tcPr>
            <w:tcW w:w="8568" w:type="dxa"/>
          </w:tcPr>
          <w:p>
            <w:pPr>
              <w:pStyle w:val="8"/>
              <w:numPr>
                <w:ilvl w:val="0"/>
                <w:numId w:val="14"/>
              </w:numPr>
              <w:bidi w:val="0"/>
              <w:rPr>
                <w:rFonts w:hint="eastAsia"/>
                <w:lang w:val="en-US" w:eastAsia="zh-CN"/>
              </w:rPr>
            </w:pPr>
            <w:r>
              <w:rPr>
                <w:rFonts w:hint="eastAsia"/>
                <w:lang w:val="en-US" w:eastAsia="zh-CN"/>
              </w:rPr>
              <w:t>项目选址合理性分析</w:t>
            </w:r>
          </w:p>
          <w:p>
            <w:pPr>
              <w:pStyle w:val="22"/>
              <w:bidi w:val="0"/>
              <w:rPr>
                <w:rFonts w:hint="eastAsia"/>
                <w:lang w:val="en-US" w:eastAsia="zh-CN"/>
              </w:rPr>
            </w:pPr>
            <w:r>
              <w:rPr>
                <w:rFonts w:hint="eastAsia"/>
                <w:lang w:val="en-US" w:eastAsia="zh-CN"/>
              </w:rPr>
              <w:t>衡阳侨城文化旅游度假区一期建设项目位于湖南省衡阳市石鼓区来雁新城范围内，东至湘江北路，西至草后街，南至北三环，北至依石路。本项目所在地不属于河流两岸、湖泊和水库周边的植物保护带，但本项目位于湘资沅中游国家级水土流失重点治理区范围内，对于无法避让水土流失重点治理区，提高了措施设计标准及防治标准。</w:t>
            </w:r>
          </w:p>
          <w:p>
            <w:pPr>
              <w:pStyle w:val="22"/>
              <w:bidi w:val="0"/>
              <w:rPr>
                <w:rFonts w:hint="default"/>
                <w:lang w:val="en-US" w:eastAsia="zh-CN"/>
              </w:rPr>
            </w:pPr>
            <w:r>
              <w:rPr>
                <w:rFonts w:hint="eastAsia"/>
                <w:lang w:val="en-US" w:eastAsia="zh-CN"/>
              </w:rPr>
              <w:t>本项目工程占地区不属于基本农田保护区，对周围的生态环境影响较小；工程建设占地对地表的破坏主要以挖损、压占为主，破坏程度为轻度，工程修建结束后，绿化景观对周边生态环境带来良好的影响。</w:t>
            </w:r>
          </w:p>
          <w:p>
            <w:pPr>
              <w:pStyle w:val="8"/>
              <w:numPr>
                <w:ilvl w:val="0"/>
                <w:numId w:val="14"/>
              </w:numPr>
              <w:bidi w:val="0"/>
              <w:rPr>
                <w:rFonts w:hint="default"/>
                <w:lang w:val="en-US" w:eastAsia="zh-CN"/>
              </w:rPr>
            </w:pPr>
            <w:r>
              <w:rPr>
                <w:rFonts w:hint="eastAsia"/>
                <w:lang w:val="en-US" w:eastAsia="zh-CN"/>
              </w:rPr>
              <w:t>施工布置选址合理性分析</w:t>
            </w:r>
          </w:p>
          <w:p>
            <w:pPr>
              <w:bidi w:val="0"/>
              <w:rPr>
                <w:rFonts w:hint="eastAsia"/>
                <w:lang w:val="en-US" w:eastAsia="zh-CN"/>
              </w:rPr>
            </w:pPr>
            <w:r>
              <w:rPr>
                <w:rFonts w:hint="eastAsia"/>
                <w:lang w:val="en-US" w:eastAsia="zh-CN"/>
              </w:rPr>
              <w:t>本项目施工包括施工生产生活区和临时堆土区，</w:t>
            </w:r>
            <w:r>
              <w:rPr>
                <w:rFonts w:hint="eastAsia"/>
                <w:lang w:val="zh-TW" w:eastAsia="zh-TW"/>
              </w:rPr>
              <w:t>施工过程中充分依托现有道路，避免设置施工临时道路。</w:t>
            </w:r>
          </w:p>
          <w:p>
            <w:pPr>
              <w:pStyle w:val="22"/>
              <w:bidi w:val="0"/>
              <w:rPr>
                <w:rFonts w:hint="eastAsia"/>
                <w:lang w:val="en-US" w:eastAsia="zh-CN"/>
              </w:rPr>
            </w:pPr>
            <w:r>
              <w:rPr>
                <w:rFonts w:hint="eastAsia"/>
                <w:lang w:val="en-US" w:eastAsia="zh-CN"/>
              </w:rPr>
              <w:t>（1）施工生产生活区选址合理性</w:t>
            </w:r>
          </w:p>
          <w:p>
            <w:pPr>
              <w:pStyle w:val="22"/>
              <w:bidi w:val="0"/>
              <w:rPr>
                <w:rFonts w:hint="default"/>
                <w:lang w:val="en-US" w:eastAsia="zh-CN"/>
              </w:rPr>
            </w:pPr>
            <w:r>
              <w:rPr>
                <w:rFonts w:hint="eastAsia"/>
                <w:lang w:val="en-US" w:eastAsia="zh-CN"/>
              </w:rPr>
              <w:t>本项目施工生产区和生活区拟布设在项目红线范围内，在场内西侧临时停车场内拟布设一处施工临建区，主要用于机械材料堆放及现场办公。施工临建区不涉及自然保护区、生态红线区，周围无居民点等，对周围的环境影响较小。因此，施工临建区布置环境合理。</w:t>
            </w:r>
          </w:p>
          <w:p>
            <w:pPr>
              <w:pStyle w:val="22"/>
              <w:numPr>
                <w:ilvl w:val="0"/>
                <w:numId w:val="0"/>
              </w:numPr>
              <w:bidi w:val="0"/>
              <w:ind w:leftChars="200"/>
              <w:rPr>
                <w:rFonts w:hint="eastAsia"/>
                <w:lang w:val="en-US" w:eastAsia="zh-CN"/>
              </w:rPr>
            </w:pPr>
            <w:r>
              <w:rPr>
                <w:rFonts w:hint="eastAsia"/>
                <w:lang w:val="en-US" w:eastAsia="zh-CN"/>
              </w:rPr>
              <w:t>（2）临时堆土区选址合理性</w:t>
            </w:r>
          </w:p>
          <w:p>
            <w:pPr>
              <w:pStyle w:val="22"/>
              <w:bidi w:val="0"/>
              <w:rPr>
                <w:rFonts w:hint="default"/>
                <w:lang w:val="en-US" w:eastAsia="zh-CN"/>
              </w:rPr>
            </w:pPr>
            <w:r>
              <w:rPr>
                <w:rFonts w:hint="eastAsia"/>
                <w:lang w:val="en-US" w:eastAsia="zh-CN"/>
              </w:rPr>
              <w:t>施工单位在项目红线范围内拟布设3处临时堆土场，用作场内剥离表土及软土临时堆放，临时堆土区拟采用覆盖、拦挡、排水等措施，临时堆土区表土及软土拟用于绿化覆土。</w:t>
            </w:r>
            <w:r>
              <w:rPr>
                <w:rFonts w:hint="eastAsia"/>
                <w:color w:val="auto"/>
                <w:lang w:val="en-US" w:eastAsia="zh-CN"/>
              </w:rPr>
              <w:t>临时堆土区范围及影响区内不涉及自然保护区、基本农田、风景名胜区、饮用水源保护区、自然遗产地等生态环境敏感目标。从环境角度分析，拟选的</w:t>
            </w:r>
            <w:r>
              <w:rPr>
                <w:rFonts w:hint="eastAsia"/>
                <w:lang w:val="en-US" w:eastAsia="zh-CN"/>
              </w:rPr>
              <w:t>临时堆土区</w:t>
            </w:r>
            <w:r>
              <w:rPr>
                <w:rFonts w:hint="eastAsia"/>
                <w:color w:val="auto"/>
                <w:lang w:val="en-US" w:eastAsia="zh-CN"/>
              </w:rPr>
              <w:t>合理。</w:t>
            </w:r>
          </w:p>
        </w:tc>
      </w:tr>
    </w:tbl>
    <w:p>
      <w:pPr>
        <w:ind w:left="0" w:leftChars="0" w:firstLine="0" w:firstLineChars="0"/>
        <w:rPr>
          <w:rFonts w:hint="default"/>
          <w:lang w:val="en-US" w:eastAsia="zh-CN"/>
        </w:rPr>
        <w:sectPr>
          <w:pgSz w:w="11906" w:h="16838"/>
          <w:pgMar w:top="1417" w:right="1417" w:bottom="1417" w:left="1417" w:header="851" w:footer="567" w:gutter="0"/>
          <w:pgNumType w:fmt="decimal"/>
          <w:cols w:space="425" w:num="1"/>
          <w:docGrid w:type="lines" w:linePitch="312" w:charSpace="0"/>
        </w:sectPr>
      </w:pPr>
    </w:p>
    <w:p>
      <w:pPr>
        <w:pStyle w:val="4"/>
        <w:bidi w:val="0"/>
        <w:rPr>
          <w:rFonts w:hint="eastAsia"/>
          <w:lang w:val="en-US" w:eastAsia="zh-CN"/>
        </w:rPr>
      </w:pPr>
      <w:bookmarkStart w:id="8" w:name="_Toc18181"/>
      <w:r>
        <w:rPr>
          <w:rFonts w:hint="eastAsia"/>
          <w:lang w:val="en-US" w:eastAsia="zh-CN"/>
        </w:rPr>
        <w:t>五、主要生态环境保护措施</w:t>
      </w:r>
      <w:bookmarkEnd w:id="8"/>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8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lang w:val="en-US" w:eastAsia="zh-CN"/>
              </w:rPr>
            </w:pPr>
            <w:r>
              <w:rPr>
                <w:rFonts w:hint="eastAsia"/>
                <w:lang w:val="en-US" w:eastAsia="zh-CN"/>
              </w:rPr>
              <w:t>施工期生态环境保护措施</w:t>
            </w:r>
          </w:p>
        </w:tc>
        <w:tc>
          <w:tcPr>
            <w:tcW w:w="8506" w:type="dxa"/>
          </w:tcPr>
          <w:p>
            <w:pPr>
              <w:bidi w:val="0"/>
              <w:ind w:left="0" w:leftChars="0" w:firstLine="0" w:firstLineChars="0"/>
              <w:jc w:val="both"/>
              <w:rPr>
                <w:rFonts w:hint="eastAsia"/>
                <w:lang w:val="en-US" w:eastAsia="zh-CN"/>
              </w:rPr>
            </w:pPr>
            <w:r>
              <w:rPr>
                <w:rFonts w:hint="eastAsia"/>
                <w:b/>
                <w:bCs/>
                <w:lang w:val="en-US" w:eastAsia="zh-CN"/>
              </w:rPr>
              <w:t>1、水环境保护措施</w:t>
            </w:r>
          </w:p>
          <w:p>
            <w:pPr>
              <w:bidi w:val="0"/>
              <w:rPr>
                <w:rFonts w:hint="eastAsia"/>
                <w:lang w:val="en-US" w:eastAsia="zh-CN"/>
              </w:rPr>
            </w:pPr>
            <w:r>
              <w:rPr>
                <w:rFonts w:hint="eastAsia"/>
                <w:lang w:val="en-US" w:eastAsia="zh-CN"/>
              </w:rPr>
              <w:t>（1）生活污水</w:t>
            </w:r>
          </w:p>
          <w:p>
            <w:pPr>
              <w:bidi w:val="0"/>
              <w:jc w:val="both"/>
              <w:rPr>
                <w:rFonts w:hint="eastAsia"/>
                <w:lang w:val="en-US" w:eastAsia="zh-CN"/>
              </w:rPr>
            </w:pPr>
            <w:r>
              <w:rPr>
                <w:rFonts w:hint="eastAsia"/>
                <w:lang w:val="en-US" w:eastAsia="zh-CN"/>
              </w:rPr>
              <w:t>随着施工期的结束，施工期施工人员生活污水、施工生产废水对环境的影响也随即消失。本项目施工人员</w:t>
            </w:r>
            <w:r>
              <w:rPr>
                <w:rFonts w:hint="default"/>
                <w:lang w:val="en-US" w:eastAsia="zh-CN"/>
              </w:rPr>
              <w:t>产生的生活污水</w:t>
            </w:r>
            <w:r>
              <w:rPr>
                <w:rFonts w:hint="eastAsia"/>
                <w:lang w:val="en-US" w:eastAsia="zh-CN"/>
              </w:rPr>
              <w:t>经化粪池预处理后用作农肥</w:t>
            </w:r>
            <w:r>
              <w:rPr>
                <w:rFonts w:hint="default"/>
                <w:lang w:val="en-US" w:eastAsia="zh-CN"/>
              </w:rPr>
              <w:t>。</w:t>
            </w:r>
          </w:p>
          <w:p>
            <w:pPr>
              <w:bidi w:val="0"/>
              <w:jc w:val="both"/>
              <w:rPr>
                <w:rFonts w:hint="eastAsia"/>
                <w:lang w:val="en-US" w:eastAsia="zh-CN"/>
              </w:rPr>
            </w:pPr>
            <w:r>
              <w:rPr>
                <w:rFonts w:hint="eastAsia"/>
                <w:lang w:val="en-US" w:eastAsia="zh-CN"/>
              </w:rPr>
              <w:t>（2）施工废水</w:t>
            </w:r>
          </w:p>
          <w:p>
            <w:pPr>
              <w:rPr>
                <w:rFonts w:hint="default"/>
                <w:lang w:val="en-US" w:eastAsia="zh-CN"/>
              </w:rPr>
            </w:pPr>
            <w:r>
              <w:rPr>
                <w:rFonts w:hint="default"/>
                <w:lang w:val="en-US" w:eastAsia="zh-CN"/>
              </w:rPr>
              <w:t>施工废水应经过隔油、沉淀处理后，全部回用于施工环节，避免直接排入水体。</w:t>
            </w:r>
          </w:p>
          <w:p>
            <w:pPr>
              <w:bidi w:val="0"/>
              <w:rPr>
                <w:rFonts w:hint="eastAsia"/>
                <w:lang w:val="en-US" w:eastAsia="zh-CN"/>
              </w:rPr>
            </w:pPr>
            <w:r>
              <w:rPr>
                <w:rFonts w:hint="eastAsia"/>
                <w:lang w:val="en-US" w:eastAsia="zh-CN"/>
              </w:rPr>
              <w:t>综上分析，项目各类废水均采取有效的处理措施，项目产生的废水对附近地表水影响较小。</w:t>
            </w:r>
          </w:p>
          <w:p>
            <w:pPr>
              <w:bidi w:val="0"/>
              <w:ind w:left="0" w:leftChars="0" w:firstLine="0" w:firstLineChars="0"/>
              <w:rPr>
                <w:rFonts w:hint="eastAsia"/>
                <w:b/>
                <w:bCs/>
                <w:color w:val="auto"/>
                <w:lang w:val="en-US" w:eastAsia="zh-CN"/>
              </w:rPr>
            </w:pPr>
            <w:r>
              <w:rPr>
                <w:rFonts w:hint="eastAsia"/>
                <w:b/>
                <w:bCs/>
                <w:color w:val="auto"/>
                <w:lang w:val="en-US" w:eastAsia="zh-CN"/>
              </w:rPr>
              <w:t>2、大气环境保护措施</w:t>
            </w:r>
          </w:p>
          <w:p>
            <w:pPr>
              <w:bidi w:val="0"/>
              <w:rPr>
                <w:rFonts w:hint="eastAsia"/>
                <w:color w:val="auto"/>
                <w:lang w:val="en-US" w:eastAsia="zh-CN"/>
              </w:rPr>
            </w:pPr>
            <w:r>
              <w:rPr>
                <w:rFonts w:hint="eastAsia"/>
                <w:color w:val="auto"/>
                <w:lang w:val="en-US" w:eastAsia="zh-CN"/>
              </w:rPr>
              <w:t>本项目施工期产生的废气有施工扬尘、装修产生的有机废气和施工机械柴油燃烧废气及车辆排放尾气。</w:t>
            </w:r>
          </w:p>
          <w:p>
            <w:pPr>
              <w:bidi w:val="0"/>
              <w:rPr>
                <w:rFonts w:hint="default"/>
                <w:color w:val="auto"/>
                <w:lang w:val="en-US"/>
              </w:rPr>
            </w:pPr>
            <w:r>
              <w:rPr>
                <w:rFonts w:hint="eastAsia"/>
                <w:color w:val="auto"/>
                <w:lang w:val="en-US" w:eastAsia="zh-CN"/>
              </w:rPr>
              <w:t>（1）抑尘措施</w:t>
            </w:r>
          </w:p>
          <w:p>
            <w:pPr>
              <w:bidi w:val="0"/>
              <w:rPr>
                <w:rFonts w:hint="default"/>
                <w:color w:val="auto"/>
                <w:lang w:val="en-US" w:eastAsia="zh-CN"/>
              </w:rPr>
            </w:pPr>
            <w:r>
              <w:rPr>
                <w:rFonts w:hint="default"/>
                <w:color w:val="auto"/>
                <w:lang w:val="en-US" w:eastAsia="zh-CN"/>
              </w:rPr>
              <w:t>严格施工工地扬尘污染防治标准，强化源头治理。一是施工单位必须指派专人负责扬尘管理；二是施工工程施工前，工地周围应设置高度不低于1.8米的围挡；施工现场标准化</w:t>
            </w:r>
            <w:r>
              <w:rPr>
                <w:rFonts w:hint="eastAsia"/>
                <w:color w:val="auto"/>
                <w:lang w:val="en-US" w:eastAsia="zh-CN"/>
              </w:rPr>
              <w:t>围挡</w:t>
            </w:r>
            <w:r>
              <w:rPr>
                <w:rFonts w:hint="default"/>
                <w:color w:val="auto"/>
                <w:lang w:val="en-US" w:eastAsia="zh-CN"/>
              </w:rPr>
              <w:t>、工地砂土不用时覆盖、工地路面硬地化、拆除工程洒水压尘、出工地车辆冲净车轮车身、施工现场长期裸土覆盖或绿化；三是施工作业时，必须辅以持续加压洒水设施，以抑制扬尘飞散；四是施工中的土方作业、建筑垃圾管理与运输等防尘措施，必须采取与建筑施工扬尘污染控制同样的措施。合理安排施工时序，安装车辆自动喷淋系统，利用回用废水清洗余泥渣土运输车辆。</w:t>
            </w:r>
          </w:p>
          <w:p>
            <w:pPr>
              <w:bidi w:val="0"/>
              <w:rPr>
                <w:color w:val="auto"/>
              </w:rPr>
            </w:pPr>
            <w:r>
              <w:rPr>
                <w:rFonts w:hint="eastAsia"/>
                <w:color w:val="auto"/>
                <w:lang w:val="en-US" w:eastAsia="zh-CN"/>
              </w:rPr>
              <w:t>（2）燃油废气控制措施</w:t>
            </w:r>
          </w:p>
          <w:p>
            <w:pPr>
              <w:bidi w:val="0"/>
              <w:rPr>
                <w:rFonts w:hint="eastAsia"/>
                <w:color w:val="auto"/>
                <w:lang w:val="en-US" w:eastAsia="zh-CN"/>
              </w:rPr>
            </w:pPr>
            <w:r>
              <w:rPr>
                <w:rFonts w:hint="eastAsia"/>
                <w:color w:val="auto"/>
                <w:lang w:val="en-US" w:eastAsia="zh-CN"/>
              </w:rPr>
              <w:t>施工机械及运输车辆应定期检修与保养，及时清洗，确保施工机械及运输车辆始终处于良好的工作状态。加强大型施工机械和车辆的管理，执行定期检查维护制定（I/M制度）；承包商所有燃油机械和车辆尾气排放应执行《汽车大气污染物排放标准》（GB14761.1～14761.7～93），若其尾气不能达标排放，必须配置消烟除尘设备；施工机械使用无铅汽油等优质燃料；严格执行《汽车报废标准》，推行强制更新报废制度，特别是对发动机耗油多、效率低、排放尾气严重超标的老旧车辆，应予以及时更新。</w:t>
            </w:r>
          </w:p>
          <w:p>
            <w:pPr>
              <w:bidi w:val="0"/>
              <w:rPr>
                <w:rFonts w:hint="eastAsia"/>
                <w:color w:val="auto"/>
                <w:lang w:val="en-US" w:eastAsia="zh-CN"/>
              </w:rPr>
            </w:pPr>
            <w:r>
              <w:rPr>
                <w:rFonts w:hint="eastAsia"/>
                <w:color w:val="auto"/>
                <w:lang w:val="en-US" w:eastAsia="zh-CN"/>
              </w:rPr>
              <w:t>（3）装修废气控制措施</w:t>
            </w:r>
          </w:p>
          <w:p>
            <w:pPr>
              <w:numPr>
                <w:ilvl w:val="0"/>
                <w:numId w:val="0"/>
              </w:numPr>
              <w:bidi w:val="0"/>
              <w:ind w:firstLine="480" w:firstLineChars="200"/>
              <w:rPr>
                <w:rFonts w:hint="default"/>
                <w:color w:val="auto"/>
                <w:lang w:val="en-US" w:eastAsia="zh-CN"/>
              </w:rPr>
            </w:pPr>
            <w:r>
              <w:rPr>
                <w:rFonts w:hint="default"/>
                <w:color w:val="auto"/>
                <w:lang w:val="en-US" w:eastAsia="zh-CN"/>
              </w:rPr>
              <w:t>装饰建材中的有机化合物在不同的室温下挥发为气体，对室内空气造成污染。轻者可以引起慢性中毒，重者就会影响人体的造血机能、呼吸系统、神经系统、免疫系统。</w:t>
            </w:r>
            <w:r>
              <w:rPr>
                <w:rFonts w:hint="eastAsia"/>
                <w:color w:val="auto"/>
                <w:lang w:val="en-US" w:eastAsia="zh-CN"/>
              </w:rPr>
              <w:t>应</w:t>
            </w:r>
            <w:r>
              <w:rPr>
                <w:rFonts w:hint="default"/>
                <w:color w:val="auto"/>
                <w:lang w:val="en-US" w:eastAsia="zh-CN"/>
              </w:rPr>
              <w:t>采用绿色原料、加强通风</w:t>
            </w:r>
            <w:r>
              <w:rPr>
                <w:rFonts w:hint="eastAsia"/>
                <w:color w:val="auto"/>
                <w:lang w:val="en-US" w:eastAsia="zh-CN"/>
              </w:rPr>
              <w:t>。</w:t>
            </w:r>
          </w:p>
          <w:p>
            <w:pPr>
              <w:bidi w:val="0"/>
              <w:ind w:left="0" w:leftChars="0" w:firstLine="0" w:firstLineChars="0"/>
              <w:rPr>
                <w:rFonts w:hint="eastAsia"/>
                <w:b/>
                <w:bCs/>
                <w:color w:val="auto"/>
                <w:lang w:val="en-US" w:eastAsia="zh-CN"/>
              </w:rPr>
            </w:pPr>
            <w:r>
              <w:rPr>
                <w:rFonts w:hint="eastAsia"/>
                <w:b/>
                <w:bCs/>
                <w:color w:val="auto"/>
                <w:lang w:val="en-US" w:eastAsia="zh-CN"/>
              </w:rPr>
              <w:t>3、声环境保护措施</w:t>
            </w:r>
          </w:p>
          <w:p>
            <w:pPr>
              <w:bidi w:val="0"/>
              <w:rPr>
                <w:color w:val="auto"/>
              </w:rPr>
            </w:pPr>
            <w:r>
              <w:rPr>
                <w:rFonts w:hint="eastAsia"/>
                <w:color w:val="auto"/>
                <w:lang w:val="en-US" w:eastAsia="zh-CN"/>
              </w:rPr>
              <w:t>（1）噪声源控制</w:t>
            </w:r>
          </w:p>
          <w:p>
            <w:pPr>
              <w:bidi w:val="0"/>
              <w:rPr>
                <w:color w:val="auto"/>
              </w:rPr>
            </w:pPr>
            <w:r>
              <w:rPr>
                <w:rFonts w:hint="eastAsia"/>
                <w:color w:val="auto"/>
                <w:lang w:val="en-US" w:eastAsia="zh-CN"/>
              </w:rPr>
              <w:t>改进施工技术，尽量选用低噪声的设备和工艺；机动车辆的喇叭选用指向性强的低噪声喇叭；加强机械设备的维修和保养，减少运行噪声；车辆穿行居民区、学校时，应减速行驶，禁止高音鸣笛。合理制定“三材”及土料运输线路，尽可能绕过集镇街区、居民区及学校等敏感区域。</w:t>
            </w:r>
          </w:p>
          <w:p>
            <w:pPr>
              <w:bidi w:val="0"/>
              <w:rPr>
                <w:color w:val="auto"/>
              </w:rPr>
            </w:pPr>
            <w:r>
              <w:rPr>
                <w:rFonts w:hint="eastAsia"/>
                <w:color w:val="auto"/>
                <w:lang w:val="en-US" w:eastAsia="zh-CN"/>
              </w:rPr>
              <w:t>（2）合理安排施工时段</w:t>
            </w:r>
          </w:p>
          <w:p>
            <w:pPr>
              <w:bidi w:val="0"/>
              <w:ind w:left="0" w:leftChars="0" w:firstLine="480" w:firstLineChars="200"/>
              <w:rPr>
                <w:rFonts w:hint="eastAsia"/>
                <w:color w:val="auto"/>
                <w:lang w:val="en-US" w:eastAsia="zh-CN"/>
              </w:rPr>
            </w:pPr>
            <w:r>
              <w:rPr>
                <w:rFonts w:hint="eastAsia"/>
                <w:color w:val="auto"/>
                <w:lang w:val="en-US" w:eastAsia="zh-CN"/>
              </w:rPr>
              <w:t>合理安排施工计划和施工机械设备组合以及施工时间，避免在中午（12:00-14:00）和夜间（23:00-7:00）施工，避免在同一时间集中使用大量的动力机械设备。施工单位严格执行《建筑施工场界噪声限值》（GB12523-2011）的要求，在施工过程中，尽量减少运行动力机械设备的数量，尽可能使动力机械设备均匀地使用。</w:t>
            </w:r>
          </w:p>
          <w:p>
            <w:pPr>
              <w:bidi w:val="0"/>
              <w:ind w:left="0" w:leftChars="0" w:firstLine="0" w:firstLineChars="0"/>
              <w:rPr>
                <w:rFonts w:hint="eastAsia"/>
                <w:b/>
                <w:bCs/>
                <w:color w:val="auto"/>
                <w:lang w:val="en-US" w:eastAsia="zh-CN"/>
              </w:rPr>
            </w:pPr>
            <w:r>
              <w:rPr>
                <w:rFonts w:hint="eastAsia"/>
                <w:b/>
                <w:bCs/>
                <w:color w:val="auto"/>
                <w:lang w:val="en-US" w:eastAsia="zh-CN"/>
              </w:rPr>
              <w:t>4、固体废物环境保护措施</w:t>
            </w:r>
          </w:p>
          <w:p>
            <w:pPr>
              <w:bidi w:val="0"/>
              <w:rPr>
                <w:rFonts w:hint="eastAsia"/>
                <w:color w:val="auto"/>
                <w:lang w:val="en-US" w:eastAsia="zh-CN"/>
              </w:rPr>
            </w:pPr>
            <w:r>
              <w:rPr>
                <w:rFonts w:hint="default"/>
                <w:color w:val="auto"/>
                <w:lang w:val="en-US" w:eastAsia="zh-CN"/>
              </w:rPr>
              <w:t>根据建设方提供的设计方案，项目基坑开挖的土方全部用于回填，不需要外运处置。项目固体废物主要来自施工阶段产生的建筑垃圾、施工人员生活垃圾。</w:t>
            </w:r>
            <w:r>
              <w:rPr>
                <w:rFonts w:hint="eastAsia"/>
                <w:color w:val="auto"/>
                <w:lang w:val="en-US" w:eastAsia="zh-CN"/>
              </w:rPr>
              <w:t>产生的建筑垃圾和施工人员生活垃圾统一交给环卫部门清运处理，对周围影响较小。</w:t>
            </w:r>
          </w:p>
          <w:p>
            <w:pPr>
              <w:bidi w:val="0"/>
              <w:ind w:left="0" w:leftChars="0" w:firstLine="0" w:firstLineChars="0"/>
              <w:rPr>
                <w:rFonts w:hint="eastAsia"/>
                <w:b/>
                <w:bCs/>
                <w:color w:val="auto"/>
                <w:lang w:val="en-US" w:eastAsia="zh-CN"/>
              </w:rPr>
            </w:pPr>
            <w:r>
              <w:rPr>
                <w:rFonts w:hint="eastAsia"/>
                <w:b/>
                <w:bCs/>
                <w:color w:val="auto"/>
                <w:lang w:val="en-US" w:eastAsia="zh-CN"/>
              </w:rPr>
              <w:t>5、</w:t>
            </w:r>
            <w:r>
              <w:rPr>
                <w:rFonts w:hint="eastAsia"/>
                <w:b/>
                <w:bCs/>
                <w:color w:val="auto"/>
                <w:shd w:val="clear" w:color="auto" w:fill="auto"/>
                <w:lang w:val="en-US" w:eastAsia="zh-CN"/>
              </w:rPr>
              <w:t>生态环境保护与恢复措施</w:t>
            </w:r>
          </w:p>
          <w:p>
            <w:pPr>
              <w:bidi w:val="0"/>
              <w:rPr>
                <w:rFonts w:hint="default"/>
                <w:color w:val="auto"/>
                <w:lang w:val="en-US"/>
              </w:rPr>
            </w:pPr>
            <w:r>
              <w:rPr>
                <w:rFonts w:hint="eastAsia"/>
                <w:color w:val="auto"/>
                <w:lang w:val="en-US" w:eastAsia="zh-CN"/>
              </w:rPr>
              <w:t>（1）水土流失防治措施</w:t>
            </w:r>
          </w:p>
          <w:p>
            <w:pPr>
              <w:bidi w:val="0"/>
              <w:rPr>
                <w:rFonts w:hint="eastAsia"/>
                <w:color w:val="auto"/>
                <w:highlight w:val="none"/>
                <w:lang w:eastAsia="zh-CN"/>
              </w:rPr>
            </w:pPr>
            <w:r>
              <w:rPr>
                <w:color w:val="auto"/>
                <w:highlight w:val="none"/>
              </w:rPr>
              <w:t>本项目水土流失防治责任范围包括建构筑物区、道路广场区、绿化区</w:t>
            </w:r>
            <w:r>
              <w:rPr>
                <w:rFonts w:hint="eastAsia"/>
                <w:color w:val="auto"/>
                <w:highlight w:val="none"/>
                <w:lang w:val="en-US" w:eastAsia="zh-CN"/>
              </w:rPr>
              <w:t>、水域区、拓展用地区、临时停车场区</w:t>
            </w:r>
            <w:r>
              <w:rPr>
                <w:color w:val="auto"/>
                <w:highlight w:val="none"/>
              </w:rPr>
              <w:t>共</w:t>
            </w:r>
            <w:r>
              <w:rPr>
                <w:rFonts w:hint="eastAsia"/>
                <w:color w:val="auto"/>
                <w:highlight w:val="none"/>
                <w:lang w:eastAsia="zh-CN"/>
              </w:rPr>
              <w:t>六</w:t>
            </w:r>
            <w:r>
              <w:rPr>
                <w:color w:val="auto"/>
                <w:highlight w:val="none"/>
              </w:rPr>
              <w:t>个建设分区，</w:t>
            </w:r>
            <w:r>
              <w:rPr>
                <w:rFonts w:hint="eastAsia"/>
                <w:color w:val="auto"/>
                <w:highlight w:val="none"/>
                <w:lang w:eastAsia="zh-CN"/>
              </w:rPr>
              <w:t>本项目</w:t>
            </w:r>
            <w:r>
              <w:rPr>
                <w:color w:val="auto"/>
                <w:highlight w:val="none"/>
              </w:rPr>
              <w:t>无取土场和弃渣场，防治责任范围面积共计</w:t>
            </w:r>
            <w:r>
              <w:rPr>
                <w:rFonts w:hint="eastAsia"/>
                <w:color w:val="auto"/>
                <w:highlight w:val="none"/>
                <w:lang w:val="en-US" w:eastAsia="zh-CN"/>
              </w:rPr>
              <w:t>17.6795</w:t>
            </w:r>
            <w:r>
              <w:rPr>
                <w:rFonts w:hint="eastAsia"/>
                <w:color w:val="auto"/>
                <w:highlight w:val="none"/>
              </w:rPr>
              <w:t>h</w:t>
            </w:r>
            <w:r>
              <w:rPr>
                <w:color w:val="auto"/>
                <w:highlight w:val="none"/>
              </w:rPr>
              <w:t>m</w:t>
            </w:r>
            <w:r>
              <w:rPr>
                <w:color w:val="auto"/>
                <w:highlight w:val="none"/>
                <w:vertAlign w:val="superscript"/>
              </w:rPr>
              <w:t>2</w:t>
            </w:r>
            <w:r>
              <w:rPr>
                <w:rFonts w:hint="eastAsia"/>
                <w:color w:val="auto"/>
                <w:highlight w:val="none"/>
              </w:rPr>
              <w:t>（施工临时设施均布设在主体工程区之内，不重复计入防治责任面积）</w:t>
            </w:r>
            <w:r>
              <w:rPr>
                <w:rFonts w:hint="eastAsia"/>
                <w:color w:val="auto"/>
                <w:highlight w:val="none"/>
                <w:lang w:eastAsia="zh-CN"/>
              </w:rPr>
              <w:t>。</w:t>
            </w:r>
          </w:p>
          <w:p>
            <w:pPr>
              <w:ind w:firstLine="480"/>
              <w:rPr>
                <w:color w:val="auto"/>
                <w:highlight w:val="none"/>
              </w:rPr>
            </w:pPr>
            <w:r>
              <w:rPr>
                <w:rFonts w:hint="eastAsia"/>
                <w:color w:val="auto"/>
                <w:lang w:val="en-US" w:eastAsia="zh-CN"/>
              </w:rPr>
              <w:t>水土保持措施总体布局为：</w:t>
            </w:r>
            <w:r>
              <w:rPr>
                <w:color w:val="auto"/>
                <w:highlight w:val="none"/>
              </w:rPr>
              <w:t>项目区水土流失防治按照“三同时”制度进行。水土保持措施布设做到先全局，后局部，先重点，后一般，不重不漏，轻重缓急，区别对待，其总的指导思想为：工程措施和植物措施有机结合，点、线、面上水土流失防治相辅，充分发挥工程措施控制性和时效性，保证在短时期内遏制或减少水土流失，再利用土地整治和林草措施涵水保土，实现水土流失彻底防治。</w:t>
            </w:r>
          </w:p>
          <w:p>
            <w:pPr>
              <w:ind w:firstLine="480"/>
              <w:rPr>
                <w:rFonts w:hint="eastAsia" w:eastAsia="宋体"/>
                <w:color w:val="auto"/>
                <w:highlight w:val="none"/>
                <w:lang w:eastAsia="zh-CN"/>
              </w:rPr>
            </w:pPr>
            <w:r>
              <w:rPr>
                <w:color w:val="auto"/>
                <w:highlight w:val="none"/>
              </w:rPr>
              <w:t>1、对建构筑物区主要做好预防保护及土石方平衡和合理调运利用，优化施工工艺，施工过程中特别是基坑施工过程的排水沉砂工作。</w:t>
            </w:r>
            <w:r>
              <w:rPr>
                <w:rFonts w:hint="eastAsia"/>
                <w:color w:val="auto"/>
                <w:highlight w:val="none"/>
                <w:lang w:eastAsia="zh-CN"/>
              </w:rPr>
              <w:t>在施工过程中</w:t>
            </w:r>
            <w:r>
              <w:rPr>
                <w:rFonts w:hint="eastAsia"/>
                <w:color w:val="auto"/>
                <w:highlight w:val="none"/>
                <w:lang w:val="en-US" w:eastAsia="zh-CN"/>
              </w:rPr>
              <w:t>拟</w:t>
            </w:r>
            <w:r>
              <w:rPr>
                <w:rFonts w:hint="eastAsia"/>
                <w:color w:val="auto"/>
                <w:highlight w:val="none"/>
                <w:lang w:eastAsia="zh-CN"/>
              </w:rPr>
              <w:t>采取</w:t>
            </w:r>
            <w:r>
              <w:rPr>
                <w:rFonts w:hint="eastAsia"/>
                <w:color w:val="auto"/>
              </w:rPr>
              <w:t>表土剥离、临时排水沟、</w:t>
            </w:r>
            <w:r>
              <w:rPr>
                <w:rFonts w:hint="eastAsia"/>
                <w:color w:val="auto"/>
                <w:lang w:eastAsia="zh-CN"/>
              </w:rPr>
              <w:t>临时沉沙池、</w:t>
            </w:r>
            <w:r>
              <w:rPr>
                <w:rFonts w:hint="eastAsia"/>
                <w:color w:val="auto"/>
              </w:rPr>
              <w:t>临时覆盖、挡土板等</w:t>
            </w:r>
            <w:r>
              <w:rPr>
                <w:rFonts w:hint="eastAsia"/>
                <w:color w:val="auto"/>
                <w:lang w:eastAsia="zh-CN"/>
              </w:rPr>
              <w:t>措施，完建后水保措施有：</w:t>
            </w:r>
            <w:r>
              <w:rPr>
                <w:rFonts w:hint="eastAsia"/>
                <w:color w:val="auto"/>
              </w:rPr>
              <w:t>浆砌排水沟、浆砌沉砂池、雨水井、地下室排水井、地下室排水沟</w:t>
            </w:r>
            <w:r>
              <w:rPr>
                <w:rFonts w:hint="eastAsia"/>
                <w:color w:val="auto"/>
                <w:lang w:eastAsia="zh-CN"/>
              </w:rPr>
              <w:t>等</w:t>
            </w:r>
            <w:r>
              <w:rPr>
                <w:rFonts w:hint="eastAsia"/>
                <w:color w:val="auto"/>
              </w:rPr>
              <w:t>。</w:t>
            </w:r>
          </w:p>
          <w:p>
            <w:pPr>
              <w:ind w:firstLine="480"/>
              <w:rPr>
                <w:rFonts w:hint="eastAsia" w:eastAsia="宋体"/>
                <w:color w:val="auto"/>
                <w:highlight w:val="none"/>
                <w:lang w:eastAsia="zh-CN"/>
              </w:rPr>
            </w:pPr>
            <w:r>
              <w:rPr>
                <w:color w:val="auto"/>
                <w:highlight w:val="none"/>
              </w:rPr>
              <w:t>2、对道路广场区</w:t>
            </w:r>
            <w:r>
              <w:rPr>
                <w:rFonts w:hint="eastAsia"/>
                <w:color w:val="auto"/>
                <w:highlight w:val="none"/>
                <w:lang w:eastAsia="zh-CN"/>
              </w:rPr>
              <w:t>施工</w:t>
            </w:r>
            <w:r>
              <w:rPr>
                <w:color w:val="auto"/>
                <w:highlight w:val="none"/>
              </w:rPr>
              <w:t>期</w:t>
            </w:r>
            <w:r>
              <w:rPr>
                <w:rFonts w:hint="eastAsia"/>
                <w:color w:val="auto"/>
                <w:highlight w:val="none"/>
                <w:lang w:val="en-US" w:eastAsia="zh-CN"/>
              </w:rPr>
              <w:t>拟</w:t>
            </w:r>
            <w:r>
              <w:rPr>
                <w:rFonts w:hint="eastAsia"/>
                <w:color w:val="auto"/>
                <w:highlight w:val="none"/>
                <w:lang w:eastAsia="zh-CN"/>
              </w:rPr>
              <w:t>采取表土剥离、</w:t>
            </w:r>
            <w:r>
              <w:rPr>
                <w:color w:val="auto"/>
                <w:highlight w:val="none"/>
              </w:rPr>
              <w:t>临时排水</w:t>
            </w:r>
            <w:r>
              <w:rPr>
                <w:rFonts w:hint="eastAsia"/>
                <w:color w:val="auto"/>
                <w:highlight w:val="none"/>
                <w:lang w:eastAsia="zh-CN"/>
              </w:rPr>
              <w:t>、沉沙及临时覆盖等</w:t>
            </w:r>
            <w:r>
              <w:rPr>
                <w:color w:val="auto"/>
                <w:highlight w:val="none"/>
              </w:rPr>
              <w:t>措施，</w:t>
            </w:r>
            <w:r>
              <w:rPr>
                <w:rFonts w:hint="eastAsia"/>
                <w:color w:val="auto"/>
                <w:highlight w:val="none"/>
                <w:lang w:eastAsia="zh-CN"/>
              </w:rPr>
              <w:t>完建后水保措施有路边排水沟及雨水井等</w:t>
            </w:r>
            <w:r>
              <w:rPr>
                <w:color w:val="auto"/>
                <w:highlight w:val="none"/>
              </w:rPr>
              <w:t>。</w:t>
            </w:r>
          </w:p>
          <w:p>
            <w:pPr>
              <w:ind w:firstLine="480"/>
              <w:rPr>
                <w:rFonts w:hint="eastAsia"/>
                <w:color w:val="auto"/>
                <w:highlight w:val="none"/>
                <w:lang w:eastAsia="zh-CN"/>
              </w:rPr>
            </w:pPr>
            <w:r>
              <w:rPr>
                <w:color w:val="auto"/>
                <w:highlight w:val="none"/>
              </w:rPr>
              <w:t>3、对绿化区进行</w:t>
            </w:r>
            <w:r>
              <w:rPr>
                <w:rFonts w:hint="eastAsia"/>
                <w:color w:val="auto"/>
                <w:highlight w:val="none"/>
                <w:lang w:eastAsia="zh-CN"/>
              </w:rPr>
              <w:t>表土剥离、表土返还及植物措施等</w:t>
            </w:r>
            <w:r>
              <w:rPr>
                <w:color w:val="auto"/>
                <w:highlight w:val="none"/>
              </w:rPr>
              <w:t>水保措施，</w:t>
            </w:r>
            <w:r>
              <w:rPr>
                <w:rFonts w:hint="eastAsia"/>
                <w:color w:val="auto"/>
                <w:highlight w:val="none"/>
                <w:lang w:val="en-US" w:eastAsia="zh-CN"/>
              </w:rPr>
              <w:t>拟</w:t>
            </w:r>
            <w:r>
              <w:rPr>
                <w:color w:val="auto"/>
                <w:highlight w:val="none"/>
              </w:rPr>
              <w:t>用于临时堆土区域的拦挡、排水、覆盖等</w:t>
            </w:r>
            <w:r>
              <w:rPr>
                <w:rFonts w:hint="eastAsia"/>
                <w:color w:val="auto"/>
                <w:highlight w:val="none"/>
                <w:lang w:eastAsia="zh-CN"/>
              </w:rPr>
              <w:t>临时</w:t>
            </w:r>
            <w:r>
              <w:rPr>
                <w:color w:val="auto"/>
                <w:highlight w:val="none"/>
              </w:rPr>
              <w:t>措施。</w:t>
            </w:r>
          </w:p>
          <w:p>
            <w:pPr>
              <w:ind w:firstLine="480"/>
              <w:rPr>
                <w:rFonts w:hint="eastAsia" w:eastAsia="宋体"/>
                <w:color w:val="auto"/>
                <w:highlight w:val="none"/>
                <w:lang w:eastAsia="zh-CN"/>
              </w:rPr>
            </w:pPr>
            <w:r>
              <w:rPr>
                <w:rFonts w:hint="eastAsia"/>
                <w:color w:val="auto"/>
                <w:highlight w:val="none"/>
                <w:lang w:val="en-US" w:eastAsia="zh-CN"/>
              </w:rPr>
              <w:t>4、</w:t>
            </w:r>
            <w:r>
              <w:rPr>
                <w:color w:val="auto"/>
                <w:highlight w:val="none"/>
              </w:rPr>
              <w:t>对</w:t>
            </w:r>
            <w:r>
              <w:rPr>
                <w:rFonts w:hint="eastAsia"/>
                <w:color w:val="auto"/>
                <w:highlight w:val="none"/>
                <w:lang w:eastAsia="zh-CN"/>
              </w:rPr>
              <w:t>水域</w:t>
            </w:r>
            <w:r>
              <w:rPr>
                <w:color w:val="auto"/>
                <w:highlight w:val="none"/>
              </w:rPr>
              <w:t>区</w:t>
            </w:r>
            <w:r>
              <w:rPr>
                <w:rFonts w:hint="eastAsia"/>
                <w:color w:val="auto"/>
                <w:highlight w:val="none"/>
                <w:lang w:eastAsia="zh-CN"/>
              </w:rPr>
              <w:t>施工期</w:t>
            </w:r>
            <w:r>
              <w:rPr>
                <w:rFonts w:hint="eastAsia"/>
                <w:color w:val="auto"/>
                <w:highlight w:val="none"/>
                <w:lang w:val="en-US" w:eastAsia="zh-CN"/>
              </w:rPr>
              <w:t>拟</w:t>
            </w:r>
            <w:r>
              <w:rPr>
                <w:rFonts w:hint="eastAsia"/>
                <w:color w:val="auto"/>
                <w:highlight w:val="none"/>
                <w:lang w:eastAsia="zh-CN"/>
              </w:rPr>
              <w:t>采取表土剥离等措施，开挖断面采取临时覆盖等</w:t>
            </w:r>
            <w:r>
              <w:rPr>
                <w:color w:val="auto"/>
                <w:highlight w:val="none"/>
              </w:rPr>
              <w:t>措施</w:t>
            </w:r>
            <w:r>
              <w:rPr>
                <w:rFonts w:hint="eastAsia"/>
                <w:color w:val="auto"/>
                <w:highlight w:val="none"/>
                <w:lang w:eastAsia="zh-CN"/>
              </w:rPr>
              <w:t>。</w:t>
            </w:r>
          </w:p>
          <w:p>
            <w:pPr>
              <w:ind w:firstLine="480"/>
              <w:rPr>
                <w:color w:val="auto"/>
                <w:highlight w:val="none"/>
              </w:rPr>
            </w:pPr>
            <w:r>
              <w:rPr>
                <w:rFonts w:hint="eastAsia"/>
                <w:color w:val="auto"/>
                <w:highlight w:val="none"/>
                <w:lang w:val="en-US" w:eastAsia="zh-CN"/>
              </w:rPr>
              <w:t>5</w:t>
            </w:r>
            <w:r>
              <w:rPr>
                <w:color w:val="auto"/>
                <w:highlight w:val="none"/>
              </w:rPr>
              <w:t>、对</w:t>
            </w:r>
            <w:r>
              <w:rPr>
                <w:rFonts w:hint="eastAsia"/>
                <w:color w:val="auto"/>
                <w:highlight w:val="none"/>
                <w:lang w:eastAsia="zh-CN"/>
              </w:rPr>
              <w:t>临时停车</w:t>
            </w:r>
            <w:r>
              <w:rPr>
                <w:color w:val="auto"/>
                <w:highlight w:val="none"/>
              </w:rPr>
              <w:t>区</w:t>
            </w:r>
            <w:r>
              <w:rPr>
                <w:rFonts w:hint="eastAsia"/>
                <w:color w:val="auto"/>
                <w:highlight w:val="none"/>
                <w:lang w:eastAsia="zh-CN"/>
              </w:rPr>
              <w:t>（二期用地）场平期</w:t>
            </w:r>
            <w:r>
              <w:rPr>
                <w:rFonts w:hint="eastAsia"/>
                <w:color w:val="auto"/>
                <w:highlight w:val="none"/>
                <w:lang w:val="en-US" w:eastAsia="zh-CN"/>
              </w:rPr>
              <w:t>拟</w:t>
            </w:r>
            <w:r>
              <w:rPr>
                <w:rFonts w:hint="eastAsia"/>
                <w:color w:val="auto"/>
                <w:highlight w:val="none"/>
                <w:lang w:eastAsia="zh-CN"/>
              </w:rPr>
              <w:t>采取表土剥离等</w:t>
            </w:r>
            <w:r>
              <w:rPr>
                <w:color w:val="auto"/>
                <w:highlight w:val="none"/>
              </w:rPr>
              <w:t>水保措施，</w:t>
            </w:r>
            <w:r>
              <w:rPr>
                <w:rFonts w:hint="eastAsia"/>
                <w:color w:val="auto"/>
                <w:highlight w:val="none"/>
                <w:lang w:eastAsia="zh-CN"/>
              </w:rPr>
              <w:t>在停车场四周</w:t>
            </w:r>
            <w:r>
              <w:rPr>
                <w:rFonts w:hint="eastAsia"/>
                <w:color w:val="auto"/>
                <w:highlight w:val="none"/>
                <w:lang w:val="en-US" w:eastAsia="zh-CN"/>
              </w:rPr>
              <w:t>拟</w:t>
            </w:r>
            <w:r>
              <w:rPr>
                <w:rFonts w:hint="eastAsia"/>
                <w:color w:val="auto"/>
                <w:highlight w:val="none"/>
                <w:lang w:eastAsia="zh-CN"/>
              </w:rPr>
              <w:t>布置排水沟、沉沙池等临时措施。停车场内</w:t>
            </w:r>
            <w:r>
              <w:rPr>
                <w:color w:val="auto"/>
                <w:highlight w:val="none"/>
              </w:rPr>
              <w:t>临时堆土区</w:t>
            </w:r>
            <w:r>
              <w:rPr>
                <w:rFonts w:hint="eastAsia"/>
                <w:color w:val="auto"/>
                <w:highlight w:val="none"/>
                <w:lang w:val="en-US" w:eastAsia="zh-CN"/>
              </w:rPr>
              <w:t>拟</w:t>
            </w:r>
            <w:r>
              <w:rPr>
                <w:rFonts w:hint="eastAsia"/>
                <w:color w:val="auto"/>
                <w:highlight w:val="none"/>
                <w:lang w:eastAsia="zh-CN"/>
              </w:rPr>
              <w:t>采取</w:t>
            </w:r>
            <w:r>
              <w:rPr>
                <w:color w:val="auto"/>
                <w:highlight w:val="none"/>
              </w:rPr>
              <w:t>拦挡、排水、覆盖等</w:t>
            </w:r>
            <w:r>
              <w:rPr>
                <w:rFonts w:hint="eastAsia"/>
                <w:color w:val="auto"/>
                <w:highlight w:val="none"/>
                <w:lang w:eastAsia="zh-CN"/>
              </w:rPr>
              <w:t>临时</w:t>
            </w:r>
            <w:r>
              <w:rPr>
                <w:color w:val="auto"/>
                <w:highlight w:val="none"/>
              </w:rPr>
              <w:t>措施</w:t>
            </w:r>
            <w:r>
              <w:rPr>
                <w:rFonts w:hint="eastAsia"/>
                <w:color w:val="auto"/>
                <w:highlight w:val="none"/>
                <w:lang w:eastAsia="zh-CN"/>
              </w:rPr>
              <w:t>，施工生产生活区</w:t>
            </w:r>
            <w:r>
              <w:rPr>
                <w:rFonts w:hint="eastAsia"/>
                <w:color w:val="auto"/>
                <w:highlight w:val="none"/>
                <w:lang w:val="en-US" w:eastAsia="zh-CN"/>
              </w:rPr>
              <w:t>拟</w:t>
            </w:r>
            <w:r>
              <w:rPr>
                <w:rFonts w:hint="eastAsia"/>
                <w:color w:val="auto"/>
                <w:highlight w:val="none"/>
                <w:lang w:eastAsia="zh-CN"/>
              </w:rPr>
              <w:t>采取排水、沉沙等临时措施</w:t>
            </w:r>
            <w:r>
              <w:rPr>
                <w:color w:val="auto"/>
                <w:highlight w:val="none"/>
              </w:rPr>
              <w:t>。</w:t>
            </w:r>
          </w:p>
          <w:p>
            <w:pPr>
              <w:ind w:firstLine="480"/>
              <w:rPr>
                <w:rFonts w:hint="eastAsia" w:eastAsia="宋体"/>
                <w:color w:val="auto"/>
                <w:highlight w:val="none"/>
                <w:lang w:eastAsia="zh-CN"/>
              </w:rPr>
            </w:pPr>
            <w:r>
              <w:rPr>
                <w:rFonts w:hint="eastAsia"/>
                <w:color w:val="auto"/>
                <w:lang w:val="en-US" w:eastAsia="zh-CN"/>
              </w:rPr>
              <w:t>6、拓展用地区位于项目北面，规划为停车场用地，</w:t>
            </w:r>
            <w:r>
              <w:rPr>
                <w:rFonts w:hint="eastAsia"/>
                <w:color w:val="auto"/>
                <w:highlight w:val="none"/>
                <w:lang w:eastAsia="zh-CN"/>
              </w:rPr>
              <w:t>该区场平期</w:t>
            </w:r>
            <w:r>
              <w:rPr>
                <w:rFonts w:hint="eastAsia"/>
                <w:color w:val="auto"/>
                <w:highlight w:val="none"/>
                <w:lang w:val="en-US" w:eastAsia="zh-CN"/>
              </w:rPr>
              <w:t>拟</w:t>
            </w:r>
            <w:r>
              <w:rPr>
                <w:rFonts w:hint="eastAsia"/>
                <w:color w:val="auto"/>
                <w:highlight w:val="none"/>
                <w:lang w:eastAsia="zh-CN"/>
              </w:rPr>
              <w:t>采取表土剥离等水保措施，对裸露土体</w:t>
            </w:r>
            <w:r>
              <w:rPr>
                <w:rFonts w:hint="eastAsia"/>
                <w:color w:val="auto"/>
                <w:highlight w:val="none"/>
                <w:lang w:val="en-US" w:eastAsia="zh-CN"/>
              </w:rPr>
              <w:t>拟</w:t>
            </w:r>
            <w:r>
              <w:rPr>
                <w:rFonts w:hint="eastAsia"/>
                <w:color w:val="auto"/>
                <w:highlight w:val="none"/>
                <w:lang w:eastAsia="zh-CN"/>
              </w:rPr>
              <w:t>采取临时覆盖，在拓展用地四周</w:t>
            </w:r>
            <w:r>
              <w:rPr>
                <w:rFonts w:hint="eastAsia"/>
                <w:color w:val="auto"/>
                <w:highlight w:val="none"/>
                <w:lang w:val="en-US" w:eastAsia="zh-CN"/>
              </w:rPr>
              <w:t>拟</w:t>
            </w:r>
            <w:r>
              <w:rPr>
                <w:rFonts w:hint="eastAsia"/>
                <w:color w:val="auto"/>
                <w:highlight w:val="none"/>
                <w:lang w:eastAsia="zh-CN"/>
              </w:rPr>
              <w:t>布置临时排水沟、临时沉沙等临时</w:t>
            </w:r>
            <w:r>
              <w:rPr>
                <w:color w:val="auto"/>
                <w:highlight w:val="none"/>
              </w:rPr>
              <w:t>措施</w:t>
            </w:r>
            <w:r>
              <w:rPr>
                <w:rFonts w:hint="eastAsia"/>
                <w:color w:val="auto"/>
                <w:highlight w:val="none"/>
                <w:lang w:eastAsia="zh-CN"/>
              </w:rPr>
              <w:t>。主设</w:t>
            </w:r>
            <w:r>
              <w:rPr>
                <w:rFonts w:hint="eastAsia"/>
                <w:color w:val="auto"/>
                <w:highlight w:val="none"/>
                <w:lang w:val="en-US" w:eastAsia="zh-CN"/>
              </w:rPr>
              <w:t>拟</w:t>
            </w:r>
            <w:r>
              <w:rPr>
                <w:rFonts w:hint="eastAsia"/>
                <w:color w:val="auto"/>
                <w:highlight w:val="none"/>
                <w:lang w:eastAsia="zh-CN"/>
              </w:rPr>
              <w:t>布置停车场的排水管网、停车场</w:t>
            </w:r>
            <w:r>
              <w:rPr>
                <w:rFonts w:hint="eastAsia"/>
                <w:color w:val="auto"/>
                <w:lang w:val="zh-TW" w:eastAsia="zh-TW"/>
              </w:rPr>
              <w:t>植草砖铺装</w:t>
            </w:r>
            <w:r>
              <w:rPr>
                <w:rFonts w:hint="eastAsia"/>
                <w:color w:val="auto"/>
                <w:highlight w:val="none"/>
                <w:lang w:eastAsia="zh-CN"/>
              </w:rPr>
              <w:t>等，拓展用地土体</w:t>
            </w:r>
            <w:r>
              <w:rPr>
                <w:rFonts w:hint="eastAsia"/>
                <w:color w:val="auto"/>
                <w:highlight w:val="none"/>
                <w:lang w:val="en-US" w:eastAsia="zh-CN"/>
              </w:rPr>
              <w:t>拟</w:t>
            </w:r>
            <w:r>
              <w:rPr>
                <w:rFonts w:hint="eastAsia"/>
                <w:color w:val="auto"/>
                <w:highlight w:val="none"/>
                <w:lang w:eastAsia="zh-CN"/>
              </w:rPr>
              <w:t>采用盖土网覆盖，但是考虑裸露时期较长，盖土网经日晒雨淋产生破损，建议对拓展用地新增撒播草籽，通过植物措施以防止雨水冲刷造成水土流失。</w:t>
            </w:r>
          </w:p>
          <w:p>
            <w:pPr>
              <w:bidi w:val="0"/>
              <w:rPr>
                <w:rFonts w:hint="eastAsia"/>
                <w:color w:val="auto"/>
                <w:highlight w:val="none"/>
                <w:lang w:val="en-US" w:eastAsia="zh-CN"/>
              </w:rPr>
            </w:pPr>
            <w:r>
              <w:rPr>
                <w:color w:val="auto"/>
                <w:highlight w:val="none"/>
              </w:rPr>
              <w:t>水土流失防治措施体系</w:t>
            </w:r>
            <w:r>
              <w:rPr>
                <w:rFonts w:hint="eastAsia"/>
                <w:color w:val="auto"/>
                <w:highlight w:val="none"/>
                <w:lang w:val="en-US" w:eastAsia="zh-CN"/>
              </w:rPr>
              <w:t>见下图。</w:t>
            </w:r>
          </w:p>
          <w:p>
            <w:pPr>
              <w:bidi w:val="0"/>
              <w:ind w:left="0" w:leftChars="0" w:firstLine="0" w:firstLineChars="0"/>
              <w:jc w:val="center"/>
              <w:rPr>
                <w:rFonts w:hint="eastAsia" w:eastAsia="宋体"/>
                <w:color w:val="auto"/>
                <w:lang w:eastAsia="zh-CN"/>
              </w:rPr>
            </w:pPr>
            <w:r>
              <w:rPr>
                <w:rFonts w:hint="eastAsia" w:eastAsia="宋体"/>
                <w:color w:val="auto"/>
                <w:lang w:eastAsia="zh-CN"/>
              </w:rPr>
              <w:drawing>
                <wp:inline distT="0" distB="0" distL="114300" distR="114300">
                  <wp:extent cx="3896995" cy="4612640"/>
                  <wp:effectExtent l="0" t="0" r="0" b="0"/>
                  <wp:docPr id="21" name="ECB019B1-382A-4266-B25C-5B523AA43C14-2" descr="C:/Users/Administrator/AppData/Local/Temp/wps.yKnWOW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CB019B1-382A-4266-B25C-5B523AA43C14-2" descr="C:/Users/Administrator/AppData/Local/Temp/wps.yKnWOWwps"/>
                          <pic:cNvPicPr>
                            <a:picLocks noChangeAspect="1"/>
                          </pic:cNvPicPr>
                        </pic:nvPicPr>
                        <pic:blipFill>
                          <a:blip r:embed="rId62"/>
                          <a:stretch>
                            <a:fillRect/>
                          </a:stretch>
                        </pic:blipFill>
                        <pic:spPr>
                          <a:xfrm>
                            <a:off x="0" y="0"/>
                            <a:ext cx="3896995" cy="4612640"/>
                          </a:xfrm>
                          <a:prstGeom prst="rect">
                            <a:avLst/>
                          </a:prstGeom>
                        </pic:spPr>
                      </pic:pic>
                    </a:graphicData>
                  </a:graphic>
                </wp:inline>
              </w:drawing>
            </w:r>
          </w:p>
          <w:p>
            <w:pPr>
              <w:pStyle w:val="18"/>
              <w:bidi w:val="0"/>
              <w:rPr>
                <w:rFonts w:hint="default"/>
                <w:color w:val="auto"/>
                <w:lang w:val="en-US" w:eastAsia="zh-CN"/>
              </w:rPr>
            </w:pPr>
            <w:r>
              <w:rPr>
                <w:rFonts w:hint="eastAsia"/>
                <w:color w:val="auto"/>
                <w:lang w:val="en-US" w:eastAsia="zh-CN"/>
              </w:rPr>
              <w:t>图6 水土流失防治措施体系图</w:t>
            </w:r>
          </w:p>
          <w:p>
            <w:pPr>
              <w:bidi w:val="0"/>
              <w:rPr>
                <w:rFonts w:hint="default"/>
                <w:b/>
                <w:bCs/>
                <w:color w:val="auto"/>
                <w:lang w:val="en-US"/>
              </w:rPr>
            </w:pPr>
            <w:r>
              <w:rPr>
                <w:rFonts w:hint="eastAsia"/>
                <w:b/>
                <w:bCs/>
                <w:color w:val="auto"/>
                <w:lang w:val="en-US" w:eastAsia="zh-CN"/>
              </w:rPr>
              <w:t>1）建构筑物区</w:t>
            </w:r>
          </w:p>
          <w:p>
            <w:pPr>
              <w:bidi w:val="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①工程措施</w:t>
            </w:r>
          </w:p>
          <w:p>
            <w:pPr>
              <w:bidi w:val="0"/>
              <w:rPr>
                <w:rFonts w:hint="eastAsia" w:cs="Times New Roman"/>
                <w:color w:val="auto"/>
                <w:sz w:val="24"/>
                <w:szCs w:val="36"/>
                <w:highlight w:val="none"/>
                <w:vertAlign w:val="baseline"/>
                <w:lang w:eastAsia="zh-CN"/>
              </w:rPr>
            </w:pPr>
            <w:r>
              <w:rPr>
                <w:rFonts w:hint="eastAsia"/>
                <w:color w:val="auto"/>
                <w:highlight w:val="none"/>
                <w:lang w:eastAsia="zh-CN"/>
              </w:rPr>
              <w:t>为保护表土资源，在正式施工前，</w:t>
            </w:r>
            <w:r>
              <w:rPr>
                <w:rFonts w:hint="eastAsia"/>
                <w:color w:val="auto"/>
                <w:highlight w:val="none"/>
                <w:lang w:val="en-US" w:eastAsia="zh-CN"/>
              </w:rPr>
              <w:t>需</w:t>
            </w:r>
            <w:r>
              <w:rPr>
                <w:rFonts w:hint="eastAsia"/>
                <w:color w:val="auto"/>
                <w:highlight w:val="none"/>
                <w:lang w:eastAsia="zh-CN"/>
              </w:rPr>
              <w:t>将工程区内表土进行剥离，并进行集中堆放，剥离量</w:t>
            </w:r>
            <w:r>
              <w:rPr>
                <w:rFonts w:hint="eastAsia"/>
                <w:color w:val="auto"/>
                <w:highlight w:val="none"/>
                <w:lang w:val="en-US" w:eastAsia="zh-CN"/>
              </w:rPr>
              <w:t>约</w:t>
            </w:r>
            <w:r>
              <w:rPr>
                <w:rFonts w:hint="eastAsia"/>
                <w:color w:val="auto"/>
                <w:highlight w:val="none"/>
                <w:lang w:eastAsia="zh-CN"/>
              </w:rPr>
              <w:t>为</w:t>
            </w:r>
            <w:r>
              <w:rPr>
                <w:rFonts w:hint="eastAsia"/>
                <w:color w:val="auto"/>
                <w:highlight w:val="none"/>
                <w:lang w:val="en-US" w:eastAsia="zh-CN"/>
              </w:rPr>
              <w:t>2100</w:t>
            </w:r>
            <w:r>
              <w:rPr>
                <w:rFonts w:hint="default" w:ascii="Times New Roman" w:hAnsi="Times New Roman" w:cs="Times New Roman"/>
                <w:color w:val="auto"/>
                <w:sz w:val="24"/>
                <w:szCs w:val="36"/>
                <w:highlight w:val="none"/>
              </w:rPr>
              <w:t>m</w:t>
            </w:r>
            <w:r>
              <w:rPr>
                <w:rFonts w:hint="default" w:ascii="Times New Roman" w:hAnsi="Times New Roman" w:cs="Times New Roman"/>
                <w:color w:val="auto"/>
                <w:sz w:val="24"/>
                <w:szCs w:val="36"/>
                <w:highlight w:val="none"/>
                <w:vertAlign w:val="superscript"/>
              </w:rPr>
              <w:t>3</w:t>
            </w:r>
            <w:r>
              <w:rPr>
                <w:rFonts w:hint="eastAsia" w:cs="Times New Roman"/>
                <w:color w:val="auto"/>
                <w:sz w:val="24"/>
                <w:szCs w:val="36"/>
                <w:highlight w:val="none"/>
                <w:vertAlign w:val="baseline"/>
                <w:lang w:eastAsia="zh-CN"/>
              </w:rPr>
              <w:t>。剥离后表土堆置在绿化区内，各区剥离的表土就近堆放，待绿化区施工时采用表土进行回填。</w:t>
            </w:r>
          </w:p>
          <w:p>
            <w:pPr>
              <w:bidi w:val="0"/>
              <w:rPr>
                <w:rFonts w:hint="default" w:eastAsia="宋体"/>
                <w:color w:val="auto"/>
                <w:highlight w:val="none"/>
                <w:lang w:val="en-US" w:eastAsia="zh-CN"/>
              </w:rPr>
            </w:pPr>
            <w:r>
              <w:rPr>
                <w:rFonts w:hint="eastAsia"/>
                <w:color w:val="auto"/>
                <w:highlight w:val="none"/>
                <w:lang w:eastAsia="zh-CN"/>
              </w:rPr>
              <w:t>主体工程设计在建构筑物预埋</w:t>
            </w:r>
            <w:r>
              <w:rPr>
                <w:rFonts w:hint="eastAsia"/>
                <w:color w:val="auto"/>
                <w:highlight w:val="none"/>
                <w:lang w:val="en-US" w:eastAsia="zh-CN"/>
              </w:rPr>
              <w:t>地下DN400PE雨水管1850m及地面砼排水沟480m收集场内雨水，地面砼排水沟为矩形排水沟，断面尺寸0.4*0.4，沉沙池共计4个，收集后的雨水经沉沙池沉淀后汇入场外排水系统。</w:t>
            </w:r>
          </w:p>
          <w:p>
            <w:pPr>
              <w:bidi w:val="0"/>
              <w:rPr>
                <w:rFonts w:hint="eastAsia"/>
                <w:color w:val="auto"/>
                <w:lang w:val="en-US" w:eastAsia="zh-CN"/>
              </w:rPr>
            </w:pPr>
            <w:r>
              <w:rPr>
                <w:rFonts w:hint="eastAsia"/>
                <w:color w:val="auto"/>
                <w:lang w:val="en-US" w:eastAsia="zh-CN"/>
              </w:rPr>
              <w:t>②临时措施</w:t>
            </w:r>
          </w:p>
          <w:p>
            <w:pPr>
              <w:numPr>
                <w:ilvl w:val="0"/>
                <w:numId w:val="15"/>
              </w:numPr>
              <w:bidi w:val="0"/>
              <w:rPr>
                <w:color w:val="auto"/>
              </w:rPr>
            </w:pPr>
            <w:r>
              <w:rPr>
                <w:rFonts w:hint="default" w:ascii="Times New Roman" w:hAnsi="Times New Roman" w:cs="Times New Roman"/>
                <w:color w:val="auto"/>
                <w:highlight w:val="none"/>
                <w:lang w:eastAsia="zh-CN"/>
              </w:rPr>
              <w:t>工程建设区扰动后</w:t>
            </w:r>
            <w:r>
              <w:rPr>
                <w:rFonts w:hint="default" w:ascii="Times New Roman" w:hAnsi="Times New Roman" w:cs="Times New Roman"/>
                <w:color w:val="auto"/>
                <w:highlight w:val="none"/>
              </w:rPr>
              <w:t>，</w:t>
            </w:r>
            <w:r>
              <w:rPr>
                <w:rFonts w:hint="eastAsia" w:cs="Times New Roman"/>
                <w:color w:val="auto"/>
                <w:highlight w:val="none"/>
                <w:lang w:val="en-US" w:eastAsia="zh-CN"/>
              </w:rPr>
              <w:t>需</w:t>
            </w:r>
            <w:r>
              <w:rPr>
                <w:rFonts w:hint="default" w:ascii="Times New Roman" w:hAnsi="Times New Roman" w:cs="Times New Roman"/>
                <w:color w:val="auto"/>
                <w:highlight w:val="none"/>
                <w:lang w:eastAsia="zh-CN"/>
              </w:rPr>
              <w:t>布置</w:t>
            </w:r>
            <w:r>
              <w:rPr>
                <w:rFonts w:hint="default" w:ascii="Times New Roman" w:hAnsi="Times New Roman" w:cs="Times New Roman"/>
                <w:color w:val="auto"/>
                <w:highlight w:val="none"/>
              </w:rPr>
              <w:t>有效的排水措施</w:t>
            </w:r>
            <w:r>
              <w:rPr>
                <w:rFonts w:hint="default" w:ascii="Times New Roman" w:hAnsi="Times New Roman" w:cs="Times New Roman"/>
                <w:color w:val="auto"/>
                <w:highlight w:val="none"/>
                <w:lang w:eastAsia="zh-CN"/>
              </w:rPr>
              <w:t>以避免大量水土流失</w:t>
            </w:r>
            <w:r>
              <w:rPr>
                <w:rFonts w:hint="default" w:ascii="Times New Roman" w:hAnsi="Times New Roman" w:cs="Times New Roman"/>
                <w:color w:val="auto"/>
                <w:highlight w:val="none"/>
              </w:rPr>
              <w:t>。</w:t>
            </w:r>
            <w:r>
              <w:rPr>
                <w:rFonts w:hint="eastAsia" w:cs="Times New Roman"/>
                <w:color w:val="auto"/>
                <w:highlight w:val="none"/>
                <w:lang w:eastAsia="zh-CN"/>
              </w:rPr>
              <w:t>场平时在场内四周</w:t>
            </w:r>
            <w:r>
              <w:rPr>
                <w:rFonts w:hint="eastAsia" w:cs="Times New Roman"/>
                <w:color w:val="auto"/>
                <w:highlight w:val="none"/>
                <w:lang w:val="en-US" w:eastAsia="zh-CN"/>
              </w:rPr>
              <w:t>拟</w:t>
            </w:r>
            <w:r>
              <w:rPr>
                <w:rFonts w:hint="default" w:ascii="Times New Roman" w:hAnsi="Times New Roman" w:cs="Times New Roman"/>
                <w:color w:val="auto"/>
                <w:highlight w:val="none"/>
              </w:rPr>
              <w:t>设置临时排水沟，以排除</w:t>
            </w:r>
            <w:r>
              <w:rPr>
                <w:rFonts w:hint="default" w:ascii="Times New Roman" w:hAnsi="Times New Roman" w:cs="Times New Roman"/>
                <w:color w:val="auto"/>
                <w:highlight w:val="none"/>
                <w:lang w:eastAsia="zh-CN"/>
              </w:rPr>
              <w:t>工程区内</w:t>
            </w:r>
            <w:r>
              <w:rPr>
                <w:rFonts w:hint="default" w:ascii="Times New Roman" w:hAnsi="Times New Roman" w:cs="Times New Roman"/>
                <w:color w:val="auto"/>
                <w:highlight w:val="none"/>
              </w:rPr>
              <w:t>积水</w:t>
            </w:r>
            <w:r>
              <w:rPr>
                <w:rFonts w:hint="eastAsia" w:cs="Times New Roman"/>
                <w:color w:val="auto"/>
                <w:highlight w:val="none"/>
                <w:lang w:eastAsia="zh-CN"/>
              </w:rPr>
              <w:t>，</w:t>
            </w:r>
            <w:r>
              <w:rPr>
                <w:rFonts w:hint="default" w:ascii="Times New Roman" w:hAnsi="Times New Roman" w:cs="Times New Roman"/>
                <w:color w:val="auto"/>
                <w:highlight w:val="none"/>
              </w:rPr>
              <w:t>布置的排水沟尺寸为</w:t>
            </w:r>
            <w:r>
              <w:rPr>
                <w:rFonts w:hint="eastAsia" w:cs="Times New Roman"/>
                <w:color w:val="auto"/>
                <w:highlight w:val="none"/>
                <w:lang w:val="en-US" w:eastAsia="zh-CN"/>
              </w:rPr>
              <w:t>1.0</w:t>
            </w:r>
            <w:r>
              <w:rPr>
                <w:rFonts w:hint="default" w:ascii="Times New Roman" w:hAnsi="Times New Roman" w:cs="Times New Roman"/>
                <w:color w:val="auto"/>
                <w:highlight w:val="none"/>
              </w:rPr>
              <w:t>m（顶宽）×0.</w:t>
            </w:r>
            <w:r>
              <w:rPr>
                <w:rFonts w:hint="eastAsia" w:cs="Times New Roman"/>
                <w:color w:val="auto"/>
                <w:highlight w:val="none"/>
                <w:lang w:val="en-US" w:eastAsia="zh-CN"/>
              </w:rPr>
              <w:t>4</w:t>
            </w:r>
            <w:r>
              <w:rPr>
                <w:rFonts w:hint="default" w:ascii="Times New Roman" w:hAnsi="Times New Roman" w:cs="Times New Roman"/>
                <w:color w:val="auto"/>
                <w:highlight w:val="none"/>
              </w:rPr>
              <w:t>m（底宽）×0.</w:t>
            </w:r>
            <w:r>
              <w:rPr>
                <w:rFonts w:hint="eastAsia" w:cs="Times New Roman"/>
                <w:color w:val="auto"/>
                <w:highlight w:val="none"/>
                <w:lang w:val="en-US" w:eastAsia="zh-CN"/>
              </w:rPr>
              <w:t>4</w:t>
            </w:r>
            <w:r>
              <w:rPr>
                <w:rFonts w:hint="default" w:ascii="Times New Roman" w:hAnsi="Times New Roman" w:cs="Times New Roman"/>
                <w:color w:val="auto"/>
                <w:highlight w:val="none"/>
              </w:rPr>
              <w:t>m（高），总长度为</w:t>
            </w:r>
            <w:r>
              <w:rPr>
                <w:rFonts w:hint="eastAsia" w:cs="Times New Roman"/>
                <w:color w:val="auto"/>
                <w:highlight w:val="none"/>
                <w:lang w:val="en-US" w:eastAsia="zh-CN"/>
              </w:rPr>
              <w:t>885</w:t>
            </w:r>
            <w:r>
              <w:rPr>
                <w:rFonts w:hint="default" w:ascii="Times New Roman" w:hAnsi="Times New Roman" w:cs="Times New Roman"/>
                <w:color w:val="auto"/>
                <w:highlight w:val="none"/>
              </w:rPr>
              <w:t>m，排水坡降为0.3%；同时设置沉沙池，相应的沉沙池形式为矩形，尺寸为2.5m（长）×2.0m（宽）×1.5m（深），</w:t>
            </w:r>
            <w:r>
              <w:rPr>
                <w:rFonts w:hint="eastAsia" w:cs="Times New Roman"/>
                <w:color w:val="auto"/>
                <w:highlight w:val="none"/>
                <w:lang w:eastAsia="zh-CN"/>
              </w:rPr>
              <w:t>施工时</w:t>
            </w:r>
            <w:r>
              <w:rPr>
                <w:rFonts w:hint="eastAsia" w:cs="Times New Roman"/>
                <w:color w:val="auto"/>
                <w:highlight w:val="none"/>
                <w:lang w:val="en-US" w:eastAsia="zh-CN"/>
              </w:rPr>
              <w:t>拟</w:t>
            </w:r>
            <w:r>
              <w:rPr>
                <w:rFonts w:hint="default" w:ascii="Times New Roman" w:hAnsi="Times New Roman" w:cs="Times New Roman"/>
                <w:color w:val="auto"/>
                <w:highlight w:val="none"/>
              </w:rPr>
              <w:t>设置</w:t>
            </w:r>
            <w:r>
              <w:rPr>
                <w:rFonts w:hint="eastAsia" w:cs="Times New Roman"/>
                <w:color w:val="auto"/>
                <w:highlight w:val="none"/>
                <w:lang w:val="en-US" w:eastAsia="zh-CN"/>
              </w:rPr>
              <w:t>6</w:t>
            </w:r>
            <w:r>
              <w:rPr>
                <w:rFonts w:hint="default" w:ascii="Times New Roman" w:hAnsi="Times New Roman" w:cs="Times New Roman"/>
                <w:color w:val="auto"/>
                <w:highlight w:val="none"/>
              </w:rPr>
              <w:t>个沉沙池；经沉淀后的雨水引入</w:t>
            </w:r>
            <w:r>
              <w:rPr>
                <w:rFonts w:hint="eastAsia" w:cs="Times New Roman"/>
                <w:color w:val="auto"/>
                <w:highlight w:val="none"/>
                <w:lang w:eastAsia="zh-CN"/>
              </w:rPr>
              <w:t>场外排水沟渠</w:t>
            </w:r>
            <w:r>
              <w:rPr>
                <w:rFonts w:hint="default" w:ascii="Times New Roman" w:hAnsi="Times New Roman" w:cs="Times New Roman"/>
                <w:color w:val="auto"/>
                <w:highlight w:val="none"/>
              </w:rPr>
              <w:t>。</w:t>
            </w:r>
          </w:p>
          <w:p>
            <w:pPr>
              <w:bidi w:val="0"/>
              <w:rPr>
                <w:rFonts w:hint="default"/>
                <w:color w:val="auto"/>
                <w:lang w:val="en-US"/>
              </w:rPr>
            </w:pPr>
            <w:r>
              <w:rPr>
                <w:rFonts w:hint="eastAsia"/>
                <w:b/>
                <w:bCs/>
                <w:color w:val="auto"/>
                <w:lang w:val="en-US" w:eastAsia="zh-CN"/>
              </w:rPr>
              <w:t>2）道路广场区</w:t>
            </w:r>
          </w:p>
          <w:p>
            <w:pPr>
              <w:ind w:firstLine="480"/>
              <w:rPr>
                <w:rFonts w:hint="default" w:eastAsia="宋体"/>
                <w:color w:val="auto"/>
                <w:highlight w:val="none"/>
                <w:lang w:val="en-US" w:eastAsia="zh-CN"/>
              </w:rPr>
            </w:pPr>
            <w:r>
              <w:rPr>
                <w:rFonts w:hint="eastAsia"/>
                <w:color w:val="auto"/>
                <w:highlight w:val="none"/>
                <w:lang w:val="en-US" w:eastAsia="zh-CN"/>
              </w:rPr>
              <w:t>①工程措施</w:t>
            </w:r>
          </w:p>
          <w:p>
            <w:pPr>
              <w:ind w:firstLine="480"/>
              <w:rPr>
                <w:color w:val="auto"/>
                <w:highlight w:val="none"/>
              </w:rPr>
            </w:pPr>
            <w:r>
              <w:rPr>
                <w:color w:val="auto"/>
                <w:highlight w:val="none"/>
              </w:rPr>
              <w:t>本项目道路广场区主要为场区硬化道路、停车坪等，占地面积为</w:t>
            </w:r>
            <w:r>
              <w:rPr>
                <w:rFonts w:hint="eastAsia"/>
                <w:color w:val="auto"/>
                <w:highlight w:val="none"/>
                <w:lang w:val="en-US" w:eastAsia="zh-CN"/>
              </w:rPr>
              <w:t>4.639</w:t>
            </w:r>
            <w:r>
              <w:rPr>
                <w:color w:val="auto"/>
                <w:highlight w:val="none"/>
              </w:rPr>
              <w:t>hm</w:t>
            </w:r>
            <w:r>
              <w:rPr>
                <w:color w:val="auto"/>
                <w:highlight w:val="none"/>
                <w:vertAlign w:val="superscript"/>
              </w:rPr>
              <w:t>2</w:t>
            </w:r>
            <w:r>
              <w:rPr>
                <w:color w:val="auto"/>
                <w:highlight w:val="none"/>
              </w:rPr>
              <w:t>，</w:t>
            </w:r>
            <w:r>
              <w:rPr>
                <w:rFonts w:hint="eastAsia"/>
                <w:color w:val="auto"/>
                <w:highlight w:val="none"/>
              </w:rPr>
              <w:t>本区表土剥离</w:t>
            </w:r>
            <w:r>
              <w:rPr>
                <w:rFonts w:hint="eastAsia"/>
                <w:color w:val="auto"/>
                <w:highlight w:val="none"/>
                <w:lang w:val="en-US" w:eastAsia="zh-CN"/>
              </w:rPr>
              <w:t>4000</w:t>
            </w:r>
            <w:r>
              <w:rPr>
                <w:color w:val="auto"/>
                <w:highlight w:val="none"/>
              </w:rPr>
              <w:t>m</w:t>
            </w:r>
            <w:r>
              <w:rPr>
                <w:color w:val="auto"/>
                <w:highlight w:val="none"/>
                <w:vertAlign w:val="superscript"/>
              </w:rPr>
              <w:t>3</w:t>
            </w:r>
            <w:r>
              <w:rPr>
                <w:color w:val="auto"/>
                <w:highlight w:val="none"/>
              </w:rPr>
              <w:t>，</w:t>
            </w:r>
            <w:r>
              <w:rPr>
                <w:rFonts w:hint="eastAsia"/>
                <w:color w:val="auto"/>
                <w:highlight w:val="none"/>
              </w:rPr>
              <w:t>堆放在临时堆土区。</w:t>
            </w:r>
            <w:r>
              <w:rPr>
                <w:color w:val="auto"/>
                <w:highlight w:val="none"/>
              </w:rPr>
              <w:t>本</w:t>
            </w:r>
            <w:r>
              <w:rPr>
                <w:rFonts w:hint="eastAsia"/>
                <w:color w:val="auto"/>
                <w:highlight w:val="none"/>
              </w:rPr>
              <w:t>项目主体工程</w:t>
            </w:r>
            <w:r>
              <w:rPr>
                <w:rFonts w:hint="eastAsia" w:cs="Times New Roman"/>
                <w:color w:val="auto"/>
                <w:highlight w:val="none"/>
                <w:lang w:val="en-US" w:eastAsia="zh-CN"/>
              </w:rPr>
              <w:t>拟设置</w:t>
            </w:r>
            <w:r>
              <w:rPr>
                <w:rFonts w:hint="eastAsia"/>
                <w:color w:val="auto"/>
                <w:highlight w:val="none"/>
              </w:rPr>
              <w:t>排水沟</w:t>
            </w:r>
            <w:r>
              <w:rPr>
                <w:rFonts w:hint="eastAsia"/>
                <w:color w:val="auto"/>
                <w:highlight w:val="none"/>
                <w:lang w:val="en-US" w:eastAsia="zh-CN"/>
              </w:rPr>
              <w:t>54</w:t>
            </w:r>
            <w:r>
              <w:rPr>
                <w:rFonts w:hint="eastAsia"/>
                <w:color w:val="auto"/>
                <w:highlight w:val="none"/>
              </w:rPr>
              <w:t>0m及沉沙池</w:t>
            </w:r>
            <w:r>
              <w:rPr>
                <w:rFonts w:hint="eastAsia"/>
                <w:color w:val="auto"/>
                <w:highlight w:val="none"/>
                <w:lang w:val="en-US" w:eastAsia="zh-CN"/>
              </w:rPr>
              <w:t>4</w:t>
            </w:r>
            <w:r>
              <w:rPr>
                <w:rFonts w:hint="eastAsia"/>
                <w:color w:val="auto"/>
                <w:highlight w:val="none"/>
              </w:rPr>
              <w:t>座，</w:t>
            </w:r>
            <w:r>
              <w:rPr>
                <w:rFonts w:hint="eastAsia"/>
                <w:color w:val="auto"/>
                <w:highlight w:val="none"/>
                <w:lang w:val="en-US" w:eastAsia="zh-CN"/>
              </w:rPr>
              <w:t>应能</w:t>
            </w:r>
            <w:r>
              <w:rPr>
                <w:rFonts w:hint="eastAsia"/>
                <w:color w:val="auto"/>
                <w:highlight w:val="none"/>
                <w:lang w:eastAsia="zh-CN"/>
              </w:rPr>
              <w:t>满足道路广场区排水需要</w:t>
            </w:r>
            <w:r>
              <w:rPr>
                <w:color w:val="auto"/>
                <w:highlight w:val="none"/>
              </w:rPr>
              <w:t>。</w:t>
            </w:r>
          </w:p>
          <w:p>
            <w:pPr>
              <w:bidi w:val="0"/>
              <w:rPr>
                <w:rFonts w:hint="eastAsia"/>
                <w:color w:val="auto"/>
                <w:lang w:val="en-US" w:eastAsia="zh-CN"/>
              </w:rPr>
            </w:pPr>
            <w:r>
              <w:rPr>
                <w:rFonts w:hint="eastAsia"/>
                <w:color w:val="auto"/>
                <w:lang w:val="en-US" w:eastAsia="zh-CN"/>
              </w:rPr>
              <w:t>②临时措施</w:t>
            </w:r>
          </w:p>
          <w:p>
            <w:pPr>
              <w:bidi w:val="0"/>
              <w:rPr>
                <w:rFonts w:hint="default"/>
                <w:color w:val="auto"/>
                <w:lang w:val="en-US" w:eastAsia="zh-CN"/>
              </w:rPr>
            </w:pPr>
            <w:r>
              <w:rPr>
                <w:color w:val="auto"/>
              </w:rPr>
              <w:t>主要针对</w:t>
            </w:r>
            <w:r>
              <w:rPr>
                <w:rFonts w:hint="eastAsia"/>
                <w:color w:val="auto"/>
              </w:rPr>
              <w:t>施工</w:t>
            </w:r>
            <w:r>
              <w:rPr>
                <w:color w:val="auto"/>
              </w:rPr>
              <w:t>期和道路广场硬化前进行水土保持措施布置，</w:t>
            </w:r>
            <w:r>
              <w:rPr>
                <w:rFonts w:hint="eastAsia"/>
                <w:color w:val="auto"/>
                <w:lang w:val="en-US" w:eastAsia="zh-CN"/>
              </w:rPr>
              <w:t>表土剥离后，在路面未铺设砼之前需进行盖土网覆盖，防止雨水冲刷。</w:t>
            </w:r>
            <w:r>
              <w:rPr>
                <w:rFonts w:hint="eastAsia"/>
                <w:color w:val="auto"/>
                <w:lang w:eastAsia="zh-CN"/>
              </w:rPr>
              <w:t>施工时对整个扰动区</w:t>
            </w:r>
            <w:r>
              <w:rPr>
                <w:rFonts w:hint="eastAsia" w:cs="Times New Roman"/>
                <w:color w:val="auto"/>
                <w:highlight w:val="none"/>
                <w:lang w:val="en-US" w:eastAsia="zh-CN"/>
              </w:rPr>
              <w:t>拟</w:t>
            </w:r>
            <w:r>
              <w:rPr>
                <w:rFonts w:hint="eastAsia"/>
                <w:color w:val="auto"/>
                <w:lang w:eastAsia="zh-CN"/>
              </w:rPr>
              <w:t>采用盖土网进行临时覆盖</w:t>
            </w:r>
            <w:r>
              <w:rPr>
                <w:rFonts w:hint="eastAsia"/>
                <w:color w:val="auto"/>
                <w:lang w:val="en-US" w:eastAsia="zh-CN"/>
              </w:rPr>
              <w:t>。施工期在道路旁</w:t>
            </w:r>
            <w:r>
              <w:rPr>
                <w:rFonts w:hint="eastAsia" w:cs="Times New Roman"/>
                <w:color w:val="auto"/>
                <w:highlight w:val="none"/>
                <w:lang w:val="en-US" w:eastAsia="zh-CN"/>
              </w:rPr>
              <w:t>拟</w:t>
            </w:r>
            <w:r>
              <w:rPr>
                <w:rFonts w:hint="eastAsia"/>
                <w:color w:val="auto"/>
                <w:lang w:val="en-US" w:eastAsia="zh-CN"/>
              </w:rPr>
              <w:t>布置临时排水系统，拟设临时排水沟540m，沉沙池4个，后期可对排水沟进行了硬化，永临结合利用。</w:t>
            </w:r>
          </w:p>
          <w:p>
            <w:pPr>
              <w:bidi w:val="0"/>
              <w:rPr>
                <w:color w:val="auto"/>
              </w:rPr>
            </w:pPr>
            <w:r>
              <w:rPr>
                <w:rFonts w:hint="eastAsia"/>
                <w:b/>
                <w:bCs/>
                <w:color w:val="auto"/>
                <w:lang w:val="en-US" w:eastAsia="zh-CN"/>
              </w:rPr>
              <w:t>3）绿化区</w:t>
            </w:r>
          </w:p>
          <w:p>
            <w:pPr>
              <w:ind w:firstLine="480"/>
              <w:rPr>
                <w:rFonts w:hint="eastAsia"/>
                <w:color w:val="auto"/>
                <w:highlight w:val="none"/>
              </w:rPr>
            </w:pPr>
            <w:r>
              <w:rPr>
                <w:color w:val="auto"/>
                <w:highlight w:val="none"/>
              </w:rPr>
              <w:t>本项目绿化区占地面积为</w:t>
            </w:r>
            <w:r>
              <w:rPr>
                <w:rFonts w:hint="eastAsia"/>
                <w:color w:val="auto"/>
                <w:highlight w:val="none"/>
                <w:lang w:val="en-US" w:eastAsia="zh-CN"/>
              </w:rPr>
              <w:t>4.1976</w:t>
            </w:r>
            <w:r>
              <w:rPr>
                <w:color w:val="auto"/>
                <w:highlight w:val="none"/>
              </w:rPr>
              <w:t>hm</w:t>
            </w:r>
            <w:r>
              <w:rPr>
                <w:color w:val="auto"/>
                <w:highlight w:val="none"/>
                <w:vertAlign w:val="superscript"/>
              </w:rPr>
              <w:t>2</w:t>
            </w:r>
            <w:r>
              <w:rPr>
                <w:color w:val="auto"/>
                <w:highlight w:val="none"/>
              </w:rPr>
              <w:t>，包括场区植被绿化等，绿化区主要靠覆土回填形成，其松散的土体在遇大雨时极易发生较大水土流失，</w:t>
            </w:r>
            <w:r>
              <w:rPr>
                <w:rFonts w:hint="eastAsia"/>
                <w:color w:val="auto"/>
                <w:highlight w:val="none"/>
                <w:lang w:val="en-US" w:eastAsia="zh-CN"/>
              </w:rPr>
              <w:t>需</w:t>
            </w:r>
            <w:r>
              <w:rPr>
                <w:color w:val="auto"/>
                <w:highlight w:val="none"/>
              </w:rPr>
              <w:t>对其可能造成的水土流失采取相应措施。绿化区在场平期需布置排水和沉砂设施，由于道路广场区已整体布置，所以本区不再重复；而本区后期覆土时，场区的永久排水系统可以承担排水任务，施工期排水沉沙措施与道路广场区共用</w:t>
            </w:r>
            <w:r>
              <w:rPr>
                <w:rFonts w:hint="eastAsia"/>
                <w:color w:val="auto"/>
                <w:highlight w:val="none"/>
              </w:rPr>
              <w:t>。</w:t>
            </w:r>
          </w:p>
          <w:p>
            <w:pPr>
              <w:bidi w:val="0"/>
              <w:rPr>
                <w:rFonts w:hint="default"/>
                <w:color w:val="auto"/>
                <w:lang w:val="en-US" w:eastAsia="zh-CN"/>
              </w:rPr>
            </w:pPr>
            <w:r>
              <w:rPr>
                <w:rFonts w:hint="eastAsia"/>
                <w:color w:val="auto"/>
                <w:lang w:val="en-US" w:eastAsia="zh-CN"/>
              </w:rPr>
              <w:t>①工程措施</w:t>
            </w:r>
          </w:p>
          <w:p>
            <w:pPr>
              <w:bidi w:val="0"/>
              <w:rPr>
                <w:color w:val="auto"/>
                <w:highlight w:val="none"/>
              </w:rPr>
            </w:pPr>
            <w:r>
              <w:rPr>
                <w:color w:val="auto"/>
                <w:highlight w:val="none"/>
              </w:rPr>
              <w:t>本区开挖前将表土进行剥离，</w:t>
            </w:r>
            <w:r>
              <w:rPr>
                <w:rFonts w:hint="eastAsia"/>
                <w:color w:val="auto"/>
                <w:highlight w:val="none"/>
              </w:rPr>
              <w:t>剥离表土</w:t>
            </w:r>
            <w:r>
              <w:rPr>
                <w:rFonts w:hint="eastAsia"/>
                <w:color w:val="auto"/>
                <w:highlight w:val="none"/>
                <w:lang w:val="en-US" w:eastAsia="zh-CN"/>
              </w:rPr>
              <w:t>2700</w:t>
            </w:r>
            <w:r>
              <w:rPr>
                <w:rFonts w:hint="eastAsia"/>
                <w:color w:val="auto"/>
                <w:highlight w:val="none"/>
              </w:rPr>
              <w:t>m</w:t>
            </w:r>
            <w:r>
              <w:rPr>
                <w:color w:val="auto"/>
                <w:highlight w:val="none"/>
                <w:vertAlign w:val="superscript"/>
              </w:rPr>
              <w:t>3</w:t>
            </w:r>
            <w:r>
              <w:rPr>
                <w:color w:val="auto"/>
                <w:highlight w:val="none"/>
              </w:rPr>
              <w:t>。</w:t>
            </w:r>
            <w:r>
              <w:rPr>
                <w:rFonts w:hint="eastAsia"/>
                <w:color w:val="auto"/>
                <w:highlight w:val="none"/>
                <w:lang w:eastAsia="zh-CN"/>
              </w:rPr>
              <w:t>绿化敷土：</w:t>
            </w:r>
            <w:r>
              <w:rPr>
                <w:color w:val="auto"/>
                <w:highlight w:val="none"/>
              </w:rPr>
              <w:t>工程结束后需对绿化区进行表土</w:t>
            </w:r>
            <w:r>
              <w:rPr>
                <w:rFonts w:hint="eastAsia"/>
                <w:color w:val="auto"/>
                <w:highlight w:val="none"/>
                <w:lang w:eastAsia="zh-CN"/>
              </w:rPr>
              <w:t>及软土</w:t>
            </w:r>
            <w:r>
              <w:rPr>
                <w:color w:val="auto"/>
                <w:highlight w:val="none"/>
              </w:rPr>
              <w:t>回填，以提高绿化植被成活率，绿化区回填量为</w:t>
            </w:r>
            <w:r>
              <w:rPr>
                <w:rFonts w:hint="eastAsia"/>
                <w:color w:val="auto"/>
                <w:highlight w:val="none"/>
                <w:lang w:val="en-US" w:eastAsia="zh-CN"/>
              </w:rPr>
              <w:t>3333</w:t>
            </w:r>
            <w:r>
              <w:rPr>
                <w:rFonts w:hint="eastAsia"/>
                <w:color w:val="auto"/>
                <w:highlight w:val="none"/>
              </w:rPr>
              <w:t>0</w:t>
            </w:r>
            <w:r>
              <w:rPr>
                <w:color w:val="auto"/>
                <w:highlight w:val="none"/>
              </w:rPr>
              <w:t>m</w:t>
            </w:r>
            <w:r>
              <w:rPr>
                <w:color w:val="auto"/>
                <w:highlight w:val="none"/>
                <w:vertAlign w:val="superscript"/>
              </w:rPr>
              <w:t>3</w:t>
            </w:r>
            <w:r>
              <w:rPr>
                <w:color w:val="auto"/>
                <w:highlight w:val="none"/>
              </w:rPr>
              <w:t>。</w:t>
            </w:r>
          </w:p>
          <w:p>
            <w:pPr>
              <w:bidi w:val="0"/>
              <w:rPr>
                <w:rFonts w:hint="eastAsia"/>
                <w:color w:val="auto"/>
                <w:lang w:val="en-US" w:eastAsia="zh-CN"/>
              </w:rPr>
            </w:pPr>
            <w:r>
              <w:rPr>
                <w:rFonts w:hint="eastAsia"/>
                <w:color w:val="auto"/>
                <w:lang w:val="en-US" w:eastAsia="zh-CN"/>
              </w:rPr>
              <w:t>②临时措施</w:t>
            </w:r>
          </w:p>
          <w:p>
            <w:pPr>
              <w:bidi w:val="0"/>
              <w:rPr>
                <w:rFonts w:hint="eastAsia"/>
                <w:color w:val="auto"/>
                <w:highlight w:val="none"/>
                <w:lang w:eastAsia="zh-CN"/>
              </w:rPr>
            </w:pPr>
            <w:r>
              <w:rPr>
                <w:color w:val="auto"/>
                <w:highlight w:val="none"/>
              </w:rPr>
              <w:t>由于场内大量的土方和材料运输，需对运输车辆采取防扬尘措施，主要在运输渣土过程中采取覆盖措施，同时对运输车辆进行定期冲洗，主体工程在主要进出口</w:t>
            </w:r>
            <w:r>
              <w:rPr>
                <w:rFonts w:hint="eastAsia" w:cs="Times New Roman"/>
                <w:color w:val="auto"/>
                <w:highlight w:val="none"/>
                <w:lang w:val="en-US" w:eastAsia="zh-CN"/>
              </w:rPr>
              <w:t>拟</w:t>
            </w:r>
            <w:r>
              <w:rPr>
                <w:color w:val="auto"/>
                <w:highlight w:val="none"/>
              </w:rPr>
              <w:t>布置1座</w:t>
            </w:r>
            <w:r>
              <w:rPr>
                <w:rFonts w:hint="eastAsia"/>
                <w:color w:val="auto"/>
                <w:highlight w:val="none"/>
              </w:rPr>
              <w:t>洗车池</w:t>
            </w:r>
            <w:r>
              <w:rPr>
                <w:color w:val="auto"/>
                <w:highlight w:val="none"/>
              </w:rPr>
              <w:t>，尺寸形式</w:t>
            </w:r>
            <w:r>
              <w:rPr>
                <w:rFonts w:hint="eastAsia"/>
                <w:color w:val="auto"/>
                <w:highlight w:val="none"/>
                <w:lang w:val="en-US" w:eastAsia="zh-CN"/>
              </w:rPr>
              <w:t>预计</w:t>
            </w:r>
            <w:r>
              <w:rPr>
                <w:color w:val="auto"/>
                <w:highlight w:val="none"/>
              </w:rPr>
              <w:t>12m×6.5m。由于土体松散，在草坪铺设、绿化种植等植物措施未施工前需要准备盖土网对其进行覆盖，防止大雨期间产生水泥土进入管道</w:t>
            </w:r>
            <w:r>
              <w:rPr>
                <w:rFonts w:hint="eastAsia"/>
                <w:color w:val="auto"/>
                <w:highlight w:val="none"/>
                <w:lang w:eastAsia="zh-CN"/>
              </w:rPr>
              <w:t>。</w:t>
            </w:r>
          </w:p>
          <w:p>
            <w:pPr>
              <w:bidi w:val="0"/>
              <w:rPr>
                <w:rFonts w:hint="eastAsia"/>
                <w:color w:val="auto"/>
                <w:lang w:val="en-US" w:eastAsia="zh-CN"/>
              </w:rPr>
            </w:pPr>
            <w:r>
              <w:rPr>
                <w:rFonts w:hint="eastAsia"/>
                <w:color w:val="auto"/>
                <w:lang w:val="en-US" w:eastAsia="zh-CN"/>
              </w:rPr>
              <w:t>③植物措施</w:t>
            </w:r>
          </w:p>
          <w:p>
            <w:pPr>
              <w:bidi w:val="0"/>
              <w:rPr>
                <w:color w:val="auto"/>
                <w:highlight w:val="none"/>
              </w:rPr>
            </w:pPr>
            <w:r>
              <w:rPr>
                <w:rFonts w:hint="eastAsia"/>
                <w:color w:val="auto"/>
                <w:highlight w:val="none"/>
                <w:lang w:eastAsia="zh-CN"/>
              </w:rPr>
              <w:t>本项目</w:t>
            </w:r>
            <w:r>
              <w:rPr>
                <w:color w:val="auto"/>
                <w:highlight w:val="none"/>
              </w:rPr>
              <w:t>绿化设计采用重点绿化和一般绿化相结合的方式，拟在建筑四周、主出入口采取重点绿化。可布置绿化休闲广场、花坛、花池、种植供人们观赏的优良花卉和树种，并适当进行垂直绿化。在建筑周围</w:t>
            </w:r>
            <w:r>
              <w:rPr>
                <w:rFonts w:hint="eastAsia"/>
                <w:color w:val="auto"/>
                <w:highlight w:val="none"/>
                <w:lang w:eastAsia="zh-CN"/>
              </w:rPr>
              <w:t>及其</w:t>
            </w:r>
            <w:r>
              <w:rPr>
                <w:color w:val="auto"/>
                <w:highlight w:val="none"/>
              </w:rPr>
              <w:t>它闲散地带可栽植绿篱和草坪、片植、孤植乔木、灌木进行适当点缀，如木芙蓉、四季桂、合欢、紫玉兰、红枫、银杏、紫叶李、侧柏、海棠、柳树、鹅掌楸、白玉兰、梅花、万寿菊、栀子花、杜鹃等适应当地气候、易生长的苗木，能有效地保护和改善生态环境，净化空气改善项目区小气候，长远来看能防止水土流失的恶性循环。</w:t>
            </w:r>
          </w:p>
          <w:p>
            <w:pPr>
              <w:bidi w:val="0"/>
              <w:rPr>
                <w:rFonts w:hint="eastAsia"/>
                <w:color w:val="auto"/>
                <w:lang w:val="en-US" w:eastAsia="zh-CN"/>
              </w:rPr>
            </w:pPr>
            <w:r>
              <w:rPr>
                <w:rFonts w:hint="eastAsia"/>
                <w:color w:val="auto"/>
                <w:lang w:val="en-US" w:eastAsia="zh-CN"/>
              </w:rPr>
              <w:t>④临时堆土</w:t>
            </w:r>
          </w:p>
          <w:p>
            <w:pPr>
              <w:ind w:firstLine="480"/>
              <w:rPr>
                <w:color w:val="auto"/>
                <w:highlight w:val="none"/>
              </w:rPr>
            </w:pPr>
            <w:r>
              <w:rPr>
                <w:rFonts w:hint="eastAsia"/>
                <w:color w:val="auto"/>
                <w:highlight w:val="none"/>
                <w:lang w:eastAsia="zh-CN"/>
              </w:rPr>
              <w:t>本项目</w:t>
            </w:r>
            <w:r>
              <w:rPr>
                <w:color w:val="auto"/>
                <w:highlight w:val="none"/>
              </w:rPr>
              <w:t>表土</w:t>
            </w:r>
            <w:r>
              <w:rPr>
                <w:rFonts w:hint="eastAsia"/>
                <w:color w:val="auto"/>
                <w:highlight w:val="none"/>
                <w:lang w:eastAsia="zh-CN"/>
              </w:rPr>
              <w:t>剥离量</w:t>
            </w:r>
            <w:r>
              <w:rPr>
                <w:color w:val="auto"/>
                <w:highlight w:val="none"/>
              </w:rPr>
              <w:t>为</w:t>
            </w:r>
            <w:r>
              <w:rPr>
                <w:rFonts w:hint="eastAsia"/>
                <w:color w:val="auto"/>
                <w:highlight w:val="none"/>
                <w:lang w:val="en-US" w:eastAsia="zh-CN"/>
              </w:rPr>
              <w:t>1.984</w:t>
            </w:r>
            <w:r>
              <w:rPr>
                <w:color w:val="auto"/>
                <w:highlight w:val="none"/>
              </w:rPr>
              <w:t>万m</w:t>
            </w:r>
            <w:r>
              <w:rPr>
                <w:color w:val="auto"/>
                <w:highlight w:val="none"/>
                <w:vertAlign w:val="superscript"/>
              </w:rPr>
              <w:t>3</w:t>
            </w:r>
            <w:r>
              <w:rPr>
                <w:color w:val="auto"/>
                <w:highlight w:val="none"/>
              </w:rPr>
              <w:t>，</w:t>
            </w:r>
            <w:r>
              <w:rPr>
                <w:rFonts w:hint="eastAsia"/>
                <w:color w:val="auto"/>
                <w:highlight w:val="none"/>
                <w:lang w:eastAsia="zh-CN"/>
              </w:rPr>
              <w:t>清基软土</w:t>
            </w:r>
            <w:r>
              <w:rPr>
                <w:rFonts w:hint="eastAsia"/>
                <w:color w:val="auto"/>
                <w:highlight w:val="none"/>
                <w:lang w:val="en-US" w:eastAsia="zh-CN"/>
              </w:rPr>
              <w:t>1.349</w:t>
            </w:r>
            <w:r>
              <w:rPr>
                <w:color w:val="auto"/>
                <w:highlight w:val="none"/>
              </w:rPr>
              <w:t>万m</w:t>
            </w:r>
            <w:r>
              <w:rPr>
                <w:color w:val="auto"/>
                <w:highlight w:val="none"/>
                <w:vertAlign w:val="superscript"/>
              </w:rPr>
              <w:t>3</w:t>
            </w:r>
            <w:r>
              <w:rPr>
                <w:color w:val="auto"/>
                <w:highlight w:val="none"/>
              </w:rPr>
              <w:t>，</w:t>
            </w:r>
            <w:r>
              <w:rPr>
                <w:rFonts w:hint="eastAsia"/>
                <w:color w:val="auto"/>
                <w:highlight w:val="none"/>
              </w:rPr>
              <w:t>用于后期绿化敷土。</w:t>
            </w:r>
            <w:r>
              <w:rPr>
                <w:color w:val="auto"/>
                <w:highlight w:val="none"/>
              </w:rPr>
              <w:t>工程区内表土进行集中临时堆放作为后期绿化覆土，并严格按照“先拦后弃，先挡后堆”的原则。表土堆</w:t>
            </w:r>
            <w:r>
              <w:rPr>
                <w:rFonts w:hint="eastAsia" w:cs="Times New Roman"/>
                <w:color w:val="auto"/>
                <w:highlight w:val="none"/>
                <w:lang w:val="en-US" w:eastAsia="zh-CN"/>
              </w:rPr>
              <w:t>拟</w:t>
            </w:r>
            <w:r>
              <w:rPr>
                <w:color w:val="auto"/>
                <w:highlight w:val="none"/>
              </w:rPr>
              <w:t>放在</w:t>
            </w:r>
            <w:r>
              <w:rPr>
                <w:rFonts w:hint="eastAsia"/>
                <w:color w:val="auto"/>
                <w:highlight w:val="none"/>
                <w:lang w:eastAsia="zh-CN"/>
              </w:rPr>
              <w:t>南面绿化区位置，为</w:t>
            </w:r>
            <w:r>
              <w:rPr>
                <w:color w:val="auto"/>
                <w:highlight w:val="none"/>
              </w:rPr>
              <w:t>临时堆土区</w:t>
            </w:r>
            <w:r>
              <w:rPr>
                <w:rFonts w:hint="eastAsia"/>
                <w:color w:val="auto"/>
                <w:highlight w:val="none"/>
                <w:lang w:val="en-US" w:eastAsia="zh-CN"/>
              </w:rPr>
              <w:t>1</w:t>
            </w:r>
            <w:r>
              <w:rPr>
                <w:color w:val="auto"/>
                <w:highlight w:val="none"/>
              </w:rPr>
              <w:t>，</w:t>
            </w:r>
            <w:r>
              <w:rPr>
                <w:rFonts w:hint="eastAsia"/>
                <w:color w:val="auto"/>
                <w:highlight w:val="none"/>
                <w:lang w:val="en-US" w:eastAsia="zh-CN"/>
              </w:rPr>
              <w:t>占地面积0.54hm</w:t>
            </w:r>
            <w:r>
              <w:rPr>
                <w:rFonts w:hint="eastAsia"/>
                <w:color w:val="auto"/>
                <w:highlight w:val="none"/>
                <w:vertAlign w:val="superscript"/>
                <w:lang w:val="en-US" w:eastAsia="zh-CN"/>
              </w:rPr>
              <w:t>2</w:t>
            </w:r>
            <w:r>
              <w:rPr>
                <w:rFonts w:hint="eastAsia"/>
                <w:color w:val="auto"/>
                <w:highlight w:val="none"/>
                <w:vertAlign w:val="baseline"/>
                <w:lang w:val="en-US" w:eastAsia="zh-CN"/>
              </w:rPr>
              <w:t>，</w:t>
            </w:r>
            <w:r>
              <w:rPr>
                <w:color w:val="auto"/>
                <w:highlight w:val="none"/>
              </w:rPr>
              <w:t>用于</w:t>
            </w:r>
            <w:r>
              <w:rPr>
                <w:rFonts w:hint="eastAsia"/>
                <w:color w:val="auto"/>
                <w:highlight w:val="none"/>
                <w:lang w:eastAsia="zh-CN"/>
              </w:rPr>
              <w:t>后期</w:t>
            </w:r>
            <w:r>
              <w:rPr>
                <w:color w:val="auto"/>
                <w:highlight w:val="none"/>
              </w:rPr>
              <w:t>绿化回填。</w:t>
            </w:r>
          </w:p>
          <w:p>
            <w:pPr>
              <w:ind w:firstLine="480"/>
              <w:rPr>
                <w:rFonts w:hint="default"/>
                <w:color w:val="auto"/>
                <w:lang w:val="en-US" w:eastAsia="zh-CN"/>
              </w:rPr>
            </w:pPr>
            <w:r>
              <w:rPr>
                <w:rFonts w:hint="eastAsia"/>
                <w:color w:val="auto"/>
                <w:highlight w:val="none"/>
                <w:lang w:val="en-US" w:eastAsia="zh-CN"/>
              </w:rPr>
              <w:t>1</w:t>
            </w:r>
            <w:r>
              <w:rPr>
                <w:rFonts w:hint="eastAsia"/>
                <w:color w:val="auto"/>
                <w:highlight w:val="none"/>
              </w:rPr>
              <w:t>#</w:t>
            </w:r>
            <w:r>
              <w:rPr>
                <w:color w:val="auto"/>
                <w:highlight w:val="none"/>
              </w:rPr>
              <w:t>临时堆土区</w:t>
            </w:r>
            <w:r>
              <w:rPr>
                <w:rFonts w:hint="eastAsia"/>
                <w:color w:val="auto"/>
                <w:highlight w:val="none"/>
              </w:rPr>
              <w:t>堆置</w:t>
            </w:r>
            <w:r>
              <w:rPr>
                <w:rFonts w:hint="eastAsia"/>
                <w:color w:val="auto"/>
                <w:highlight w:val="none"/>
                <w:lang w:eastAsia="zh-CN"/>
              </w:rPr>
              <w:t>表</w:t>
            </w:r>
            <w:r>
              <w:rPr>
                <w:rFonts w:hint="eastAsia"/>
                <w:color w:val="auto"/>
                <w:highlight w:val="none"/>
              </w:rPr>
              <w:t>土</w:t>
            </w:r>
            <w:r>
              <w:rPr>
                <w:rFonts w:hint="eastAsia"/>
                <w:b/>
                <w:bCs/>
                <w:color w:val="auto"/>
                <w:highlight w:val="none"/>
              </w:rPr>
              <w:t>：</w:t>
            </w:r>
            <w:r>
              <w:rPr>
                <w:color w:val="auto"/>
                <w:highlight w:val="none"/>
              </w:rPr>
              <w:t>堆存总方量约为</w:t>
            </w:r>
            <w:r>
              <w:rPr>
                <w:rFonts w:hint="eastAsia"/>
                <w:color w:val="auto"/>
                <w:highlight w:val="none"/>
                <w:lang w:val="en-US" w:eastAsia="zh-CN"/>
              </w:rPr>
              <w:t>1.35</w:t>
            </w:r>
            <w:r>
              <w:rPr>
                <w:color w:val="auto"/>
                <w:highlight w:val="none"/>
              </w:rPr>
              <w:t>万m</w:t>
            </w:r>
            <w:r>
              <w:rPr>
                <w:color w:val="auto"/>
                <w:highlight w:val="none"/>
                <w:vertAlign w:val="superscript"/>
              </w:rPr>
              <w:t>3</w:t>
            </w:r>
            <w:r>
              <w:rPr>
                <w:color w:val="auto"/>
                <w:highlight w:val="none"/>
              </w:rPr>
              <w:t>，平均堆高</w:t>
            </w:r>
            <w:r>
              <w:rPr>
                <w:rFonts w:hint="eastAsia"/>
                <w:color w:val="auto"/>
                <w:highlight w:val="none"/>
                <w:lang w:val="en-US" w:eastAsia="zh-CN"/>
              </w:rPr>
              <w:t>2.5</w:t>
            </w:r>
            <w:r>
              <w:rPr>
                <w:color w:val="auto"/>
                <w:highlight w:val="none"/>
              </w:rPr>
              <w:t>m，其占地面积约为</w:t>
            </w:r>
            <w:r>
              <w:rPr>
                <w:rFonts w:hint="eastAsia"/>
                <w:color w:val="auto"/>
                <w:highlight w:val="none"/>
              </w:rPr>
              <w:t>0.</w:t>
            </w:r>
            <w:r>
              <w:rPr>
                <w:rFonts w:hint="eastAsia"/>
                <w:color w:val="auto"/>
                <w:highlight w:val="none"/>
                <w:lang w:val="en-US" w:eastAsia="zh-CN"/>
              </w:rPr>
              <w:t>54</w:t>
            </w:r>
            <w:r>
              <w:rPr>
                <w:color w:val="auto"/>
                <w:highlight w:val="none"/>
              </w:rPr>
              <w:t>hm</w:t>
            </w:r>
            <w:r>
              <w:rPr>
                <w:color w:val="auto"/>
                <w:highlight w:val="none"/>
                <w:vertAlign w:val="superscript"/>
              </w:rPr>
              <w:t>2</w:t>
            </w:r>
            <w:r>
              <w:rPr>
                <w:color w:val="auto"/>
                <w:highlight w:val="none"/>
              </w:rPr>
              <w:t>；</w:t>
            </w:r>
            <w:r>
              <w:rPr>
                <w:rFonts w:hint="eastAsia"/>
                <w:color w:val="auto"/>
                <w:highlight w:val="none"/>
                <w:lang w:val="en-US" w:eastAsia="zh-CN"/>
              </w:rPr>
              <w:t>1</w:t>
            </w:r>
            <w:r>
              <w:rPr>
                <w:rFonts w:hint="eastAsia"/>
                <w:color w:val="auto"/>
                <w:highlight w:val="none"/>
              </w:rPr>
              <w:t>#临时</w:t>
            </w:r>
            <w:r>
              <w:rPr>
                <w:rFonts w:hint="eastAsia"/>
                <w:color w:val="auto"/>
                <w:highlight w:val="none"/>
                <w:lang w:eastAsia="zh-CN"/>
              </w:rPr>
              <w:t>堆土</w:t>
            </w:r>
            <w:r>
              <w:rPr>
                <w:rFonts w:hint="eastAsia"/>
                <w:color w:val="auto"/>
                <w:highlight w:val="none"/>
              </w:rPr>
              <w:t>区的</w:t>
            </w:r>
            <w:r>
              <w:rPr>
                <w:rFonts w:hint="eastAsia" w:cs="Times New Roman"/>
                <w:color w:val="auto"/>
                <w:highlight w:val="none"/>
                <w:lang w:val="en-US" w:eastAsia="zh-CN"/>
              </w:rPr>
              <w:t>拟采取</w:t>
            </w:r>
            <w:r>
              <w:rPr>
                <w:color w:val="auto"/>
                <w:highlight w:val="none"/>
              </w:rPr>
              <w:t>防治措施如下：</w:t>
            </w:r>
            <w:r>
              <w:rPr>
                <w:rFonts w:hint="eastAsia"/>
                <w:color w:val="auto"/>
                <w:highlight w:val="none"/>
                <w:lang w:eastAsia="zh-CN"/>
              </w:rPr>
              <w:t>袋装土拦挡措施为</w:t>
            </w:r>
            <w:r>
              <w:rPr>
                <w:color w:val="auto"/>
                <w:highlight w:val="none"/>
              </w:rPr>
              <w:t>梯形</w:t>
            </w:r>
            <w:r>
              <w:rPr>
                <w:rFonts w:hint="eastAsia"/>
                <w:color w:val="auto"/>
                <w:highlight w:val="none"/>
                <w:lang w:eastAsia="zh-CN"/>
              </w:rPr>
              <w:t>断面</w:t>
            </w:r>
            <w:r>
              <w:rPr>
                <w:color w:val="auto"/>
                <w:highlight w:val="none"/>
              </w:rPr>
              <w:t>，尺寸为1.2m（下宽）×0.3m（上宽）×0.6m</w:t>
            </w:r>
            <w:r>
              <w:rPr>
                <w:rFonts w:hint="eastAsia"/>
                <w:color w:val="auto"/>
                <w:highlight w:val="none"/>
                <w:lang w:eastAsia="zh-CN"/>
              </w:rPr>
              <w:t>（</w:t>
            </w:r>
            <w:r>
              <w:rPr>
                <w:color w:val="auto"/>
                <w:highlight w:val="none"/>
              </w:rPr>
              <w:t>高</w:t>
            </w:r>
            <w:r>
              <w:rPr>
                <w:rFonts w:hint="eastAsia"/>
                <w:color w:val="auto"/>
                <w:highlight w:val="none"/>
                <w:lang w:eastAsia="zh-CN"/>
              </w:rPr>
              <w:t>）</w:t>
            </w:r>
            <w:r>
              <w:rPr>
                <w:color w:val="auto"/>
                <w:highlight w:val="none"/>
              </w:rPr>
              <w:t>，袋装土垒砌总长度为</w:t>
            </w:r>
            <w:r>
              <w:rPr>
                <w:rFonts w:hint="eastAsia"/>
                <w:color w:val="auto"/>
                <w:highlight w:val="none"/>
                <w:lang w:val="en-US" w:eastAsia="zh-CN"/>
              </w:rPr>
              <w:t>232</w:t>
            </w:r>
            <w:r>
              <w:rPr>
                <w:color w:val="auto"/>
                <w:highlight w:val="none"/>
              </w:rPr>
              <w:t>m；沿袋装土最外围开挖土质排水沟，</w:t>
            </w:r>
            <w:r>
              <w:rPr>
                <w:rFonts w:hint="eastAsia"/>
                <w:color w:val="auto"/>
                <w:highlight w:val="none"/>
              </w:rPr>
              <w:t>排水沟长度</w:t>
            </w:r>
            <w:r>
              <w:rPr>
                <w:rFonts w:hint="eastAsia"/>
                <w:color w:val="auto"/>
                <w:highlight w:val="none"/>
                <w:lang w:val="en-US" w:eastAsia="zh-CN"/>
              </w:rPr>
              <w:t>245</w:t>
            </w:r>
            <w:r>
              <w:rPr>
                <w:rFonts w:hint="eastAsia"/>
                <w:color w:val="auto"/>
                <w:highlight w:val="none"/>
              </w:rPr>
              <w:t>m，</w:t>
            </w:r>
            <w:r>
              <w:rPr>
                <w:color w:val="auto"/>
                <w:highlight w:val="none"/>
              </w:rPr>
              <w:t>尺寸为：0.9m（上宽）×0.3m（底宽）×0.3m</w:t>
            </w:r>
            <w:r>
              <w:rPr>
                <w:rFonts w:hint="eastAsia"/>
                <w:color w:val="auto"/>
                <w:highlight w:val="none"/>
                <w:lang w:eastAsia="zh-CN"/>
              </w:rPr>
              <w:t>（</w:t>
            </w:r>
            <w:r>
              <w:rPr>
                <w:color w:val="auto"/>
                <w:highlight w:val="none"/>
              </w:rPr>
              <w:t>深</w:t>
            </w:r>
            <w:r>
              <w:rPr>
                <w:rFonts w:hint="eastAsia"/>
                <w:color w:val="auto"/>
                <w:highlight w:val="none"/>
                <w:lang w:eastAsia="zh-CN"/>
              </w:rPr>
              <w:t>）</w:t>
            </w:r>
            <w:r>
              <w:rPr>
                <w:color w:val="auto"/>
                <w:highlight w:val="none"/>
              </w:rPr>
              <w:t>，沟壁周围夯实，排水沟沟底坡降为0.2%，</w:t>
            </w:r>
            <w:r>
              <w:rPr>
                <w:rFonts w:hint="eastAsia"/>
                <w:color w:val="auto"/>
                <w:highlight w:val="none"/>
              </w:rPr>
              <w:t>设置沉沙池1处，</w:t>
            </w:r>
            <w:r>
              <w:rPr>
                <w:color w:val="auto"/>
                <w:highlight w:val="none"/>
              </w:rPr>
              <w:t>沉淀后的雨水排入附近水系。</w:t>
            </w:r>
            <w:r>
              <w:rPr>
                <w:rFonts w:hint="eastAsia"/>
                <w:color w:val="auto"/>
                <w:highlight w:val="none"/>
              </w:rPr>
              <w:t>对</w:t>
            </w:r>
            <w:r>
              <w:rPr>
                <w:color w:val="auto"/>
                <w:highlight w:val="none"/>
              </w:rPr>
              <w:t>坡面进行盖土网苫盖，</w:t>
            </w:r>
            <w:r>
              <w:rPr>
                <w:rFonts w:hint="eastAsia"/>
                <w:color w:val="auto"/>
                <w:highlight w:val="none"/>
              </w:rPr>
              <w:t>共需</w:t>
            </w:r>
            <w:r>
              <w:rPr>
                <w:color w:val="auto"/>
                <w:highlight w:val="none"/>
              </w:rPr>
              <w:t>盖土网</w:t>
            </w:r>
            <w:r>
              <w:rPr>
                <w:rFonts w:hint="eastAsia"/>
                <w:color w:val="auto"/>
                <w:highlight w:val="none"/>
                <w:lang w:val="en-US" w:eastAsia="zh-CN"/>
              </w:rPr>
              <w:t>5400</w:t>
            </w:r>
            <w:r>
              <w:rPr>
                <w:color w:val="auto"/>
                <w:highlight w:val="none"/>
              </w:rPr>
              <w:t>m</w:t>
            </w:r>
            <w:r>
              <w:rPr>
                <w:color w:val="auto"/>
                <w:highlight w:val="none"/>
                <w:vertAlign w:val="superscript"/>
              </w:rPr>
              <w:t>2</w:t>
            </w:r>
            <w:r>
              <w:rPr>
                <w:color w:val="auto"/>
                <w:highlight w:val="none"/>
              </w:rPr>
              <w:t>。</w:t>
            </w:r>
          </w:p>
          <w:p>
            <w:pPr>
              <w:bidi w:val="0"/>
              <w:rPr>
                <w:rFonts w:hint="default" w:ascii="Times New Roman" w:hAnsi="Times New Roman" w:cs="Times New Roman"/>
                <w:b/>
                <w:bCs/>
                <w:color w:val="auto"/>
              </w:rPr>
            </w:pPr>
            <w:r>
              <w:rPr>
                <w:rFonts w:hint="eastAsia" w:cs="Times New Roman"/>
                <w:b/>
                <w:bCs/>
                <w:color w:val="auto"/>
                <w:lang w:val="en-US" w:eastAsia="zh-CN"/>
              </w:rPr>
              <w:t>4）水域</w:t>
            </w:r>
            <w:r>
              <w:rPr>
                <w:rFonts w:hint="default" w:ascii="Times New Roman" w:hAnsi="Times New Roman" w:cs="Times New Roman"/>
                <w:b/>
                <w:bCs/>
                <w:color w:val="auto"/>
                <w:lang w:val="en-US" w:eastAsia="zh-CN"/>
              </w:rPr>
              <w:t>区</w:t>
            </w:r>
          </w:p>
          <w:p>
            <w:pPr>
              <w:ind w:firstLine="480"/>
              <w:rPr>
                <w:rFonts w:hint="eastAsia"/>
                <w:color w:val="auto"/>
                <w:highlight w:val="none"/>
                <w:lang w:val="en-US" w:eastAsia="zh-CN"/>
              </w:rPr>
            </w:pPr>
            <w:r>
              <w:rPr>
                <w:rFonts w:hint="eastAsia" w:cs="Times New Roman"/>
                <w:color w:val="auto"/>
                <w:lang w:val="en-US" w:eastAsia="zh-CN"/>
              </w:rPr>
              <w:t>①</w:t>
            </w:r>
            <w:r>
              <w:rPr>
                <w:rFonts w:hint="eastAsia"/>
                <w:color w:val="auto"/>
                <w:highlight w:val="none"/>
                <w:lang w:val="en-US" w:eastAsia="zh-CN"/>
              </w:rPr>
              <w:t>工程措施</w:t>
            </w:r>
          </w:p>
          <w:p>
            <w:pPr>
              <w:ind w:firstLine="480"/>
              <w:rPr>
                <w:color w:val="auto"/>
                <w:highlight w:val="none"/>
              </w:rPr>
            </w:pPr>
            <w:r>
              <w:rPr>
                <w:color w:val="auto"/>
                <w:highlight w:val="none"/>
              </w:rPr>
              <w:t>本项目</w:t>
            </w:r>
            <w:r>
              <w:rPr>
                <w:rFonts w:hint="eastAsia"/>
                <w:color w:val="auto"/>
                <w:highlight w:val="none"/>
                <w:lang w:eastAsia="zh-CN"/>
              </w:rPr>
              <w:t>主要为人工河道、冲浪池</w:t>
            </w:r>
            <w:r>
              <w:rPr>
                <w:color w:val="auto"/>
                <w:highlight w:val="none"/>
              </w:rPr>
              <w:t>等</w:t>
            </w:r>
            <w:r>
              <w:rPr>
                <w:rFonts w:hint="eastAsia"/>
                <w:color w:val="auto"/>
                <w:highlight w:val="none"/>
                <w:lang w:eastAsia="zh-CN"/>
              </w:rPr>
              <w:t>水域</w:t>
            </w:r>
            <w:r>
              <w:rPr>
                <w:color w:val="auto"/>
                <w:highlight w:val="none"/>
              </w:rPr>
              <w:t>，占地面积为</w:t>
            </w:r>
            <w:r>
              <w:rPr>
                <w:rFonts w:hint="eastAsia"/>
                <w:color w:val="auto"/>
                <w:highlight w:val="none"/>
                <w:lang w:val="en-US" w:eastAsia="zh-CN"/>
              </w:rPr>
              <w:t>1.3164</w:t>
            </w:r>
            <w:r>
              <w:rPr>
                <w:color w:val="auto"/>
                <w:highlight w:val="none"/>
              </w:rPr>
              <w:t>hm</w:t>
            </w:r>
            <w:r>
              <w:rPr>
                <w:color w:val="auto"/>
                <w:highlight w:val="none"/>
                <w:vertAlign w:val="superscript"/>
              </w:rPr>
              <w:t>2</w:t>
            </w:r>
            <w:r>
              <w:rPr>
                <w:color w:val="auto"/>
                <w:highlight w:val="none"/>
              </w:rPr>
              <w:t>，</w:t>
            </w:r>
            <w:r>
              <w:rPr>
                <w:rFonts w:hint="eastAsia"/>
                <w:color w:val="auto"/>
                <w:highlight w:val="none"/>
              </w:rPr>
              <w:t>本区表土剥离</w:t>
            </w:r>
            <w:r>
              <w:rPr>
                <w:rFonts w:hint="eastAsia"/>
                <w:color w:val="auto"/>
                <w:highlight w:val="none"/>
                <w:lang w:val="en-US" w:eastAsia="zh-CN"/>
              </w:rPr>
              <w:t>1900</w:t>
            </w:r>
            <w:r>
              <w:rPr>
                <w:color w:val="auto"/>
                <w:highlight w:val="none"/>
              </w:rPr>
              <w:t>m</w:t>
            </w:r>
            <w:r>
              <w:rPr>
                <w:color w:val="auto"/>
                <w:highlight w:val="none"/>
                <w:vertAlign w:val="superscript"/>
              </w:rPr>
              <w:t>3</w:t>
            </w:r>
            <w:r>
              <w:rPr>
                <w:color w:val="auto"/>
                <w:highlight w:val="none"/>
              </w:rPr>
              <w:t>，</w:t>
            </w:r>
            <w:r>
              <w:rPr>
                <w:rFonts w:hint="eastAsia"/>
                <w:color w:val="auto"/>
                <w:highlight w:val="none"/>
              </w:rPr>
              <w:t>堆放在临时堆土区。</w:t>
            </w:r>
          </w:p>
          <w:p>
            <w:pPr>
              <w:bidi w:val="0"/>
              <w:rPr>
                <w:rFonts w:hint="eastAsia"/>
                <w:color w:val="auto"/>
                <w:highlight w:val="none"/>
                <w:lang w:val="en-US" w:eastAsia="zh-CN"/>
              </w:rPr>
            </w:pPr>
            <w:r>
              <w:rPr>
                <w:rFonts w:hint="eastAsia"/>
                <w:color w:val="auto"/>
                <w:highlight w:val="none"/>
                <w:lang w:val="en-US" w:eastAsia="zh-CN"/>
              </w:rPr>
              <w:t>②临时措施</w:t>
            </w:r>
          </w:p>
          <w:p>
            <w:pPr>
              <w:bidi w:val="0"/>
              <w:rPr>
                <w:rFonts w:hint="eastAsia"/>
                <w:color w:val="auto"/>
                <w:highlight w:val="none"/>
                <w:lang w:val="en-US" w:eastAsia="zh-CN"/>
              </w:rPr>
            </w:pPr>
            <w:r>
              <w:rPr>
                <w:rFonts w:hint="eastAsia"/>
                <w:color w:val="auto"/>
                <w:highlight w:val="none"/>
                <w:lang w:val="en-US" w:eastAsia="zh-CN"/>
              </w:rPr>
              <w:t>施工时需对开挖人工河道坡面进行盖土网覆盖，防止雨水冲刷。</w:t>
            </w:r>
            <w:r>
              <w:rPr>
                <w:rFonts w:hint="eastAsia"/>
                <w:color w:val="auto"/>
                <w:highlight w:val="none"/>
                <w:lang w:eastAsia="zh-CN"/>
              </w:rPr>
              <w:t>共使用盖土网</w:t>
            </w:r>
            <w:r>
              <w:rPr>
                <w:rFonts w:hint="eastAsia"/>
                <w:color w:val="auto"/>
                <w:highlight w:val="none"/>
                <w:lang w:val="en-US" w:eastAsia="zh-CN"/>
              </w:rPr>
              <w:t>8500m</w:t>
            </w:r>
            <w:r>
              <w:rPr>
                <w:rFonts w:hint="eastAsia"/>
                <w:color w:val="auto"/>
                <w:highlight w:val="none"/>
                <w:vertAlign w:val="superscript"/>
                <w:lang w:val="en-US" w:eastAsia="zh-CN"/>
              </w:rPr>
              <w:t>2</w:t>
            </w:r>
            <w:r>
              <w:rPr>
                <w:rFonts w:hint="eastAsia"/>
                <w:color w:val="auto"/>
                <w:highlight w:val="none"/>
                <w:lang w:val="en-US" w:eastAsia="zh-CN"/>
              </w:rPr>
              <w:t>。</w:t>
            </w:r>
          </w:p>
          <w:p>
            <w:pPr>
              <w:bidi w:val="0"/>
              <w:rPr>
                <w:rFonts w:hint="default"/>
                <w:b/>
                <w:bCs/>
                <w:color w:val="auto"/>
                <w:lang w:val="en-US" w:eastAsia="zh-CN"/>
              </w:rPr>
            </w:pPr>
            <w:r>
              <w:rPr>
                <w:rFonts w:hint="eastAsia"/>
                <w:b/>
                <w:bCs/>
                <w:color w:val="auto"/>
                <w:lang w:val="en-US" w:eastAsia="zh-CN"/>
              </w:rPr>
              <w:t>5）临时停车场区</w:t>
            </w:r>
          </w:p>
          <w:p>
            <w:pPr>
              <w:ind w:firstLine="480"/>
              <w:rPr>
                <w:rFonts w:hint="eastAsia"/>
                <w:color w:val="auto"/>
                <w:highlight w:val="none"/>
                <w:lang w:eastAsia="zh-CN"/>
              </w:rPr>
            </w:pPr>
            <w:r>
              <w:rPr>
                <w:color w:val="auto"/>
                <w:highlight w:val="none"/>
              </w:rPr>
              <w:t>本项目</w:t>
            </w:r>
            <w:r>
              <w:rPr>
                <w:rFonts w:hint="eastAsia"/>
                <w:color w:val="auto"/>
                <w:highlight w:val="none"/>
                <w:lang w:eastAsia="zh-CN"/>
              </w:rPr>
              <w:t>临时停车场</w:t>
            </w:r>
            <w:r>
              <w:rPr>
                <w:color w:val="auto"/>
                <w:highlight w:val="none"/>
              </w:rPr>
              <w:t>占地面积为</w:t>
            </w:r>
            <w:r>
              <w:rPr>
                <w:rFonts w:hint="eastAsia"/>
                <w:color w:val="auto"/>
                <w:highlight w:val="none"/>
                <w:lang w:val="en-US" w:eastAsia="zh-CN"/>
              </w:rPr>
              <w:t>3</w:t>
            </w:r>
            <w:r>
              <w:rPr>
                <w:color w:val="auto"/>
                <w:highlight w:val="none"/>
              </w:rPr>
              <w:t>hm</w:t>
            </w:r>
            <w:r>
              <w:rPr>
                <w:color w:val="auto"/>
                <w:highlight w:val="none"/>
                <w:vertAlign w:val="superscript"/>
              </w:rPr>
              <w:t>2</w:t>
            </w:r>
            <w:r>
              <w:rPr>
                <w:color w:val="auto"/>
                <w:highlight w:val="none"/>
              </w:rPr>
              <w:t>，</w:t>
            </w:r>
            <w:r>
              <w:rPr>
                <w:rFonts w:hint="eastAsia"/>
                <w:color w:val="auto"/>
                <w:highlight w:val="none"/>
                <w:lang w:eastAsia="zh-CN"/>
              </w:rPr>
              <w:t>该地块为二期项目建设用地，该地块整体地势较高，原始地面高程与设计标高相差不大，主设把临时堆土区和施工生产生活区布置在该地块西面及南面，对后期施工影响不大。</w:t>
            </w:r>
          </w:p>
          <w:p>
            <w:pPr>
              <w:ind w:firstLine="480"/>
              <w:rPr>
                <w:color w:val="auto"/>
                <w:highlight w:val="none"/>
              </w:rPr>
            </w:pPr>
            <w:r>
              <w:rPr>
                <w:color w:val="auto"/>
                <w:highlight w:val="none"/>
              </w:rPr>
              <w:t>对</w:t>
            </w:r>
            <w:r>
              <w:rPr>
                <w:rFonts w:hint="eastAsia"/>
                <w:color w:val="auto"/>
                <w:highlight w:val="none"/>
                <w:lang w:eastAsia="zh-CN"/>
              </w:rPr>
              <w:t>临时停车</w:t>
            </w:r>
            <w:r>
              <w:rPr>
                <w:color w:val="auto"/>
                <w:highlight w:val="none"/>
              </w:rPr>
              <w:t>区</w:t>
            </w:r>
            <w:r>
              <w:rPr>
                <w:rFonts w:hint="eastAsia"/>
                <w:color w:val="auto"/>
                <w:highlight w:val="none"/>
                <w:lang w:eastAsia="zh-CN"/>
              </w:rPr>
              <w:t>（二期用地）场平期</w:t>
            </w:r>
            <w:r>
              <w:rPr>
                <w:rFonts w:hint="eastAsia" w:cs="Times New Roman"/>
                <w:color w:val="auto"/>
                <w:highlight w:val="none"/>
                <w:lang w:val="en-US" w:eastAsia="zh-CN"/>
              </w:rPr>
              <w:t>拟</w:t>
            </w:r>
            <w:r>
              <w:rPr>
                <w:rFonts w:hint="eastAsia"/>
                <w:color w:val="auto"/>
                <w:highlight w:val="none"/>
                <w:lang w:eastAsia="zh-CN"/>
              </w:rPr>
              <w:t>采取表土剥离等</w:t>
            </w:r>
            <w:r>
              <w:rPr>
                <w:color w:val="auto"/>
                <w:highlight w:val="none"/>
              </w:rPr>
              <w:t>水保措施，</w:t>
            </w:r>
            <w:r>
              <w:rPr>
                <w:rFonts w:hint="eastAsia"/>
                <w:color w:val="auto"/>
                <w:highlight w:val="none"/>
                <w:lang w:eastAsia="zh-CN"/>
              </w:rPr>
              <w:t>在停车场四周</w:t>
            </w:r>
            <w:r>
              <w:rPr>
                <w:rFonts w:hint="eastAsia" w:cs="Times New Roman"/>
                <w:color w:val="auto"/>
                <w:highlight w:val="none"/>
                <w:lang w:val="en-US" w:eastAsia="zh-CN"/>
              </w:rPr>
              <w:t>拟</w:t>
            </w:r>
            <w:r>
              <w:rPr>
                <w:rFonts w:hint="eastAsia"/>
                <w:color w:val="auto"/>
                <w:highlight w:val="none"/>
                <w:lang w:eastAsia="zh-CN"/>
              </w:rPr>
              <w:t>布置排水沟、沉沙池等临时措施。停车场内</w:t>
            </w:r>
            <w:r>
              <w:rPr>
                <w:color w:val="auto"/>
                <w:highlight w:val="none"/>
              </w:rPr>
              <w:t>临时堆土区</w:t>
            </w:r>
            <w:r>
              <w:rPr>
                <w:rFonts w:hint="eastAsia" w:cs="Times New Roman"/>
                <w:color w:val="auto"/>
                <w:highlight w:val="none"/>
                <w:lang w:val="en-US" w:eastAsia="zh-CN"/>
              </w:rPr>
              <w:t>拟</w:t>
            </w:r>
            <w:r>
              <w:rPr>
                <w:rFonts w:hint="eastAsia"/>
                <w:color w:val="auto"/>
                <w:highlight w:val="none"/>
                <w:lang w:eastAsia="zh-CN"/>
              </w:rPr>
              <w:t>采取</w:t>
            </w:r>
            <w:r>
              <w:rPr>
                <w:color w:val="auto"/>
                <w:highlight w:val="none"/>
              </w:rPr>
              <w:t>拦挡、排水、覆盖等</w:t>
            </w:r>
            <w:r>
              <w:rPr>
                <w:rFonts w:hint="eastAsia"/>
                <w:color w:val="auto"/>
                <w:highlight w:val="none"/>
                <w:lang w:eastAsia="zh-CN"/>
              </w:rPr>
              <w:t>临时</w:t>
            </w:r>
            <w:r>
              <w:rPr>
                <w:color w:val="auto"/>
                <w:highlight w:val="none"/>
              </w:rPr>
              <w:t>措施</w:t>
            </w:r>
            <w:r>
              <w:rPr>
                <w:rFonts w:hint="eastAsia"/>
                <w:color w:val="auto"/>
                <w:highlight w:val="none"/>
                <w:lang w:eastAsia="zh-CN"/>
              </w:rPr>
              <w:t>，施工生产生活区</w:t>
            </w:r>
            <w:r>
              <w:rPr>
                <w:rFonts w:hint="eastAsia" w:cs="Times New Roman"/>
                <w:color w:val="auto"/>
                <w:highlight w:val="none"/>
                <w:lang w:val="en-US" w:eastAsia="zh-CN"/>
              </w:rPr>
              <w:t>拟</w:t>
            </w:r>
            <w:r>
              <w:rPr>
                <w:rFonts w:hint="eastAsia"/>
                <w:color w:val="auto"/>
                <w:highlight w:val="none"/>
                <w:lang w:eastAsia="zh-CN"/>
              </w:rPr>
              <w:t>采取排水、沉沙等临时措施</w:t>
            </w:r>
            <w:r>
              <w:rPr>
                <w:color w:val="auto"/>
                <w:highlight w:val="none"/>
              </w:rPr>
              <w:t>。</w:t>
            </w:r>
          </w:p>
          <w:p>
            <w:pPr>
              <w:ind w:firstLine="480"/>
              <w:rPr>
                <w:rFonts w:hint="eastAsia"/>
                <w:color w:val="auto"/>
                <w:highlight w:val="none"/>
                <w:lang w:val="en-US" w:eastAsia="zh-CN"/>
              </w:rPr>
            </w:pPr>
            <w:r>
              <w:rPr>
                <w:rFonts w:hint="eastAsia"/>
                <w:color w:val="auto"/>
                <w:highlight w:val="none"/>
                <w:lang w:val="en-US" w:eastAsia="zh-CN"/>
              </w:rPr>
              <w:t>①工程措施</w:t>
            </w:r>
          </w:p>
          <w:p>
            <w:pPr>
              <w:ind w:firstLine="480"/>
              <w:rPr>
                <w:color w:val="auto"/>
                <w:highlight w:val="none"/>
              </w:rPr>
            </w:pPr>
            <w:r>
              <w:rPr>
                <w:color w:val="auto"/>
                <w:highlight w:val="none"/>
              </w:rPr>
              <w:t>本区开挖前将表土进行剥离，</w:t>
            </w:r>
            <w:r>
              <w:rPr>
                <w:rFonts w:hint="eastAsia"/>
                <w:color w:val="auto"/>
                <w:highlight w:val="none"/>
              </w:rPr>
              <w:t>剥离表土</w:t>
            </w:r>
            <w:r>
              <w:rPr>
                <w:rFonts w:hint="eastAsia"/>
                <w:color w:val="auto"/>
                <w:highlight w:val="none"/>
                <w:lang w:val="en-US" w:eastAsia="zh-CN"/>
              </w:rPr>
              <w:t>5400</w:t>
            </w:r>
            <w:r>
              <w:rPr>
                <w:rFonts w:hint="eastAsia"/>
                <w:color w:val="auto"/>
                <w:highlight w:val="none"/>
              </w:rPr>
              <w:t>m</w:t>
            </w:r>
            <w:r>
              <w:rPr>
                <w:color w:val="auto"/>
                <w:highlight w:val="none"/>
                <w:vertAlign w:val="superscript"/>
              </w:rPr>
              <w:t>3</w:t>
            </w:r>
            <w:r>
              <w:rPr>
                <w:color w:val="auto"/>
                <w:highlight w:val="none"/>
              </w:rPr>
              <w:t>。</w:t>
            </w:r>
          </w:p>
          <w:p>
            <w:pPr>
              <w:rPr>
                <w:rFonts w:hint="eastAsia"/>
                <w:color w:val="auto"/>
                <w:highlight w:val="none"/>
                <w:lang w:val="en-US" w:eastAsia="zh-CN"/>
              </w:rPr>
            </w:pPr>
            <w:r>
              <w:rPr>
                <w:rFonts w:hint="eastAsia"/>
                <w:color w:val="auto"/>
                <w:highlight w:val="none"/>
                <w:lang w:val="en-US" w:eastAsia="zh-CN"/>
              </w:rPr>
              <w:t>②临时措施</w:t>
            </w:r>
          </w:p>
          <w:p>
            <w:pPr>
              <w:rPr>
                <w:color w:val="auto"/>
                <w:highlight w:val="none"/>
              </w:rPr>
            </w:pPr>
            <w:r>
              <w:rPr>
                <w:rFonts w:hint="eastAsia"/>
                <w:color w:val="auto"/>
                <w:highlight w:val="none"/>
                <w:lang w:eastAsia="zh-CN"/>
              </w:rPr>
              <w:t>在停车场四周</w:t>
            </w:r>
            <w:r>
              <w:rPr>
                <w:rFonts w:hint="eastAsia" w:cs="Times New Roman"/>
                <w:color w:val="auto"/>
                <w:highlight w:val="none"/>
                <w:lang w:val="en-US" w:eastAsia="zh-CN"/>
              </w:rPr>
              <w:t>拟</w:t>
            </w:r>
            <w:r>
              <w:rPr>
                <w:rFonts w:hint="eastAsia"/>
                <w:color w:val="auto"/>
                <w:highlight w:val="none"/>
                <w:lang w:eastAsia="zh-CN"/>
              </w:rPr>
              <w:t>布置排水沟、沉沙池等临时措施。</w:t>
            </w:r>
          </w:p>
          <w:p>
            <w:pPr>
              <w:ind w:firstLine="480"/>
              <w:rPr>
                <w:rFonts w:hint="eastAsia"/>
                <w:color w:val="auto"/>
                <w:highlight w:val="none"/>
                <w:lang w:val="en-US" w:eastAsia="zh-CN"/>
              </w:rPr>
            </w:pPr>
            <w:r>
              <w:rPr>
                <w:rFonts w:hint="eastAsia"/>
                <w:color w:val="auto"/>
                <w:highlight w:val="none"/>
                <w:lang w:val="en-US" w:eastAsia="zh-CN"/>
              </w:rPr>
              <w:t>③施工生产办公区</w:t>
            </w:r>
          </w:p>
          <w:p>
            <w:pPr>
              <w:ind w:firstLine="480"/>
              <w:rPr>
                <w:color w:val="auto"/>
                <w:highlight w:val="none"/>
              </w:rPr>
            </w:pPr>
            <w:r>
              <w:rPr>
                <w:rFonts w:hint="eastAsia"/>
                <w:color w:val="auto"/>
                <w:highlight w:val="none"/>
              </w:rPr>
              <w:t>施工人员生活营地为当地的民房</w:t>
            </w:r>
            <w:r>
              <w:rPr>
                <w:rFonts w:hint="eastAsia"/>
                <w:color w:val="auto"/>
                <w:highlight w:val="none"/>
                <w:lang w:eastAsia="zh-CN"/>
              </w:rPr>
              <w:t>，</w:t>
            </w:r>
            <w:r>
              <w:rPr>
                <w:color w:val="auto"/>
                <w:spacing w:val="-13"/>
                <w:highlight w:val="none"/>
              </w:rPr>
              <w:t>本项目的施工生产区和</w:t>
            </w:r>
            <w:r>
              <w:rPr>
                <w:rFonts w:hint="eastAsia"/>
                <w:color w:val="auto"/>
                <w:spacing w:val="-13"/>
                <w:highlight w:val="none"/>
                <w:lang w:eastAsia="zh-CN"/>
              </w:rPr>
              <w:t>办公</w:t>
            </w:r>
            <w:r>
              <w:rPr>
                <w:color w:val="auto"/>
                <w:spacing w:val="-13"/>
                <w:highlight w:val="none"/>
              </w:rPr>
              <w:t>区</w:t>
            </w:r>
            <w:r>
              <w:rPr>
                <w:rFonts w:hint="eastAsia" w:cs="Times New Roman"/>
                <w:color w:val="auto"/>
                <w:highlight w:val="none"/>
                <w:lang w:val="en-US" w:eastAsia="zh-CN"/>
              </w:rPr>
              <w:t>拟</w:t>
            </w:r>
            <w:r>
              <w:rPr>
                <w:color w:val="auto"/>
                <w:spacing w:val="-13"/>
                <w:highlight w:val="none"/>
              </w:rPr>
              <w:t>建在</w:t>
            </w:r>
            <w:r>
              <w:rPr>
                <w:rFonts w:hint="eastAsia"/>
                <w:color w:val="auto"/>
                <w:spacing w:val="-13"/>
                <w:highlight w:val="none"/>
                <w:lang w:eastAsia="zh-CN"/>
              </w:rPr>
              <w:t>临时停车场</w:t>
            </w:r>
            <w:r>
              <w:rPr>
                <w:color w:val="auto"/>
                <w:spacing w:val="-13"/>
                <w:highlight w:val="none"/>
              </w:rPr>
              <w:t>范围内，不需要另外占地。</w:t>
            </w:r>
            <w:r>
              <w:rPr>
                <w:color w:val="auto"/>
                <w:spacing w:val="-21"/>
                <w:highlight w:val="none"/>
              </w:rPr>
              <w:t>施工生产</w:t>
            </w:r>
            <w:r>
              <w:rPr>
                <w:rFonts w:hint="eastAsia"/>
                <w:color w:val="auto"/>
                <w:spacing w:val="-7"/>
                <w:highlight w:val="none"/>
                <w:lang w:eastAsia="zh-CN"/>
              </w:rPr>
              <w:t>办公</w:t>
            </w:r>
            <w:r>
              <w:rPr>
                <w:color w:val="auto"/>
                <w:spacing w:val="-7"/>
                <w:highlight w:val="none"/>
              </w:rPr>
              <w:t>区</w:t>
            </w:r>
            <w:r>
              <w:rPr>
                <w:rFonts w:hint="eastAsia"/>
                <w:color w:val="auto"/>
                <w:spacing w:val="-7"/>
                <w:highlight w:val="none"/>
                <w:lang w:val="en-US" w:eastAsia="zh-CN"/>
              </w:rPr>
              <w:t>1</w:t>
            </w:r>
            <w:r>
              <w:rPr>
                <w:color w:val="auto"/>
                <w:spacing w:val="-1"/>
                <w:highlight w:val="none"/>
              </w:rPr>
              <w:t>处，</w:t>
            </w:r>
            <w:r>
              <w:rPr>
                <w:rFonts w:hint="eastAsia"/>
                <w:color w:val="auto"/>
                <w:spacing w:val="-1"/>
                <w:highlight w:val="none"/>
                <w:lang w:eastAsia="zh-CN"/>
              </w:rPr>
              <w:t>位于停车场西面，</w:t>
            </w:r>
            <w:r>
              <w:rPr>
                <w:color w:val="auto"/>
                <w:spacing w:val="-1"/>
                <w:highlight w:val="none"/>
              </w:rPr>
              <w:t>布设较为合</w:t>
            </w:r>
            <w:r>
              <w:rPr>
                <w:rFonts w:hint="eastAsia"/>
                <w:color w:val="auto"/>
                <w:spacing w:val="-1"/>
                <w:highlight w:val="none"/>
                <w:lang w:eastAsia="zh-CN"/>
              </w:rPr>
              <w:t>理</w:t>
            </w:r>
            <w:r>
              <w:rPr>
                <w:color w:val="auto"/>
                <w:highlight w:val="none"/>
              </w:rPr>
              <w:t>，占地面积约0.</w:t>
            </w:r>
            <w:r>
              <w:rPr>
                <w:rFonts w:hint="eastAsia"/>
                <w:color w:val="auto"/>
                <w:highlight w:val="none"/>
              </w:rPr>
              <w:t>1</w:t>
            </w:r>
            <w:r>
              <w:rPr>
                <w:color w:val="auto"/>
                <w:highlight w:val="none"/>
              </w:rPr>
              <w:t>hm</w:t>
            </w:r>
            <w:r>
              <w:rPr>
                <w:color w:val="auto"/>
                <w:highlight w:val="none"/>
                <w:vertAlign w:val="superscript"/>
              </w:rPr>
              <w:t>2</w:t>
            </w:r>
            <w:r>
              <w:rPr>
                <w:color w:val="auto"/>
                <w:highlight w:val="none"/>
              </w:rPr>
              <w:t>；本区</w:t>
            </w:r>
            <w:r>
              <w:rPr>
                <w:rFonts w:hint="eastAsia" w:cs="Times New Roman"/>
                <w:color w:val="auto"/>
                <w:highlight w:val="none"/>
                <w:lang w:val="en-US" w:eastAsia="zh-CN"/>
              </w:rPr>
              <w:t>拟采取的</w:t>
            </w:r>
            <w:r>
              <w:rPr>
                <w:color w:val="auto"/>
                <w:highlight w:val="none"/>
              </w:rPr>
              <w:t>水土流失防治措施具体为：施工生产生活区</w:t>
            </w:r>
            <w:r>
              <w:rPr>
                <w:rFonts w:hint="eastAsia" w:cs="Times New Roman"/>
                <w:color w:val="auto"/>
                <w:highlight w:val="none"/>
                <w:lang w:val="en-US" w:eastAsia="zh-CN"/>
              </w:rPr>
              <w:t>拟</w:t>
            </w:r>
            <w:r>
              <w:rPr>
                <w:rFonts w:hint="eastAsia"/>
                <w:color w:val="auto"/>
                <w:highlight w:val="none"/>
                <w:lang w:eastAsia="zh-CN"/>
              </w:rPr>
              <w:t>设计</w:t>
            </w:r>
            <w:r>
              <w:rPr>
                <w:color w:val="auto"/>
                <w:highlight w:val="none"/>
              </w:rPr>
              <w:t>场内硬化</w:t>
            </w:r>
            <w:r>
              <w:rPr>
                <w:rFonts w:hint="eastAsia"/>
                <w:color w:val="auto"/>
                <w:highlight w:val="none"/>
                <w:lang w:eastAsia="zh-CN"/>
              </w:rPr>
              <w:t>及</w:t>
            </w:r>
            <w:r>
              <w:rPr>
                <w:rFonts w:hint="eastAsia"/>
                <w:color w:val="auto"/>
                <w:highlight w:val="none"/>
              </w:rPr>
              <w:t>砼排水沟</w:t>
            </w:r>
            <w:r>
              <w:rPr>
                <w:rFonts w:hint="eastAsia"/>
                <w:color w:val="auto"/>
                <w:highlight w:val="none"/>
                <w:lang w:eastAsia="zh-CN"/>
              </w:rPr>
              <w:t>、</w:t>
            </w:r>
            <w:r>
              <w:rPr>
                <w:color w:val="auto"/>
                <w:highlight w:val="none"/>
              </w:rPr>
              <w:t>沉沙措施，</w:t>
            </w:r>
            <w:r>
              <w:rPr>
                <w:rFonts w:hint="eastAsia"/>
                <w:color w:val="auto"/>
                <w:highlight w:val="none"/>
                <w:lang w:eastAsia="zh-CN"/>
              </w:rPr>
              <w:t>砼排水沟</w:t>
            </w:r>
            <w:r>
              <w:rPr>
                <w:rFonts w:hint="eastAsia"/>
                <w:color w:val="auto"/>
                <w:highlight w:val="none"/>
                <w:lang w:val="en-US" w:eastAsia="zh-CN"/>
              </w:rPr>
              <w:t>148m，</w:t>
            </w:r>
            <w:r>
              <w:rPr>
                <w:rFonts w:hint="eastAsia"/>
                <w:color w:val="auto"/>
                <w:highlight w:val="none"/>
              </w:rPr>
              <w:t>在</w:t>
            </w:r>
            <w:r>
              <w:rPr>
                <w:color w:val="auto"/>
                <w:highlight w:val="none"/>
              </w:rPr>
              <w:t>排水沟末端</w:t>
            </w:r>
            <w:r>
              <w:rPr>
                <w:rFonts w:hint="eastAsia" w:cs="Times New Roman"/>
                <w:color w:val="auto"/>
                <w:highlight w:val="none"/>
                <w:lang w:val="en-US" w:eastAsia="zh-CN"/>
              </w:rPr>
              <w:t>拟</w:t>
            </w:r>
            <w:r>
              <w:rPr>
                <w:color w:val="auto"/>
                <w:highlight w:val="none"/>
              </w:rPr>
              <w:t>布置1个</w:t>
            </w:r>
            <w:r>
              <w:rPr>
                <w:rFonts w:hint="eastAsia"/>
                <w:color w:val="auto"/>
                <w:highlight w:val="none"/>
              </w:rPr>
              <w:t>沉沙池</w:t>
            </w:r>
            <w:r>
              <w:rPr>
                <w:color w:val="auto"/>
                <w:highlight w:val="none"/>
              </w:rPr>
              <w:t>，</w:t>
            </w:r>
            <w:r>
              <w:rPr>
                <w:rFonts w:hint="eastAsia"/>
                <w:color w:val="auto"/>
                <w:highlight w:val="none"/>
              </w:rPr>
              <w:t>沉沙池</w:t>
            </w:r>
            <w:r>
              <w:rPr>
                <w:color w:val="auto"/>
                <w:highlight w:val="none"/>
              </w:rPr>
              <w:t>形式为矩形，尺寸为2.</w:t>
            </w:r>
            <w:r>
              <w:rPr>
                <w:rFonts w:hint="eastAsia"/>
                <w:color w:val="auto"/>
                <w:highlight w:val="none"/>
              </w:rPr>
              <w:t>0</w:t>
            </w:r>
            <w:r>
              <w:rPr>
                <w:color w:val="auto"/>
                <w:highlight w:val="none"/>
              </w:rPr>
              <w:t>m（长度）×</w:t>
            </w:r>
            <w:r>
              <w:rPr>
                <w:rFonts w:hint="eastAsia"/>
                <w:color w:val="auto"/>
                <w:highlight w:val="none"/>
              </w:rPr>
              <w:t>1.5</w:t>
            </w:r>
            <w:r>
              <w:rPr>
                <w:color w:val="auto"/>
                <w:highlight w:val="none"/>
              </w:rPr>
              <w:t>m（宽度）×1.5m（深度），保证少量材料冲洗和雨水沉淀，沉淀后的雨水排入布置的涵管，汇入</w:t>
            </w:r>
            <w:r>
              <w:rPr>
                <w:rFonts w:hint="eastAsia"/>
                <w:color w:val="auto"/>
                <w:highlight w:val="none"/>
              </w:rPr>
              <w:t>市政</w:t>
            </w:r>
            <w:r>
              <w:rPr>
                <w:color w:val="auto"/>
                <w:highlight w:val="none"/>
              </w:rPr>
              <w:t>管网。</w:t>
            </w:r>
          </w:p>
          <w:p>
            <w:pPr>
              <w:ind w:firstLine="480"/>
              <w:rPr>
                <w:rFonts w:hint="eastAsia"/>
                <w:color w:val="auto"/>
                <w:highlight w:val="none"/>
                <w:lang w:eastAsia="zh-CN"/>
              </w:rPr>
            </w:pPr>
            <w:r>
              <w:rPr>
                <w:rFonts w:hint="eastAsia"/>
                <w:color w:val="auto"/>
                <w:highlight w:val="none"/>
                <w:lang w:val="en-US" w:eastAsia="zh-CN"/>
              </w:rPr>
              <w:t>④</w:t>
            </w:r>
            <w:r>
              <w:rPr>
                <w:rFonts w:hint="eastAsia"/>
                <w:color w:val="auto"/>
                <w:highlight w:val="none"/>
              </w:rPr>
              <w:t>临时堆土</w:t>
            </w:r>
            <w:r>
              <w:rPr>
                <w:rFonts w:hint="eastAsia"/>
                <w:color w:val="auto"/>
                <w:highlight w:val="none"/>
                <w:lang w:eastAsia="zh-CN"/>
              </w:rPr>
              <w:t>区</w:t>
            </w:r>
          </w:p>
          <w:p>
            <w:pPr>
              <w:ind w:firstLine="480"/>
              <w:rPr>
                <w:color w:val="auto"/>
                <w:highlight w:val="none"/>
              </w:rPr>
            </w:pPr>
            <w:r>
              <w:rPr>
                <w:rFonts w:hint="eastAsia"/>
                <w:color w:val="auto"/>
                <w:highlight w:val="none"/>
                <w:lang w:eastAsia="zh-CN"/>
              </w:rPr>
              <w:t>本项目</w:t>
            </w:r>
            <w:r>
              <w:rPr>
                <w:color w:val="auto"/>
                <w:highlight w:val="none"/>
              </w:rPr>
              <w:t>表土</w:t>
            </w:r>
            <w:r>
              <w:rPr>
                <w:rFonts w:hint="eastAsia"/>
                <w:color w:val="auto"/>
                <w:highlight w:val="none"/>
                <w:lang w:eastAsia="zh-CN"/>
              </w:rPr>
              <w:t>剥离量</w:t>
            </w:r>
            <w:r>
              <w:rPr>
                <w:color w:val="auto"/>
                <w:highlight w:val="none"/>
              </w:rPr>
              <w:t>为</w:t>
            </w:r>
            <w:r>
              <w:rPr>
                <w:rFonts w:hint="eastAsia"/>
                <w:color w:val="auto"/>
                <w:highlight w:val="none"/>
                <w:lang w:val="en-US" w:eastAsia="zh-CN"/>
              </w:rPr>
              <w:t>1.984</w:t>
            </w:r>
            <w:r>
              <w:rPr>
                <w:color w:val="auto"/>
                <w:highlight w:val="none"/>
              </w:rPr>
              <w:t>万m</w:t>
            </w:r>
            <w:r>
              <w:rPr>
                <w:color w:val="auto"/>
                <w:highlight w:val="none"/>
                <w:vertAlign w:val="superscript"/>
              </w:rPr>
              <w:t>3</w:t>
            </w:r>
            <w:r>
              <w:rPr>
                <w:color w:val="auto"/>
                <w:highlight w:val="none"/>
              </w:rPr>
              <w:t>，</w:t>
            </w:r>
            <w:r>
              <w:rPr>
                <w:rFonts w:hint="eastAsia"/>
                <w:color w:val="auto"/>
                <w:highlight w:val="none"/>
                <w:lang w:eastAsia="zh-CN"/>
              </w:rPr>
              <w:t>清基软土</w:t>
            </w:r>
            <w:r>
              <w:rPr>
                <w:rFonts w:hint="eastAsia"/>
                <w:color w:val="auto"/>
                <w:highlight w:val="none"/>
                <w:lang w:val="en-US" w:eastAsia="zh-CN"/>
              </w:rPr>
              <w:t>1.349</w:t>
            </w:r>
            <w:r>
              <w:rPr>
                <w:color w:val="auto"/>
                <w:highlight w:val="none"/>
              </w:rPr>
              <w:t>万m</w:t>
            </w:r>
            <w:r>
              <w:rPr>
                <w:color w:val="auto"/>
                <w:highlight w:val="none"/>
                <w:vertAlign w:val="superscript"/>
              </w:rPr>
              <w:t>3</w:t>
            </w:r>
            <w:r>
              <w:rPr>
                <w:color w:val="auto"/>
                <w:highlight w:val="none"/>
              </w:rPr>
              <w:t>，</w:t>
            </w:r>
            <w:r>
              <w:rPr>
                <w:rFonts w:hint="eastAsia" w:cs="Times New Roman"/>
                <w:color w:val="auto"/>
                <w:highlight w:val="none"/>
                <w:lang w:val="en-US" w:eastAsia="zh-CN"/>
              </w:rPr>
              <w:t>拟</w:t>
            </w:r>
            <w:r>
              <w:rPr>
                <w:rFonts w:hint="eastAsia"/>
                <w:color w:val="auto"/>
                <w:highlight w:val="none"/>
              </w:rPr>
              <w:t>用于后期绿化敷土。</w:t>
            </w:r>
            <w:r>
              <w:rPr>
                <w:rFonts w:hint="eastAsia"/>
                <w:color w:val="auto"/>
                <w:highlight w:val="none"/>
                <w:lang w:val="en-US" w:eastAsia="zh-CN"/>
              </w:rPr>
              <w:t>2、3#</w:t>
            </w:r>
            <w:r>
              <w:rPr>
                <w:rFonts w:hint="eastAsia"/>
                <w:color w:val="auto"/>
                <w:highlight w:val="none"/>
                <w:lang w:eastAsia="zh-CN"/>
              </w:rPr>
              <w:t>临时堆土布置</w:t>
            </w:r>
            <w:r>
              <w:rPr>
                <w:color w:val="auto"/>
                <w:highlight w:val="none"/>
              </w:rPr>
              <w:t>在</w:t>
            </w:r>
            <w:r>
              <w:rPr>
                <w:rFonts w:hint="eastAsia"/>
                <w:color w:val="auto"/>
                <w:highlight w:val="none"/>
                <w:lang w:eastAsia="zh-CN"/>
              </w:rPr>
              <w:t>停车场南面位置，</w:t>
            </w:r>
            <w:r>
              <w:rPr>
                <w:rFonts w:hint="eastAsia"/>
                <w:color w:val="auto"/>
                <w:highlight w:val="none"/>
                <w:lang w:val="en-US" w:eastAsia="zh-CN"/>
              </w:rPr>
              <w:t>占地面积0.794hm</w:t>
            </w:r>
            <w:r>
              <w:rPr>
                <w:rFonts w:hint="eastAsia"/>
                <w:color w:val="auto"/>
                <w:highlight w:val="none"/>
                <w:vertAlign w:val="superscript"/>
                <w:lang w:val="en-US" w:eastAsia="zh-CN"/>
              </w:rPr>
              <w:t>2</w:t>
            </w:r>
            <w:r>
              <w:rPr>
                <w:rFonts w:hint="eastAsia"/>
                <w:color w:val="auto"/>
                <w:highlight w:val="none"/>
                <w:vertAlign w:val="baseline"/>
                <w:lang w:val="en-US" w:eastAsia="zh-CN"/>
              </w:rPr>
              <w:t>，</w:t>
            </w:r>
            <w:r>
              <w:rPr>
                <w:rFonts w:hint="eastAsia" w:cs="Times New Roman"/>
                <w:color w:val="auto"/>
                <w:highlight w:val="none"/>
                <w:lang w:val="en-US" w:eastAsia="zh-CN"/>
              </w:rPr>
              <w:t>拟</w:t>
            </w:r>
            <w:r>
              <w:rPr>
                <w:color w:val="auto"/>
                <w:highlight w:val="none"/>
              </w:rPr>
              <w:t>用于</w:t>
            </w:r>
            <w:r>
              <w:rPr>
                <w:rFonts w:hint="eastAsia"/>
                <w:color w:val="auto"/>
                <w:highlight w:val="none"/>
                <w:lang w:eastAsia="zh-CN"/>
              </w:rPr>
              <w:t>后期</w:t>
            </w:r>
            <w:r>
              <w:rPr>
                <w:color w:val="auto"/>
                <w:highlight w:val="none"/>
              </w:rPr>
              <w:t>绿化回填。</w:t>
            </w:r>
          </w:p>
          <w:p>
            <w:pPr>
              <w:ind w:firstLine="480"/>
              <w:rPr>
                <w:color w:val="auto"/>
                <w:highlight w:val="none"/>
              </w:rPr>
            </w:pPr>
            <w:r>
              <w:rPr>
                <w:color w:val="auto"/>
                <w:highlight w:val="none"/>
              </w:rPr>
              <w:t>临时堆土区</w:t>
            </w:r>
            <w:r>
              <w:rPr>
                <w:rFonts w:hint="eastAsia"/>
                <w:color w:val="auto"/>
                <w:highlight w:val="none"/>
              </w:rPr>
              <w:t>堆置</w:t>
            </w:r>
            <w:r>
              <w:rPr>
                <w:rFonts w:hint="eastAsia"/>
                <w:color w:val="auto"/>
                <w:highlight w:val="none"/>
                <w:lang w:eastAsia="zh-CN"/>
              </w:rPr>
              <w:t>表</w:t>
            </w:r>
            <w:r>
              <w:rPr>
                <w:rFonts w:hint="eastAsia"/>
                <w:color w:val="auto"/>
                <w:highlight w:val="none"/>
              </w:rPr>
              <w:t>土</w:t>
            </w:r>
            <w:r>
              <w:rPr>
                <w:rFonts w:hint="eastAsia"/>
                <w:b/>
                <w:bCs/>
                <w:color w:val="auto"/>
                <w:highlight w:val="none"/>
              </w:rPr>
              <w:t>：</w:t>
            </w:r>
            <w:r>
              <w:rPr>
                <w:color w:val="auto"/>
                <w:highlight w:val="none"/>
              </w:rPr>
              <w:t>堆存总方量约为</w:t>
            </w:r>
            <w:r>
              <w:rPr>
                <w:rFonts w:hint="eastAsia"/>
                <w:color w:val="auto"/>
                <w:highlight w:val="none"/>
                <w:lang w:val="en-US" w:eastAsia="zh-CN"/>
              </w:rPr>
              <w:t>1.984</w:t>
            </w:r>
            <w:r>
              <w:rPr>
                <w:color w:val="auto"/>
                <w:highlight w:val="none"/>
              </w:rPr>
              <w:t>万m</w:t>
            </w:r>
            <w:r>
              <w:rPr>
                <w:color w:val="auto"/>
                <w:highlight w:val="none"/>
                <w:vertAlign w:val="superscript"/>
              </w:rPr>
              <w:t>3</w:t>
            </w:r>
            <w:r>
              <w:rPr>
                <w:color w:val="auto"/>
                <w:highlight w:val="none"/>
              </w:rPr>
              <w:t>，平均堆高</w:t>
            </w:r>
            <w:r>
              <w:rPr>
                <w:rFonts w:hint="eastAsia"/>
                <w:color w:val="auto"/>
                <w:highlight w:val="none"/>
                <w:lang w:val="en-US" w:eastAsia="zh-CN"/>
              </w:rPr>
              <w:t>2.5</w:t>
            </w:r>
            <w:r>
              <w:rPr>
                <w:color w:val="auto"/>
                <w:highlight w:val="none"/>
              </w:rPr>
              <w:t>m，其占地面积约为</w:t>
            </w:r>
            <w:r>
              <w:rPr>
                <w:rFonts w:hint="eastAsia"/>
                <w:color w:val="auto"/>
                <w:highlight w:val="none"/>
              </w:rPr>
              <w:t>0.</w:t>
            </w:r>
            <w:r>
              <w:rPr>
                <w:rFonts w:hint="eastAsia"/>
                <w:color w:val="auto"/>
                <w:highlight w:val="none"/>
                <w:lang w:val="en-US" w:eastAsia="zh-CN"/>
              </w:rPr>
              <w:t>794</w:t>
            </w:r>
            <w:r>
              <w:rPr>
                <w:color w:val="auto"/>
                <w:highlight w:val="none"/>
              </w:rPr>
              <w:t>hm</w:t>
            </w:r>
            <w:r>
              <w:rPr>
                <w:color w:val="auto"/>
                <w:highlight w:val="none"/>
                <w:vertAlign w:val="superscript"/>
              </w:rPr>
              <w:t>2</w:t>
            </w:r>
            <w:r>
              <w:rPr>
                <w:color w:val="auto"/>
                <w:highlight w:val="none"/>
              </w:rPr>
              <w:t>；</w:t>
            </w:r>
            <w:r>
              <w:rPr>
                <w:rFonts w:hint="eastAsia"/>
                <w:color w:val="auto"/>
                <w:highlight w:val="none"/>
              </w:rPr>
              <w:t>临时</w:t>
            </w:r>
            <w:r>
              <w:rPr>
                <w:rFonts w:hint="eastAsia"/>
                <w:color w:val="auto"/>
                <w:highlight w:val="none"/>
                <w:lang w:eastAsia="zh-CN"/>
              </w:rPr>
              <w:t>堆土</w:t>
            </w:r>
            <w:r>
              <w:rPr>
                <w:rFonts w:hint="eastAsia"/>
                <w:color w:val="auto"/>
                <w:highlight w:val="none"/>
              </w:rPr>
              <w:t>区</w:t>
            </w:r>
            <w:r>
              <w:rPr>
                <w:rFonts w:hint="eastAsia" w:cs="Times New Roman"/>
                <w:color w:val="auto"/>
                <w:highlight w:val="none"/>
                <w:lang w:val="en-US" w:eastAsia="zh-CN"/>
              </w:rPr>
              <w:t>拟采取</w:t>
            </w:r>
            <w:r>
              <w:rPr>
                <w:rFonts w:hint="eastAsia"/>
                <w:color w:val="auto"/>
                <w:highlight w:val="none"/>
              </w:rPr>
              <w:t>的</w:t>
            </w:r>
            <w:r>
              <w:rPr>
                <w:color w:val="auto"/>
                <w:highlight w:val="none"/>
              </w:rPr>
              <w:t>防治措施如下：</w:t>
            </w:r>
            <w:r>
              <w:rPr>
                <w:rFonts w:hint="eastAsia"/>
                <w:color w:val="auto"/>
                <w:highlight w:val="none"/>
                <w:lang w:eastAsia="zh-CN"/>
              </w:rPr>
              <w:t>袋装土拦挡措施为</w:t>
            </w:r>
            <w:r>
              <w:rPr>
                <w:color w:val="auto"/>
                <w:highlight w:val="none"/>
              </w:rPr>
              <w:t>梯形</w:t>
            </w:r>
            <w:r>
              <w:rPr>
                <w:rFonts w:hint="eastAsia"/>
                <w:color w:val="auto"/>
                <w:highlight w:val="none"/>
                <w:lang w:eastAsia="zh-CN"/>
              </w:rPr>
              <w:t>断面</w:t>
            </w:r>
            <w:r>
              <w:rPr>
                <w:color w:val="auto"/>
                <w:highlight w:val="none"/>
              </w:rPr>
              <w:t>，尺寸为1.2 m（下宽）×0.3m（上宽）×0.6m(高)，袋装土垒砌总长度为</w:t>
            </w:r>
            <w:r>
              <w:rPr>
                <w:rFonts w:hint="eastAsia"/>
                <w:color w:val="auto"/>
                <w:highlight w:val="none"/>
                <w:lang w:val="en-US" w:eastAsia="zh-CN"/>
              </w:rPr>
              <w:t>365</w:t>
            </w:r>
            <w:r>
              <w:rPr>
                <w:color w:val="auto"/>
                <w:highlight w:val="none"/>
              </w:rPr>
              <w:t>m；沿袋装土最外围开挖土质排水沟，</w:t>
            </w:r>
            <w:r>
              <w:rPr>
                <w:rFonts w:hint="eastAsia"/>
                <w:color w:val="auto"/>
                <w:highlight w:val="none"/>
              </w:rPr>
              <w:t>排水沟长度</w:t>
            </w:r>
            <w:r>
              <w:rPr>
                <w:rFonts w:hint="eastAsia"/>
                <w:color w:val="auto"/>
                <w:highlight w:val="none"/>
                <w:lang w:val="en-US" w:eastAsia="zh-CN"/>
              </w:rPr>
              <w:t>385</w:t>
            </w:r>
            <w:r>
              <w:rPr>
                <w:rFonts w:hint="eastAsia"/>
                <w:color w:val="auto"/>
                <w:highlight w:val="none"/>
              </w:rPr>
              <w:t>m，</w:t>
            </w:r>
            <w:r>
              <w:rPr>
                <w:color w:val="auto"/>
                <w:highlight w:val="none"/>
              </w:rPr>
              <w:t>尺寸为：0.9m（上宽）×0.3m（底宽）×0.3m(深)，沟壁周围夯实，排水沟沟底坡降为0.2%，</w:t>
            </w:r>
            <w:r>
              <w:rPr>
                <w:rFonts w:hint="eastAsia" w:cs="Times New Roman"/>
                <w:color w:val="auto"/>
                <w:highlight w:val="none"/>
                <w:lang w:val="en-US" w:eastAsia="zh-CN"/>
              </w:rPr>
              <w:t>拟</w:t>
            </w:r>
            <w:r>
              <w:rPr>
                <w:rFonts w:hint="eastAsia"/>
                <w:color w:val="auto"/>
                <w:highlight w:val="none"/>
              </w:rPr>
              <w:t>设置沉沙池</w:t>
            </w:r>
            <w:r>
              <w:rPr>
                <w:rFonts w:hint="eastAsia"/>
                <w:color w:val="auto"/>
                <w:highlight w:val="none"/>
                <w:lang w:val="en-US" w:eastAsia="zh-CN"/>
              </w:rPr>
              <w:t>2</w:t>
            </w:r>
            <w:r>
              <w:rPr>
                <w:rFonts w:hint="eastAsia"/>
                <w:color w:val="auto"/>
                <w:highlight w:val="none"/>
              </w:rPr>
              <w:t>处，</w:t>
            </w:r>
            <w:r>
              <w:rPr>
                <w:color w:val="auto"/>
                <w:highlight w:val="none"/>
              </w:rPr>
              <w:t>沉淀后的雨水排入附近水系。</w:t>
            </w:r>
            <w:r>
              <w:rPr>
                <w:rFonts w:hint="eastAsia"/>
                <w:color w:val="auto"/>
                <w:highlight w:val="none"/>
              </w:rPr>
              <w:t>对</w:t>
            </w:r>
            <w:r>
              <w:rPr>
                <w:color w:val="auto"/>
                <w:highlight w:val="none"/>
              </w:rPr>
              <w:t>坡面进行盖土网苫盖，</w:t>
            </w:r>
            <w:r>
              <w:rPr>
                <w:rFonts w:hint="eastAsia"/>
                <w:color w:val="auto"/>
                <w:highlight w:val="none"/>
              </w:rPr>
              <w:t>共需</w:t>
            </w:r>
            <w:r>
              <w:rPr>
                <w:color w:val="auto"/>
                <w:highlight w:val="none"/>
              </w:rPr>
              <w:t>盖土网</w:t>
            </w:r>
            <w:r>
              <w:rPr>
                <w:rFonts w:hint="eastAsia"/>
                <w:color w:val="auto"/>
                <w:highlight w:val="none"/>
                <w:lang w:val="en-US" w:eastAsia="zh-CN"/>
              </w:rPr>
              <w:t>7940</w:t>
            </w:r>
            <w:r>
              <w:rPr>
                <w:color w:val="auto"/>
                <w:highlight w:val="none"/>
              </w:rPr>
              <w:t>m</w:t>
            </w:r>
            <w:r>
              <w:rPr>
                <w:color w:val="auto"/>
                <w:highlight w:val="none"/>
                <w:vertAlign w:val="superscript"/>
              </w:rPr>
              <w:t>2</w:t>
            </w:r>
            <w:r>
              <w:rPr>
                <w:color w:val="auto"/>
                <w:highlight w:val="none"/>
              </w:rPr>
              <w:t>。</w:t>
            </w:r>
          </w:p>
          <w:p>
            <w:pPr>
              <w:numPr>
                <w:ilvl w:val="0"/>
                <w:numId w:val="16"/>
              </w:numPr>
              <w:bidi w:val="0"/>
              <w:rPr>
                <w:rFonts w:hint="eastAsia" w:cs="Times New Roman"/>
                <w:b/>
                <w:bCs/>
                <w:color w:val="auto"/>
                <w:lang w:val="en-US" w:eastAsia="zh-CN"/>
              </w:rPr>
            </w:pPr>
            <w:r>
              <w:rPr>
                <w:rFonts w:hint="eastAsia" w:cs="Times New Roman"/>
                <w:b/>
                <w:bCs/>
                <w:color w:val="auto"/>
                <w:lang w:val="en-US" w:eastAsia="zh-CN"/>
              </w:rPr>
              <w:t>拓展用地区</w:t>
            </w:r>
          </w:p>
          <w:p>
            <w:pPr>
              <w:ind w:firstLine="480"/>
              <w:rPr>
                <w:rFonts w:hint="eastAsia" w:eastAsia="宋体"/>
                <w:color w:val="auto"/>
                <w:highlight w:val="none"/>
                <w:lang w:eastAsia="zh-CN"/>
              </w:rPr>
            </w:pPr>
            <w:r>
              <w:rPr>
                <w:rFonts w:hint="eastAsia"/>
                <w:color w:val="auto"/>
                <w:lang w:val="en-US" w:eastAsia="zh-CN"/>
              </w:rPr>
              <w:t>拓展用地区位于项目北面，规划为停车场用地</w:t>
            </w:r>
            <w:r>
              <w:rPr>
                <w:rFonts w:hint="eastAsia"/>
                <w:color w:val="auto"/>
                <w:highlight w:val="none"/>
                <w:lang w:eastAsia="zh-CN"/>
              </w:rPr>
              <w:t>。</w:t>
            </w:r>
          </w:p>
          <w:p>
            <w:pPr>
              <w:ind w:firstLine="480"/>
              <w:rPr>
                <w:rFonts w:hint="eastAsia"/>
                <w:color w:val="auto"/>
                <w:highlight w:val="none"/>
                <w:lang w:val="en-US" w:eastAsia="zh-CN"/>
              </w:rPr>
            </w:pPr>
            <w:r>
              <w:rPr>
                <w:rFonts w:hint="eastAsia"/>
                <w:color w:val="auto"/>
                <w:highlight w:val="none"/>
                <w:lang w:val="en-US" w:eastAsia="zh-CN"/>
              </w:rPr>
              <w:t>①工程措施</w:t>
            </w:r>
          </w:p>
          <w:p>
            <w:pPr>
              <w:ind w:firstLine="480"/>
              <w:rPr>
                <w:color w:val="auto"/>
                <w:highlight w:val="none"/>
              </w:rPr>
            </w:pPr>
            <w:r>
              <w:rPr>
                <w:rFonts w:hint="eastAsia"/>
                <w:color w:val="auto"/>
                <w:highlight w:val="none"/>
                <w:lang w:eastAsia="zh-CN"/>
              </w:rPr>
              <w:t>拓展用地</w:t>
            </w:r>
            <w:r>
              <w:rPr>
                <w:color w:val="auto"/>
                <w:highlight w:val="none"/>
              </w:rPr>
              <w:t>占地面积为</w:t>
            </w:r>
            <w:r>
              <w:rPr>
                <w:rFonts w:hint="eastAsia"/>
                <w:color w:val="auto"/>
                <w:highlight w:val="none"/>
                <w:lang w:val="en-US" w:eastAsia="zh-CN"/>
              </w:rPr>
              <w:t>2.8127</w:t>
            </w:r>
            <w:r>
              <w:rPr>
                <w:color w:val="auto"/>
                <w:highlight w:val="none"/>
              </w:rPr>
              <w:t>hm</w:t>
            </w:r>
            <w:r>
              <w:rPr>
                <w:color w:val="auto"/>
                <w:highlight w:val="none"/>
                <w:vertAlign w:val="superscript"/>
              </w:rPr>
              <w:t>2</w:t>
            </w:r>
            <w:r>
              <w:rPr>
                <w:color w:val="auto"/>
                <w:highlight w:val="none"/>
              </w:rPr>
              <w:t>，</w:t>
            </w:r>
            <w:r>
              <w:rPr>
                <w:rFonts w:hint="eastAsia"/>
                <w:color w:val="auto"/>
                <w:highlight w:val="none"/>
              </w:rPr>
              <w:t>本区表土剥离</w:t>
            </w:r>
            <w:r>
              <w:rPr>
                <w:rFonts w:hint="eastAsia"/>
                <w:color w:val="auto"/>
                <w:highlight w:val="none"/>
                <w:lang w:val="en-US" w:eastAsia="zh-CN"/>
              </w:rPr>
              <w:t>3700</w:t>
            </w:r>
            <w:r>
              <w:rPr>
                <w:color w:val="auto"/>
                <w:highlight w:val="none"/>
              </w:rPr>
              <w:t>m</w:t>
            </w:r>
            <w:r>
              <w:rPr>
                <w:color w:val="auto"/>
                <w:highlight w:val="none"/>
                <w:vertAlign w:val="superscript"/>
              </w:rPr>
              <w:t>3</w:t>
            </w:r>
            <w:r>
              <w:rPr>
                <w:color w:val="auto"/>
                <w:highlight w:val="none"/>
              </w:rPr>
              <w:t>，</w:t>
            </w:r>
            <w:r>
              <w:rPr>
                <w:rFonts w:hint="eastAsia"/>
                <w:color w:val="auto"/>
                <w:highlight w:val="none"/>
                <w:lang w:eastAsia="zh-CN"/>
              </w:rPr>
              <w:t>剥离后表土</w:t>
            </w:r>
            <w:r>
              <w:rPr>
                <w:rFonts w:hint="eastAsia"/>
                <w:color w:val="auto"/>
                <w:highlight w:val="none"/>
              </w:rPr>
              <w:t>堆放在临时堆土区</w:t>
            </w:r>
            <w:r>
              <w:rPr>
                <w:rFonts w:hint="eastAsia"/>
                <w:color w:val="auto"/>
                <w:highlight w:val="none"/>
                <w:lang w:eastAsia="zh-CN"/>
              </w:rPr>
              <w:t>后期用于绿化敷土</w:t>
            </w:r>
            <w:r>
              <w:rPr>
                <w:rFonts w:hint="eastAsia"/>
                <w:color w:val="auto"/>
                <w:highlight w:val="none"/>
              </w:rPr>
              <w:t>。</w:t>
            </w:r>
            <w:r>
              <w:rPr>
                <w:color w:val="auto"/>
                <w:highlight w:val="none"/>
              </w:rPr>
              <w:t>本区主体工程</w:t>
            </w:r>
            <w:r>
              <w:rPr>
                <w:rFonts w:hint="eastAsia" w:cs="Times New Roman"/>
                <w:color w:val="auto"/>
                <w:highlight w:val="none"/>
                <w:lang w:val="en-US" w:eastAsia="zh-CN"/>
              </w:rPr>
              <w:t>拟</w:t>
            </w:r>
            <w:r>
              <w:rPr>
                <w:color w:val="auto"/>
                <w:highlight w:val="none"/>
              </w:rPr>
              <w:t>设计</w:t>
            </w:r>
            <w:r>
              <w:rPr>
                <w:rFonts w:hint="eastAsia"/>
                <w:color w:val="auto"/>
                <w:highlight w:val="none"/>
                <w:lang w:val="en-US" w:eastAsia="zh-CN"/>
              </w:rPr>
              <w:t>DN400PE雨水管850m、砼</w:t>
            </w:r>
            <w:r>
              <w:rPr>
                <w:rFonts w:hint="eastAsia"/>
                <w:color w:val="auto"/>
                <w:highlight w:val="none"/>
              </w:rPr>
              <w:t>排水沟</w:t>
            </w:r>
            <w:r>
              <w:rPr>
                <w:rFonts w:hint="eastAsia"/>
                <w:color w:val="auto"/>
                <w:highlight w:val="none"/>
                <w:lang w:val="en-US" w:eastAsia="zh-CN"/>
              </w:rPr>
              <w:t>128</w:t>
            </w:r>
            <w:r>
              <w:rPr>
                <w:rFonts w:hint="eastAsia"/>
                <w:color w:val="auto"/>
                <w:highlight w:val="none"/>
              </w:rPr>
              <w:t>0m及沉沙池</w:t>
            </w:r>
            <w:r>
              <w:rPr>
                <w:rFonts w:hint="eastAsia"/>
                <w:color w:val="auto"/>
                <w:highlight w:val="none"/>
                <w:lang w:val="en-US" w:eastAsia="zh-CN"/>
              </w:rPr>
              <w:t>4</w:t>
            </w:r>
            <w:r>
              <w:rPr>
                <w:rFonts w:hint="eastAsia"/>
                <w:color w:val="auto"/>
                <w:highlight w:val="none"/>
              </w:rPr>
              <w:t>座</w:t>
            </w:r>
            <w:r>
              <w:rPr>
                <w:color w:val="auto"/>
                <w:highlight w:val="none"/>
              </w:rPr>
              <w:t>。</w:t>
            </w:r>
          </w:p>
          <w:p>
            <w:pPr>
              <w:bidi w:val="0"/>
              <w:rPr>
                <w:rFonts w:hint="eastAsia"/>
                <w:color w:val="auto"/>
                <w:highlight w:val="none"/>
                <w:lang w:val="en-US" w:eastAsia="zh-CN"/>
              </w:rPr>
            </w:pPr>
            <w:r>
              <w:rPr>
                <w:rFonts w:hint="eastAsia"/>
                <w:color w:val="auto"/>
                <w:highlight w:val="none"/>
                <w:lang w:val="en-US" w:eastAsia="zh-CN"/>
              </w:rPr>
              <w:t>②临时措施</w:t>
            </w:r>
          </w:p>
          <w:p>
            <w:pPr>
              <w:bidi w:val="0"/>
              <w:rPr>
                <w:rFonts w:hint="eastAsia"/>
                <w:color w:val="auto"/>
                <w:highlight w:val="none"/>
                <w:lang w:val="en-US" w:eastAsia="zh-CN"/>
              </w:rPr>
            </w:pPr>
            <w:r>
              <w:rPr>
                <w:rFonts w:hint="eastAsia"/>
                <w:color w:val="auto"/>
                <w:highlight w:val="none"/>
                <w:lang w:eastAsia="zh-CN"/>
              </w:rPr>
              <w:t>拓展用地场平后</w:t>
            </w:r>
            <w:r>
              <w:rPr>
                <w:color w:val="auto"/>
                <w:highlight w:val="none"/>
              </w:rPr>
              <w:t>，</w:t>
            </w:r>
            <w:r>
              <w:rPr>
                <w:rFonts w:hint="eastAsia"/>
                <w:color w:val="auto"/>
                <w:highlight w:val="none"/>
                <w:lang w:val="en-US" w:eastAsia="zh-CN"/>
              </w:rPr>
              <w:t>土体裸露。</w:t>
            </w:r>
            <w:r>
              <w:rPr>
                <w:rFonts w:hint="eastAsia"/>
                <w:color w:val="auto"/>
                <w:highlight w:val="none"/>
                <w:lang w:eastAsia="zh-CN"/>
              </w:rPr>
              <w:t>施工时对整个扰动区采用盖土网进行临时覆盖</w:t>
            </w:r>
            <w:r>
              <w:rPr>
                <w:rFonts w:hint="eastAsia"/>
                <w:color w:val="auto"/>
                <w:highlight w:val="none"/>
                <w:lang w:val="en-US" w:eastAsia="zh-CN"/>
              </w:rPr>
              <w:t>。施工期在该区四周</w:t>
            </w:r>
            <w:r>
              <w:rPr>
                <w:rFonts w:hint="eastAsia" w:cs="Times New Roman"/>
                <w:color w:val="auto"/>
                <w:highlight w:val="none"/>
                <w:lang w:val="en-US" w:eastAsia="zh-CN"/>
              </w:rPr>
              <w:t>拟</w:t>
            </w:r>
            <w:r>
              <w:rPr>
                <w:rFonts w:hint="eastAsia"/>
                <w:color w:val="auto"/>
                <w:highlight w:val="none"/>
                <w:lang w:val="en-US" w:eastAsia="zh-CN"/>
              </w:rPr>
              <w:t>布置临时排水系统，临时排水沟1280m，沉沙池4个，后期可对排水沟进行硬化，永临结合利用。</w:t>
            </w:r>
          </w:p>
          <w:p>
            <w:pPr>
              <w:ind w:firstLine="480"/>
              <w:rPr>
                <w:rFonts w:hint="eastAsia"/>
                <w:color w:val="auto"/>
                <w:highlight w:val="none"/>
                <w:lang w:val="en-US" w:eastAsia="zh-CN"/>
              </w:rPr>
            </w:pPr>
            <w:r>
              <w:rPr>
                <w:rFonts w:hint="eastAsia"/>
                <w:color w:val="auto"/>
                <w:highlight w:val="none"/>
                <w:lang w:val="en-US" w:eastAsia="zh-CN"/>
              </w:rPr>
              <w:t>③植物措施</w:t>
            </w:r>
          </w:p>
          <w:p>
            <w:pPr>
              <w:ind w:firstLine="480"/>
              <w:rPr>
                <w:rFonts w:hint="default"/>
                <w:color w:val="auto"/>
                <w:lang w:val="en-US" w:eastAsia="zh-CN"/>
              </w:rPr>
            </w:pPr>
            <w:r>
              <w:rPr>
                <w:rFonts w:hint="eastAsia"/>
                <w:color w:val="auto"/>
                <w:highlight w:val="none"/>
                <w:lang w:eastAsia="zh-CN"/>
              </w:rPr>
              <w:t>拓展用地土体</w:t>
            </w:r>
            <w:r>
              <w:rPr>
                <w:rFonts w:hint="eastAsia" w:cs="Times New Roman"/>
                <w:color w:val="auto"/>
                <w:highlight w:val="none"/>
                <w:lang w:val="en-US" w:eastAsia="zh-CN"/>
              </w:rPr>
              <w:t>拟</w:t>
            </w:r>
            <w:r>
              <w:rPr>
                <w:rFonts w:hint="eastAsia"/>
                <w:color w:val="auto"/>
                <w:highlight w:val="none"/>
                <w:lang w:eastAsia="zh-CN"/>
              </w:rPr>
              <w:t>采用盖土网覆盖，但是考虑裸露时期较长，盖土网经日晒雨淋产生破损，</w:t>
            </w:r>
            <w:r>
              <w:rPr>
                <w:rFonts w:hint="eastAsia"/>
                <w:color w:val="auto"/>
                <w:highlight w:val="none"/>
                <w:lang w:val="en-US" w:eastAsia="zh-CN"/>
              </w:rPr>
              <w:t>需</w:t>
            </w:r>
            <w:r>
              <w:rPr>
                <w:rFonts w:hint="eastAsia"/>
                <w:color w:val="auto"/>
                <w:highlight w:val="none"/>
                <w:lang w:eastAsia="zh-CN"/>
              </w:rPr>
              <w:t>对拓展用地新增撒播草籽，通过植物措施以防止雨水冲刷造成水土流失。</w:t>
            </w:r>
          </w:p>
          <w:p>
            <w:pPr>
              <w:bidi w:val="0"/>
              <w:rPr>
                <w:rFonts w:hint="eastAsia"/>
                <w:color w:val="auto"/>
                <w:lang w:val="en-US" w:eastAsia="zh-CN"/>
              </w:rPr>
            </w:pPr>
            <w:r>
              <w:rPr>
                <w:rFonts w:hint="eastAsia"/>
                <w:color w:val="auto"/>
                <w:lang w:eastAsia="zh-CN"/>
              </w:rPr>
              <w:t>（</w:t>
            </w:r>
            <w:r>
              <w:rPr>
                <w:rFonts w:hint="eastAsia"/>
                <w:color w:val="auto"/>
                <w:lang w:val="en-US" w:eastAsia="zh-CN"/>
              </w:rPr>
              <w:t>2</w:t>
            </w:r>
            <w:r>
              <w:rPr>
                <w:rFonts w:hint="eastAsia"/>
                <w:color w:val="auto"/>
                <w:lang w:eastAsia="zh-CN"/>
              </w:rPr>
              <w:t>）</w:t>
            </w:r>
            <w:r>
              <w:rPr>
                <w:rFonts w:hint="eastAsia"/>
                <w:color w:val="auto"/>
                <w:lang w:val="en-US" w:eastAsia="zh-CN"/>
              </w:rPr>
              <w:t>陆生生态保护措施</w:t>
            </w:r>
          </w:p>
          <w:p>
            <w:pPr>
              <w:bidi w:val="0"/>
              <w:rPr>
                <w:color w:val="auto"/>
                <w:lang w:val="en-US"/>
              </w:rPr>
            </w:pPr>
            <w:r>
              <w:rPr>
                <w:color w:val="auto"/>
                <w:lang w:val="en-US"/>
              </w:rPr>
              <w:t>①加强施工组织与管理，合理施工布置，尽量减少不必要的施工占地，减少施工中占压或损坏草皮树木，各种施工活动应严格控制在施工区域内，减少对施工区域周围植被和土壤的破坏，临时堆放的表土，尽快利用，恢复植被，从而使施工期对生态的影响降低到最小限度。</w:t>
            </w:r>
          </w:p>
          <w:p>
            <w:pPr>
              <w:bidi w:val="0"/>
              <w:rPr>
                <w:color w:val="auto"/>
                <w:lang w:val="en-US"/>
              </w:rPr>
            </w:pPr>
            <w:r>
              <w:rPr>
                <w:color w:val="auto"/>
                <w:lang w:val="en-US"/>
              </w:rPr>
              <w:t>②工程施工期间应剥离表土，表土临时进行堆放，施工结束后进行绿化覆土。这样既可以最大限度地减少物种资源的流失，又能在工程后植被的尽快恢复。</w:t>
            </w:r>
          </w:p>
          <w:p>
            <w:pPr>
              <w:bidi w:val="0"/>
              <w:rPr>
                <w:color w:val="auto"/>
                <w:lang w:val="en-US"/>
              </w:rPr>
            </w:pPr>
            <w:r>
              <w:rPr>
                <w:color w:val="auto"/>
                <w:lang w:val="en-US"/>
              </w:rPr>
              <w:t>③施工过程中，应做好设立防护网和施工道路两岸道路的定期洒水等防治扬尘的工作，减少对陆生植物正常生长的影响。</w:t>
            </w:r>
          </w:p>
          <w:p>
            <w:pPr>
              <w:bidi w:val="0"/>
              <w:rPr>
                <w:color w:val="auto"/>
              </w:rPr>
            </w:pPr>
            <w:r>
              <w:rPr>
                <w:color w:val="auto"/>
                <w:lang w:val="en-US"/>
              </w:rPr>
              <w:t>④为减少对施工作业区域生态环境的破坏，应对施工人员进行生态环境保护宣传教育，禁止施工人员捕食野生动物，</w:t>
            </w:r>
            <w:r>
              <w:rPr>
                <w:rFonts w:hint="eastAsia"/>
                <w:color w:val="auto"/>
                <w:lang w:val="en-US" w:eastAsia="zh-CN"/>
              </w:rPr>
              <w:t>增强</w:t>
            </w:r>
            <w:r>
              <w:rPr>
                <w:color w:val="auto"/>
                <w:lang w:val="en-US"/>
              </w:rPr>
              <w:t>施工人员生态环境保护意识，规范施工活动，防止人为对工程范围外土壤、植被的破坏</w:t>
            </w:r>
            <w:r>
              <w:rPr>
                <w:color w:val="auto"/>
              </w:rPr>
              <w:t>。</w:t>
            </w:r>
          </w:p>
          <w:p>
            <w:pPr>
              <w:bidi w:val="0"/>
              <w:ind w:left="0" w:leftChars="0" w:firstLine="0" w:firstLineChars="0"/>
              <w:rPr>
                <w:rFonts w:hint="default"/>
                <w:b/>
                <w:bCs/>
                <w:color w:val="auto"/>
                <w:lang w:val="en-US" w:eastAsia="zh-CN"/>
              </w:rPr>
            </w:pPr>
            <w:r>
              <w:rPr>
                <w:rFonts w:hint="eastAsia"/>
                <w:b/>
                <w:bCs/>
                <w:color w:val="auto"/>
                <w:lang w:val="en-US" w:eastAsia="zh-CN"/>
              </w:rPr>
              <w:t>6、施工期环境管理建议</w:t>
            </w:r>
          </w:p>
          <w:p>
            <w:pPr>
              <w:bidi w:val="0"/>
              <w:rPr>
                <w:color w:val="auto"/>
              </w:rPr>
            </w:pPr>
            <w:r>
              <w:rPr>
                <w:rFonts w:hint="eastAsia"/>
                <w:color w:val="auto"/>
                <w:lang w:val="en-US" w:eastAsia="zh-CN"/>
              </w:rPr>
              <w:t>（1）管理机构</w:t>
            </w:r>
          </w:p>
          <w:p>
            <w:pPr>
              <w:bidi w:val="0"/>
              <w:rPr>
                <w:rFonts w:hint="eastAsia"/>
                <w:color w:val="auto"/>
                <w:highlight w:val="none"/>
                <w:lang w:eastAsia="zh-CN"/>
              </w:rPr>
            </w:pPr>
            <w:r>
              <w:rPr>
                <w:color w:val="auto"/>
                <w:highlight w:val="none"/>
              </w:rPr>
              <w:t>建设单位首先要设立专人负责的水土保持管理机构（或委托当地的水土保持管理部门），负责组织、协调和监督水土保持方案的实施，实行工程招标投标制，建立监理制度等一系列措施，严格按照水土保持方案的治理措施、进度安排、技术标准等要求保质保量地实施水土保持方案；监督部门要定期对水土保持方案的实施进度、质量、资金落实情况等进行监督</w:t>
            </w:r>
            <w:r>
              <w:rPr>
                <w:rFonts w:hint="eastAsia"/>
                <w:color w:val="auto"/>
                <w:highlight w:val="none"/>
                <w:lang w:eastAsia="zh-CN"/>
              </w:rPr>
              <w:t>。</w:t>
            </w:r>
          </w:p>
          <w:p>
            <w:pPr>
              <w:bidi w:val="0"/>
              <w:rPr>
                <w:rFonts w:hint="default"/>
                <w:lang w:val="en-US"/>
              </w:rPr>
            </w:pPr>
            <w:r>
              <w:rPr>
                <w:rFonts w:hint="eastAsia"/>
                <w:lang w:val="en-US" w:eastAsia="zh-CN"/>
              </w:rPr>
              <w:t>（2）环境管理</w:t>
            </w:r>
          </w:p>
          <w:p>
            <w:pPr>
              <w:bidi w:val="0"/>
              <w:rPr>
                <w:rFonts w:hint="eastAsia"/>
                <w:color w:val="auto"/>
              </w:rPr>
            </w:pPr>
            <w:r>
              <w:rPr>
                <w:color w:val="auto"/>
                <w:highlight w:val="none"/>
              </w:rPr>
              <w:t>建设单位</w:t>
            </w:r>
            <w:r>
              <w:rPr>
                <w:rFonts w:hint="eastAsia"/>
                <w:color w:val="auto"/>
              </w:rPr>
              <w:t>至少应由一名熟悉环保政策和法规的专业技术人员负责落实环保措施，同时应组成一个由指挥长为组长的环境管理小组，以协调各施工单位的环保工作。监理公司须配置环保专业人员，负责施工过程中的环保工程监理，并检查“三同时”的落实情况。各合同段的施工单位至少配备一名环保技术人员从事环保工程施工的技术负责。施工中环境监理人员可根据情况，对重要地段或敏感点提出环境监测计划，掌握施工期的环境状况，确保不发生重大的环境事故。</w:t>
            </w:r>
          </w:p>
          <w:p>
            <w:pPr>
              <w:bidi w:val="0"/>
              <w:rPr>
                <w:rFonts w:hint="eastAsia"/>
                <w:color w:val="auto"/>
              </w:rPr>
            </w:pPr>
            <w:r>
              <w:rPr>
                <w:rFonts w:hint="eastAsia"/>
                <w:color w:val="auto"/>
              </w:rPr>
              <w:t>建设单位设计构建了良好的环境管理组织部门及人员，且应与施工单位联合组建环境保护管理机构，共同负责施工期的环境保护问题。施工单位在环境管理、污染控制及防治措施实施中起关键作用，施工单位应负责施工期环境影响减缓措施的落实，并与当地群众进行沟通和协商，在施工单位</w:t>
            </w:r>
            <w:r>
              <w:rPr>
                <w:rFonts w:hint="eastAsia"/>
                <w:color w:val="auto"/>
                <w:lang w:eastAsia="zh-CN"/>
              </w:rPr>
              <w:t>竖立公告牌</w:t>
            </w:r>
            <w:r>
              <w:rPr>
                <w:rFonts w:hint="eastAsia"/>
                <w:color w:val="auto"/>
              </w:rPr>
              <w:t>，公告具体的施工活动、施工时间等。建设单位应定期对施工单位进行督促和检查，尽可能降低或减免施工活动对周围环境产生的不利影响。</w:t>
            </w:r>
          </w:p>
          <w:p>
            <w:pPr>
              <w:bidi w:val="0"/>
              <w:rPr>
                <w:rFonts w:hint="default"/>
                <w:lang w:val="en-US" w:eastAsia="zh-CN"/>
              </w:rPr>
            </w:pPr>
            <w:r>
              <w:rPr>
                <w:rFonts w:hint="eastAsia"/>
                <w:color w:val="auto"/>
              </w:rPr>
              <w:t>综上，项目施工期对环境造成一定影响，在加强施工期的环境管理并采取环评建议和要求的环保措施的基础上，可将其影响控制在最低程度。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8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lang w:val="en-US" w:eastAsia="zh-CN"/>
              </w:rPr>
            </w:pPr>
            <w:r>
              <w:rPr>
                <w:rFonts w:hint="eastAsia"/>
                <w:lang w:val="en-US" w:eastAsia="zh-CN"/>
              </w:rPr>
              <w:t>运营期生态环境保护措施</w:t>
            </w:r>
          </w:p>
        </w:tc>
        <w:tc>
          <w:tcPr>
            <w:tcW w:w="8506" w:type="dxa"/>
            <w:vAlign w:val="center"/>
          </w:tcPr>
          <w:p>
            <w:pPr>
              <w:pStyle w:val="8"/>
              <w:bidi w:val="0"/>
              <w:rPr>
                <w:rFonts w:hint="default"/>
                <w:lang w:val="en-US" w:eastAsia="zh-CN"/>
              </w:rPr>
            </w:pPr>
            <w:r>
              <w:rPr>
                <w:rFonts w:hint="eastAsia"/>
                <w:lang w:val="en-US" w:eastAsia="zh-CN"/>
              </w:rPr>
              <w:t>1、大气环境保护措施</w:t>
            </w:r>
          </w:p>
          <w:p>
            <w:pPr>
              <w:pStyle w:val="22"/>
              <w:bidi w:val="0"/>
              <w:rPr>
                <w:rFonts w:hint="default" w:ascii="Times New Roman" w:hAnsi="Times New Roman" w:cs="Times New Roman"/>
                <w:b w:val="0"/>
                <w:bCs w:val="0"/>
                <w:color w:val="auto"/>
                <w:sz w:val="24"/>
                <w:szCs w:val="32"/>
                <w:highlight w:val="none"/>
                <w:lang w:val="en-US" w:eastAsia="zh-CN"/>
              </w:rPr>
            </w:pPr>
            <w:r>
              <w:rPr>
                <w:rFonts w:hint="eastAsia"/>
                <w:b w:val="0"/>
                <w:bCs w:val="0"/>
                <w:color w:val="auto"/>
                <w:sz w:val="24"/>
                <w:szCs w:val="32"/>
                <w:lang w:val="en-US" w:eastAsia="zh-CN"/>
              </w:rPr>
              <w:t>本项目运营过程产生的废气主要为餐饮油烟、备用发电机燃烧废气、公厕恶臭和停车场汽车尾气。</w:t>
            </w:r>
          </w:p>
          <w:p>
            <w:pPr>
              <w:pStyle w:val="22"/>
              <w:bidi w:val="0"/>
              <w:ind w:left="0" w:leftChars="0" w:firstLine="480" w:firstLineChars="200"/>
              <w:rPr>
                <w:rFonts w:hint="default" w:eastAsia="宋体"/>
                <w:b w:val="0"/>
                <w:bCs w:val="0"/>
                <w:lang w:val="en-US" w:eastAsia="zh-CN"/>
              </w:rPr>
            </w:pPr>
            <w:r>
              <w:rPr>
                <w:rFonts w:hint="eastAsia"/>
                <w:b w:val="0"/>
                <w:bCs w:val="0"/>
                <w:lang w:eastAsia="zh-CN"/>
              </w:rPr>
              <w:t>（</w:t>
            </w:r>
            <w:r>
              <w:rPr>
                <w:rFonts w:hint="eastAsia"/>
                <w:b w:val="0"/>
                <w:bCs w:val="0"/>
                <w:lang w:val="en-US" w:eastAsia="zh-CN"/>
              </w:rPr>
              <w:t>1</w:t>
            </w:r>
            <w:r>
              <w:rPr>
                <w:rFonts w:hint="eastAsia"/>
                <w:b w:val="0"/>
                <w:bCs w:val="0"/>
                <w:lang w:eastAsia="zh-CN"/>
              </w:rPr>
              <w:t>）</w:t>
            </w:r>
            <w:r>
              <w:rPr>
                <w:rFonts w:hint="eastAsia"/>
                <w:b w:val="0"/>
                <w:bCs w:val="0"/>
                <w:lang w:val="en-US" w:eastAsia="zh-CN"/>
              </w:rPr>
              <w:t>环境保护措施</w:t>
            </w:r>
          </w:p>
          <w:p>
            <w:pPr>
              <w:pStyle w:val="22"/>
              <w:bidi w:val="0"/>
              <w:rPr>
                <w:rFonts w:hint="eastAsia"/>
                <w:lang w:val="en-US" w:eastAsia="zh-CN"/>
              </w:rPr>
            </w:pPr>
            <w:r>
              <w:rPr>
                <w:rFonts w:hint="eastAsia"/>
                <w:lang w:val="en-US" w:eastAsia="zh-CN"/>
              </w:rPr>
              <w:t>①食堂油烟</w:t>
            </w:r>
          </w:p>
          <w:p>
            <w:pPr>
              <w:pStyle w:val="22"/>
              <w:bidi w:val="0"/>
              <w:rPr>
                <w:rFonts w:hint="default"/>
                <w:lang w:val="en-US" w:eastAsia="zh-CN"/>
              </w:rPr>
            </w:pPr>
            <w:r>
              <w:rPr>
                <w:rFonts w:hint="eastAsia"/>
                <w:lang w:val="en-US" w:eastAsia="zh-CN"/>
              </w:rPr>
              <w:t>本项目设有员工食堂，食堂油烟经油烟净化器处理后排放。</w:t>
            </w:r>
          </w:p>
          <w:p>
            <w:pPr>
              <w:pStyle w:val="22"/>
              <w:bidi w:val="0"/>
              <w:rPr>
                <w:rFonts w:hint="eastAsia"/>
                <w:lang w:val="en-US" w:eastAsia="zh-CN"/>
              </w:rPr>
            </w:pPr>
            <w:r>
              <w:rPr>
                <w:rFonts w:hint="eastAsia"/>
                <w:lang w:val="en-US" w:eastAsia="zh-CN"/>
              </w:rPr>
              <w:t>②餐厅油烟</w:t>
            </w:r>
          </w:p>
          <w:p>
            <w:pPr>
              <w:pStyle w:val="22"/>
              <w:bidi w:val="0"/>
              <w:rPr>
                <w:rFonts w:hint="default"/>
                <w:lang w:val="en-US" w:eastAsia="zh-CN"/>
              </w:rPr>
            </w:pPr>
            <w:r>
              <w:rPr>
                <w:rFonts w:hint="eastAsia"/>
                <w:lang w:val="en-US" w:eastAsia="zh-CN"/>
              </w:rPr>
              <w:t>本项目设有餐厅，餐厅油烟经油烟净化器处理后排放。</w:t>
            </w:r>
          </w:p>
          <w:p>
            <w:pPr>
              <w:pStyle w:val="22"/>
              <w:bidi w:val="0"/>
              <w:rPr>
                <w:rFonts w:hint="default"/>
                <w:lang w:val="en-US" w:eastAsia="zh-CN"/>
              </w:rPr>
            </w:pPr>
            <w:r>
              <w:rPr>
                <w:rFonts w:hint="eastAsia"/>
                <w:lang w:val="en-US" w:eastAsia="zh-CN"/>
              </w:rPr>
              <w:t>③</w:t>
            </w:r>
            <w:r>
              <w:rPr>
                <w:rFonts w:hint="eastAsia"/>
                <w:color w:val="auto"/>
                <w:sz w:val="24"/>
                <w:szCs w:val="32"/>
                <w:lang w:val="en-US" w:eastAsia="zh-CN"/>
              </w:rPr>
              <w:t>备用发电机燃烧废气</w:t>
            </w:r>
          </w:p>
          <w:p>
            <w:pPr>
              <w:pStyle w:val="22"/>
              <w:bidi w:val="0"/>
              <w:rPr>
                <w:rFonts w:hint="default"/>
                <w:lang w:val="en-US" w:eastAsia="zh-CN"/>
              </w:rPr>
            </w:pPr>
            <w:r>
              <w:rPr>
                <w:rFonts w:hint="eastAsia"/>
                <w:lang w:val="en-US" w:eastAsia="zh-CN"/>
              </w:rPr>
              <w:t>项</w:t>
            </w:r>
            <w:r>
              <w:rPr>
                <w:rFonts w:hint="default"/>
                <w:lang w:val="en-US" w:eastAsia="zh-CN"/>
              </w:rPr>
              <w:t>目拟设置</w:t>
            </w:r>
            <w:r>
              <w:rPr>
                <w:rFonts w:hint="eastAsia"/>
                <w:lang w:val="en-US" w:eastAsia="zh-CN"/>
              </w:rPr>
              <w:t>一台</w:t>
            </w:r>
            <w:r>
              <w:rPr>
                <w:rFonts w:hint="default"/>
                <w:lang w:val="en-US" w:eastAsia="zh-CN"/>
              </w:rPr>
              <w:t>800千瓦备用发电机，在停电时与正常维护时启用，位于设备用房。由于发电机使用的机会小，</w:t>
            </w:r>
            <w:r>
              <w:rPr>
                <w:rFonts w:hint="eastAsia"/>
                <w:lang w:val="en-US" w:eastAsia="zh-CN"/>
              </w:rPr>
              <w:t>仅在市政停电紧急情况下使用，该区日常供电稳定，发电机使用频率较低，全年使用时间很短，产污量较少。</w:t>
            </w:r>
            <w:r>
              <w:rPr>
                <w:rFonts w:hint="default"/>
              </w:rPr>
              <w:t>燃油发电机尾气通过管道引至楼顶高空排放</w:t>
            </w:r>
            <w:r>
              <w:rPr>
                <w:rFonts w:hint="eastAsia"/>
                <w:lang w:eastAsia="zh-CN"/>
              </w:rPr>
              <w:t>，</w:t>
            </w:r>
            <w:r>
              <w:rPr>
                <w:rFonts w:hint="default"/>
                <w:lang w:val="en-US" w:eastAsia="zh-CN"/>
              </w:rPr>
              <w:t>对周围大气环境污染因子的浓度贡献值很小。</w:t>
            </w:r>
          </w:p>
          <w:p>
            <w:pPr>
              <w:pStyle w:val="22"/>
              <w:bidi w:val="0"/>
              <w:rPr>
                <w:rFonts w:hint="eastAsia"/>
                <w:lang w:val="en-US" w:eastAsia="zh-CN"/>
              </w:rPr>
            </w:pPr>
            <w:r>
              <w:rPr>
                <w:rFonts w:hint="eastAsia"/>
                <w:lang w:val="en-US" w:eastAsia="zh-CN"/>
              </w:rPr>
              <w:t>④汽车尾气</w:t>
            </w:r>
          </w:p>
          <w:p>
            <w:pPr>
              <w:pStyle w:val="22"/>
              <w:bidi w:val="0"/>
              <w:rPr>
                <w:rFonts w:hint="default"/>
                <w:lang w:val="en-US" w:eastAsia="zh-CN"/>
              </w:rPr>
            </w:pPr>
            <w:r>
              <w:rPr>
                <w:rFonts w:hint="default"/>
                <w:lang w:val="en-US" w:eastAsia="zh-CN"/>
              </w:rPr>
              <w:t>因项目空间较大且车位分布相对比较分散，产生的机动车</w:t>
            </w:r>
            <w:r>
              <w:rPr>
                <w:rFonts w:hint="eastAsia"/>
                <w:lang w:val="en-US" w:eastAsia="zh-CN"/>
              </w:rPr>
              <w:t>尾气</w:t>
            </w:r>
            <w:r>
              <w:rPr>
                <w:rFonts w:hint="default"/>
                <w:lang w:val="en-US" w:eastAsia="zh-CN"/>
              </w:rPr>
              <w:t>能及时扩散，</w:t>
            </w:r>
            <w:r>
              <w:rPr>
                <w:rFonts w:hint="eastAsia"/>
                <w:lang w:val="en-US" w:eastAsia="zh-CN"/>
              </w:rPr>
              <w:t>且四周搭配种植有绿化带。</w:t>
            </w:r>
            <w:r>
              <w:rPr>
                <w:rFonts w:hint="default"/>
                <w:lang w:val="en-US" w:eastAsia="zh-CN"/>
              </w:rPr>
              <w:t>因此</w:t>
            </w:r>
            <w:r>
              <w:rPr>
                <w:rFonts w:hint="eastAsia"/>
                <w:lang w:val="en-US" w:eastAsia="zh-CN"/>
              </w:rPr>
              <w:t>，</w:t>
            </w:r>
            <w:r>
              <w:rPr>
                <w:rFonts w:hint="default"/>
                <w:lang w:val="en-US" w:eastAsia="zh-CN"/>
              </w:rPr>
              <w:t>地面停车场产生的机动车尾气对周围大气环境影响较小。</w:t>
            </w:r>
          </w:p>
          <w:p>
            <w:pPr>
              <w:pStyle w:val="22"/>
              <w:bidi w:val="0"/>
              <w:rPr>
                <w:rFonts w:hint="eastAsia"/>
                <w:lang w:val="en-US" w:eastAsia="zh-CN"/>
              </w:rPr>
            </w:pPr>
            <w:r>
              <w:rPr>
                <w:rFonts w:hint="eastAsia"/>
                <w:lang w:val="en-US" w:eastAsia="zh-CN"/>
              </w:rPr>
              <w:t>⑤公厕恶臭</w:t>
            </w:r>
          </w:p>
          <w:p>
            <w:pPr>
              <w:pStyle w:val="22"/>
              <w:bidi w:val="0"/>
              <w:rPr>
                <w:rFonts w:hint="default"/>
                <w:lang w:val="en-US" w:eastAsia="zh-CN"/>
              </w:rPr>
            </w:pPr>
            <w:r>
              <w:rPr>
                <w:rFonts w:hint="default"/>
                <w:lang w:val="en-US" w:eastAsia="zh-CN"/>
              </w:rPr>
              <w:t>本项目配备专门清洁人员，公厕周围不设死角，便于清洁人员清理；项目公厕张贴爱护卫生等标识</w:t>
            </w:r>
            <w:r>
              <w:rPr>
                <w:rFonts w:hint="eastAsia"/>
                <w:lang w:val="en-US" w:eastAsia="zh-CN"/>
              </w:rPr>
              <w:t>，</w:t>
            </w:r>
            <w:r>
              <w:rPr>
                <w:rFonts w:hint="default"/>
                <w:lang w:val="en-US" w:eastAsia="zh-CN"/>
              </w:rPr>
              <w:t>则项目运营后产生的恶臭废气对周围大气环境影响不大。</w:t>
            </w:r>
          </w:p>
          <w:p>
            <w:pPr>
              <w:pStyle w:val="22"/>
              <w:bidi w:val="0"/>
              <w:rPr>
                <w:rFonts w:hint="default"/>
                <w:lang w:val="en-US" w:eastAsia="zh-CN"/>
              </w:rPr>
            </w:pPr>
            <w:r>
              <w:rPr>
                <w:rFonts w:hint="default"/>
                <w:lang w:val="en-US" w:eastAsia="zh-CN"/>
              </w:rPr>
              <w:t>由于项目周边没有学校、医院、居民楼等环境敏感点，在采取以上措施的前提下，公厕恶臭对周边环境的影响可接受。</w:t>
            </w:r>
          </w:p>
          <w:p>
            <w:pPr>
              <w:pStyle w:val="22"/>
              <w:numPr>
                <w:ilvl w:val="0"/>
                <w:numId w:val="0"/>
              </w:numPr>
              <w:bidi w:val="0"/>
              <w:ind w:leftChars="200"/>
              <w:rPr>
                <w:rFonts w:hint="eastAsia"/>
                <w:b w:val="0"/>
                <w:bCs w:val="0"/>
                <w:lang w:val="en-US" w:eastAsia="zh-CN"/>
              </w:rPr>
            </w:pPr>
            <w:r>
              <w:rPr>
                <w:rFonts w:hint="eastAsia"/>
                <w:b w:val="0"/>
                <w:bCs w:val="0"/>
                <w:lang w:val="en-US" w:eastAsia="zh-CN"/>
              </w:rPr>
              <w:t>（2）环保措施可行性分析</w:t>
            </w:r>
          </w:p>
          <w:p>
            <w:pPr>
              <w:pStyle w:val="22"/>
              <w:bidi w:val="0"/>
              <w:rPr>
                <w:rFonts w:hint="default"/>
                <w:lang w:val="en-US" w:eastAsia="zh-CN"/>
              </w:rPr>
            </w:pPr>
            <w:r>
              <w:rPr>
                <w:rFonts w:hint="eastAsia"/>
                <w:lang w:val="en-US" w:eastAsia="zh-CN"/>
              </w:rPr>
              <w:t>本项目餐饮油烟经油烟净化器处理后排放；</w:t>
            </w:r>
            <w:r>
              <w:rPr>
                <w:rFonts w:hint="default"/>
                <w:lang w:val="en-US" w:eastAsia="zh-CN"/>
              </w:rPr>
              <w:t>备用发电机应</w:t>
            </w:r>
            <w:r>
              <w:rPr>
                <w:rFonts w:hint="eastAsia"/>
                <w:lang w:val="en-US" w:eastAsia="zh-CN"/>
              </w:rPr>
              <w:t>向</w:t>
            </w:r>
            <w:r>
              <w:rPr>
                <w:rFonts w:hint="default"/>
                <w:lang w:val="en-US" w:eastAsia="zh-CN"/>
              </w:rPr>
              <w:t>使用的柴油中添加助燃的添加剂，同时安装颗粒捕集器，废气经捕集后通过专用烟道于楼顶高空排放；</w:t>
            </w:r>
            <w:r>
              <w:rPr>
                <w:rFonts w:hint="eastAsia"/>
                <w:lang w:val="en-US" w:eastAsia="zh-CN"/>
              </w:rPr>
              <w:t>地面停车场四周搭配有绿化带；</w:t>
            </w:r>
            <w:r>
              <w:rPr>
                <w:rFonts w:hint="default"/>
                <w:lang w:val="en-US" w:eastAsia="zh-CN"/>
              </w:rPr>
              <w:t>针对公厕臭气，建设方应对公厕勤清理；公厕周围不设死角，便于清洁人员清理；项目公厕张贴爱护卫生等标识。类比同类型建设项目，其措施具有可行性。</w:t>
            </w:r>
          </w:p>
          <w:p>
            <w:pPr>
              <w:pStyle w:val="22"/>
              <w:bidi w:val="0"/>
              <w:rPr>
                <w:rFonts w:hint="default"/>
                <w:b w:val="0"/>
                <w:bCs w:val="0"/>
                <w:lang w:val="en-US" w:eastAsia="zh-CN"/>
              </w:rPr>
            </w:pPr>
            <w:r>
              <w:rPr>
                <w:rFonts w:hint="eastAsia"/>
                <w:b w:val="0"/>
                <w:bCs w:val="0"/>
                <w:lang w:val="en-US" w:eastAsia="zh-CN"/>
              </w:rPr>
              <w:t>（3）废气污染源监测计划</w:t>
            </w:r>
          </w:p>
          <w:p>
            <w:pPr>
              <w:pStyle w:val="22"/>
              <w:bidi w:val="0"/>
              <w:rPr>
                <w:rFonts w:hint="default"/>
                <w:b w:val="0"/>
                <w:bCs w:val="0"/>
                <w:lang w:val="en-US" w:eastAsia="zh-CN"/>
              </w:rPr>
            </w:pPr>
            <w:r>
              <w:rPr>
                <w:rFonts w:hint="default"/>
                <w:b w:val="0"/>
                <w:bCs w:val="0"/>
                <w:lang w:val="en-US" w:eastAsia="zh-CN"/>
              </w:rPr>
              <w:t>根据《</w:t>
            </w:r>
            <w:r>
              <w:rPr>
                <w:rFonts w:hint="eastAsia"/>
                <w:b w:val="0"/>
                <w:bCs w:val="0"/>
                <w:lang w:val="en-US" w:eastAsia="zh-CN"/>
              </w:rPr>
              <w:t>排污单位自行监测技术指南 总则</w:t>
            </w:r>
            <w:r>
              <w:rPr>
                <w:rFonts w:hint="default"/>
                <w:b w:val="0"/>
                <w:bCs w:val="0"/>
                <w:lang w:val="en-US" w:eastAsia="zh-CN"/>
              </w:rPr>
              <w:t>》</w:t>
            </w:r>
            <w:r>
              <w:rPr>
                <w:rFonts w:hint="eastAsia"/>
                <w:b w:val="0"/>
                <w:bCs w:val="0"/>
                <w:lang w:val="en-US" w:eastAsia="zh-CN"/>
              </w:rPr>
              <w:t>（HJ819-2017）相关要求</w:t>
            </w:r>
            <w:r>
              <w:rPr>
                <w:rFonts w:hint="default"/>
                <w:b w:val="0"/>
                <w:bCs w:val="0"/>
                <w:lang w:val="en-US" w:eastAsia="zh-CN"/>
              </w:rPr>
              <w:t>，本项目废气监测点位、指标、频次具体见下表。</w:t>
            </w:r>
          </w:p>
          <w:p>
            <w:pPr>
              <w:pStyle w:val="18"/>
              <w:bidi w:val="0"/>
              <w:rPr>
                <w:rFonts w:hint="eastAsia"/>
                <w:lang w:val="en-US" w:eastAsia="zh-CN"/>
              </w:rPr>
            </w:pPr>
            <w:r>
              <w:rPr>
                <w:rFonts w:hint="eastAsia"/>
                <w:lang w:val="en-US" w:eastAsia="zh-CN"/>
              </w:rPr>
              <w:t>表34 项目废气自行监测要求一览表</w:t>
            </w:r>
          </w:p>
          <w:tbl>
            <w:tblPr>
              <w:tblStyle w:val="16"/>
              <w:tblW w:w="856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6"/>
              <w:gridCol w:w="2086"/>
              <w:gridCol w:w="1644"/>
              <w:gridCol w:w="34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86" w:type="dxa"/>
                  <w:noWrap w:val="0"/>
                  <w:vAlign w:val="center"/>
                </w:tcPr>
                <w:p>
                  <w:pPr>
                    <w:pStyle w:val="19"/>
                    <w:bidi w:val="0"/>
                    <w:rPr>
                      <w:rFonts w:hint="default"/>
                      <w:lang w:val="en-US" w:eastAsia="zh-CN"/>
                    </w:rPr>
                  </w:pPr>
                  <w:r>
                    <w:rPr>
                      <w:rFonts w:hint="default"/>
                    </w:rPr>
                    <w:t>监测点位</w:t>
                  </w:r>
                </w:p>
              </w:tc>
              <w:tc>
                <w:tcPr>
                  <w:tcW w:w="2086" w:type="dxa"/>
                  <w:noWrap w:val="0"/>
                  <w:vAlign w:val="center"/>
                </w:tcPr>
                <w:p>
                  <w:pPr>
                    <w:pStyle w:val="19"/>
                    <w:bidi w:val="0"/>
                    <w:rPr>
                      <w:rFonts w:hint="default"/>
                      <w:lang w:val="en-US" w:eastAsia="zh-CN"/>
                    </w:rPr>
                  </w:pPr>
                  <w:r>
                    <w:rPr>
                      <w:rFonts w:hint="default"/>
                    </w:rPr>
                    <w:t>主要监测指标</w:t>
                  </w:r>
                </w:p>
              </w:tc>
              <w:tc>
                <w:tcPr>
                  <w:tcW w:w="1644" w:type="dxa"/>
                  <w:noWrap w:val="0"/>
                  <w:vAlign w:val="center"/>
                </w:tcPr>
                <w:p>
                  <w:pPr>
                    <w:pStyle w:val="19"/>
                    <w:bidi w:val="0"/>
                    <w:rPr>
                      <w:rFonts w:hint="default"/>
                      <w:lang w:val="en-US" w:eastAsia="zh-CN"/>
                    </w:rPr>
                  </w:pPr>
                  <w:r>
                    <w:rPr>
                      <w:rFonts w:hint="default"/>
                    </w:rPr>
                    <w:t>监测频次</w:t>
                  </w:r>
                </w:p>
              </w:tc>
              <w:tc>
                <w:tcPr>
                  <w:tcW w:w="3447" w:type="dxa"/>
                  <w:noWrap w:val="0"/>
                  <w:vAlign w:val="center"/>
                </w:tcPr>
                <w:p>
                  <w:pPr>
                    <w:pStyle w:val="19"/>
                    <w:bidi w:val="0"/>
                    <w:rPr>
                      <w:rFonts w:hint="default"/>
                      <w:lang w:val="en-US" w:eastAsia="zh-CN"/>
                    </w:rPr>
                  </w:pPr>
                  <w:r>
                    <w:rPr>
                      <w:rFonts w:hint="default"/>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386" w:type="dxa"/>
                  <w:noWrap w:val="0"/>
                  <w:vAlign w:val="center"/>
                </w:tcPr>
                <w:p>
                  <w:pPr>
                    <w:pStyle w:val="19"/>
                    <w:bidi w:val="0"/>
                    <w:rPr>
                      <w:rFonts w:hint="default"/>
                      <w:lang w:val="en-US" w:eastAsia="zh-CN"/>
                    </w:rPr>
                  </w:pPr>
                  <w:r>
                    <w:rPr>
                      <w:rFonts w:hint="eastAsia"/>
                      <w:lang w:val="en-US" w:eastAsia="zh-CN"/>
                    </w:rPr>
                    <w:t>场界</w:t>
                  </w:r>
                </w:p>
              </w:tc>
              <w:tc>
                <w:tcPr>
                  <w:tcW w:w="2086" w:type="dxa"/>
                  <w:noWrap w:val="0"/>
                  <w:vAlign w:val="center"/>
                </w:tcPr>
                <w:p>
                  <w:pPr>
                    <w:pStyle w:val="19"/>
                    <w:bidi w:val="0"/>
                    <w:rPr>
                      <w:rFonts w:hint="default"/>
                      <w:lang w:val="en-US" w:eastAsia="zh-CN"/>
                    </w:rPr>
                  </w:pPr>
                  <w:r>
                    <w:rPr>
                      <w:rFonts w:hint="default"/>
                    </w:rPr>
                    <w:t>H</w:t>
                  </w:r>
                  <w:r>
                    <w:rPr>
                      <w:rFonts w:hint="default"/>
                      <w:vertAlign w:val="subscript"/>
                    </w:rPr>
                    <w:t>2</w:t>
                  </w:r>
                  <w:r>
                    <w:rPr>
                      <w:rFonts w:hint="default"/>
                    </w:rPr>
                    <w:t>S、NH</w:t>
                  </w:r>
                  <w:r>
                    <w:rPr>
                      <w:rFonts w:hint="default"/>
                      <w:vertAlign w:val="subscript"/>
                    </w:rPr>
                    <w:t>3</w:t>
                  </w:r>
                  <w:r>
                    <w:rPr>
                      <w:rFonts w:hint="default"/>
                    </w:rPr>
                    <w:t>、臭气浓度</w:t>
                  </w:r>
                </w:p>
              </w:tc>
              <w:tc>
                <w:tcPr>
                  <w:tcW w:w="1644" w:type="dxa"/>
                  <w:noWrap w:val="0"/>
                  <w:vAlign w:val="center"/>
                </w:tcPr>
                <w:p>
                  <w:pPr>
                    <w:pStyle w:val="19"/>
                    <w:bidi w:val="0"/>
                    <w:rPr>
                      <w:rFonts w:hint="default"/>
                      <w:lang w:val="en-US" w:eastAsia="zh-CN"/>
                    </w:rPr>
                  </w:pPr>
                  <w:r>
                    <w:rPr>
                      <w:rFonts w:hint="default"/>
                    </w:rPr>
                    <w:t>每年一次</w:t>
                  </w:r>
                </w:p>
              </w:tc>
              <w:tc>
                <w:tcPr>
                  <w:tcW w:w="3447" w:type="dxa"/>
                  <w:noWrap w:val="0"/>
                  <w:vAlign w:val="center"/>
                </w:tcPr>
                <w:p>
                  <w:pPr>
                    <w:pStyle w:val="19"/>
                    <w:bidi w:val="0"/>
                    <w:rPr>
                      <w:rFonts w:hint="default"/>
                    </w:rPr>
                  </w:pPr>
                  <w:r>
                    <w:rPr>
                      <w:rFonts w:hint="default"/>
                    </w:rPr>
                    <w:t>《恶臭污染物排放标准》</w:t>
                  </w:r>
                </w:p>
                <w:p>
                  <w:pPr>
                    <w:pStyle w:val="19"/>
                    <w:bidi w:val="0"/>
                    <w:rPr>
                      <w:rFonts w:hint="default"/>
                      <w:lang w:val="en-US" w:eastAsia="zh-CN"/>
                    </w:rPr>
                  </w:pPr>
                  <w:r>
                    <w:rPr>
                      <w:rFonts w:hint="default"/>
                    </w:rPr>
                    <w:t>（GB14554-93）无组织排放要求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386" w:type="dxa"/>
                  <w:noWrap w:val="0"/>
                  <w:vAlign w:val="center"/>
                </w:tcPr>
                <w:p>
                  <w:pPr>
                    <w:pStyle w:val="19"/>
                    <w:bidi w:val="0"/>
                    <w:rPr>
                      <w:rFonts w:hint="default"/>
                      <w:lang w:val="en-US" w:eastAsia="zh-CN"/>
                    </w:rPr>
                  </w:pPr>
                  <w:r>
                    <w:rPr>
                      <w:rFonts w:hint="eastAsia"/>
                      <w:lang w:val="en-US" w:eastAsia="zh-CN"/>
                    </w:rPr>
                    <w:t>食堂</w:t>
                  </w:r>
                </w:p>
              </w:tc>
              <w:tc>
                <w:tcPr>
                  <w:tcW w:w="2086" w:type="dxa"/>
                  <w:noWrap w:val="0"/>
                  <w:vAlign w:val="center"/>
                </w:tcPr>
                <w:p>
                  <w:pPr>
                    <w:pStyle w:val="19"/>
                    <w:bidi w:val="0"/>
                    <w:rPr>
                      <w:rFonts w:hint="eastAsia" w:eastAsia="宋体"/>
                      <w:lang w:val="en-US" w:eastAsia="zh-CN"/>
                    </w:rPr>
                  </w:pPr>
                  <w:r>
                    <w:rPr>
                      <w:rFonts w:hint="eastAsia"/>
                      <w:lang w:val="en-US" w:eastAsia="zh-CN"/>
                    </w:rPr>
                    <w:t>油烟</w:t>
                  </w:r>
                </w:p>
              </w:tc>
              <w:tc>
                <w:tcPr>
                  <w:tcW w:w="1644" w:type="dxa"/>
                  <w:noWrap w:val="0"/>
                  <w:vAlign w:val="center"/>
                </w:tcPr>
                <w:p>
                  <w:pPr>
                    <w:pStyle w:val="19"/>
                    <w:bidi w:val="0"/>
                    <w:rPr>
                      <w:rFonts w:hint="default"/>
                    </w:rPr>
                  </w:pPr>
                  <w:r>
                    <w:rPr>
                      <w:rFonts w:hint="default"/>
                    </w:rPr>
                    <w:t>每年一次</w:t>
                  </w:r>
                </w:p>
              </w:tc>
              <w:tc>
                <w:tcPr>
                  <w:tcW w:w="3447" w:type="dxa"/>
                  <w:noWrap w:val="0"/>
                  <w:vAlign w:val="center"/>
                </w:tcPr>
                <w:p>
                  <w:pPr>
                    <w:pStyle w:val="19"/>
                    <w:bidi w:val="0"/>
                    <w:rPr>
                      <w:rFonts w:hint="default" w:eastAsia="宋体"/>
                      <w:lang w:val="en-US" w:eastAsia="zh-CN"/>
                    </w:rPr>
                  </w:pPr>
                  <w:r>
                    <w:rPr>
                      <w:rFonts w:hint="eastAsia"/>
                      <w:lang w:val="en-US" w:eastAsia="zh-CN"/>
                    </w:rPr>
                    <w:t>《饮食业油烟排放标准（试行）》（GB18483-2001）表2大型标准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386" w:type="dxa"/>
                  <w:noWrap w:val="0"/>
                  <w:vAlign w:val="center"/>
                </w:tcPr>
                <w:p>
                  <w:pPr>
                    <w:pStyle w:val="19"/>
                    <w:bidi w:val="0"/>
                    <w:rPr>
                      <w:rFonts w:hint="default"/>
                      <w:lang w:val="en-US" w:eastAsia="zh-CN"/>
                    </w:rPr>
                  </w:pPr>
                  <w:r>
                    <w:rPr>
                      <w:rFonts w:hint="eastAsia"/>
                      <w:lang w:val="en-US" w:eastAsia="zh-CN"/>
                    </w:rPr>
                    <w:t>餐厅</w:t>
                  </w:r>
                </w:p>
              </w:tc>
              <w:tc>
                <w:tcPr>
                  <w:tcW w:w="2086" w:type="dxa"/>
                  <w:noWrap w:val="0"/>
                  <w:vAlign w:val="center"/>
                </w:tcPr>
                <w:p>
                  <w:pPr>
                    <w:pStyle w:val="19"/>
                    <w:bidi w:val="0"/>
                    <w:rPr>
                      <w:rFonts w:hint="default"/>
                    </w:rPr>
                  </w:pPr>
                  <w:r>
                    <w:rPr>
                      <w:rFonts w:hint="eastAsia"/>
                      <w:lang w:val="en-US" w:eastAsia="zh-CN"/>
                    </w:rPr>
                    <w:t>油烟</w:t>
                  </w:r>
                </w:p>
              </w:tc>
              <w:tc>
                <w:tcPr>
                  <w:tcW w:w="1644" w:type="dxa"/>
                  <w:noWrap w:val="0"/>
                  <w:vAlign w:val="center"/>
                </w:tcPr>
                <w:p>
                  <w:pPr>
                    <w:pStyle w:val="19"/>
                    <w:bidi w:val="0"/>
                    <w:rPr>
                      <w:rFonts w:hint="default"/>
                    </w:rPr>
                  </w:pPr>
                  <w:r>
                    <w:rPr>
                      <w:rFonts w:hint="default"/>
                    </w:rPr>
                    <w:t>每年一次</w:t>
                  </w:r>
                </w:p>
              </w:tc>
              <w:tc>
                <w:tcPr>
                  <w:tcW w:w="3447" w:type="dxa"/>
                  <w:noWrap w:val="0"/>
                  <w:vAlign w:val="center"/>
                </w:tcPr>
                <w:p>
                  <w:pPr>
                    <w:pStyle w:val="19"/>
                    <w:bidi w:val="0"/>
                    <w:rPr>
                      <w:rFonts w:hint="default"/>
                    </w:rPr>
                  </w:pPr>
                  <w:r>
                    <w:rPr>
                      <w:rFonts w:hint="eastAsia"/>
                      <w:lang w:val="en-US" w:eastAsia="zh-CN"/>
                    </w:rPr>
                    <w:t>《饮食业油烟排放标准（试行）》（GB18483-2001）表2大型标准</w:t>
                  </w:r>
                </w:p>
              </w:tc>
            </w:tr>
          </w:tbl>
          <w:p>
            <w:pPr>
              <w:pStyle w:val="22"/>
              <w:numPr>
                <w:ilvl w:val="0"/>
                <w:numId w:val="0"/>
              </w:numPr>
              <w:bidi w:val="0"/>
              <w:ind w:leftChars="0"/>
              <w:rPr>
                <w:rFonts w:hint="eastAsia"/>
                <w:b/>
                <w:bCs/>
                <w:lang w:val="en-US" w:eastAsia="zh-CN"/>
              </w:rPr>
            </w:pPr>
            <w:r>
              <w:rPr>
                <w:rFonts w:hint="eastAsia"/>
                <w:b/>
                <w:bCs/>
                <w:lang w:val="en-US" w:eastAsia="zh-CN"/>
              </w:rPr>
              <w:t>2、地表水环境保护措施</w:t>
            </w:r>
          </w:p>
          <w:p>
            <w:pPr>
              <w:pStyle w:val="22"/>
              <w:numPr>
                <w:ilvl w:val="0"/>
                <w:numId w:val="0"/>
              </w:numPr>
              <w:bidi w:val="0"/>
              <w:ind w:leftChars="200"/>
              <w:rPr>
                <w:rFonts w:hint="eastAsia"/>
                <w:b w:val="0"/>
                <w:bCs w:val="0"/>
                <w:color w:val="000000" w:themeColor="text1"/>
                <w:lang w:val="en-US" w:eastAsia="zh-CN"/>
                <w14:textFill>
                  <w14:solidFill>
                    <w14:schemeClr w14:val="tx1"/>
                  </w14:solidFill>
                </w14:textFill>
              </w:rPr>
            </w:pPr>
            <w:r>
              <w:rPr>
                <w:rFonts w:hint="eastAsia"/>
                <w:b w:val="0"/>
                <w:bCs w:val="0"/>
                <w:color w:val="000000" w:themeColor="text1"/>
                <w:lang w:val="en-US" w:eastAsia="zh-CN"/>
                <w14:textFill>
                  <w14:solidFill>
                    <w14:schemeClr w14:val="tx1"/>
                  </w14:solidFill>
                </w14:textFill>
              </w:rPr>
              <w:t>（1）环境保护措施</w:t>
            </w:r>
          </w:p>
          <w:p>
            <w:pPr>
              <w:bidi w:val="0"/>
              <w:rPr>
                <w:rFonts w:hint="default"/>
                <w:color w:val="FF0000"/>
                <w:lang w:val="en-US" w:eastAsia="zh-CN"/>
              </w:rPr>
            </w:pPr>
            <w:r>
              <w:rPr>
                <w:rFonts w:hint="eastAsia"/>
                <w:color w:val="000000" w:themeColor="text1"/>
                <w:lang w:val="en-US" w:eastAsia="zh-CN"/>
                <w14:textFill>
                  <w14:solidFill>
                    <w14:schemeClr w14:val="tx1"/>
                  </w14:solidFill>
                </w14:textFill>
              </w:rPr>
              <w:t>本项目产生的废水主要为员工生活污水、游客淋浴废水、公厕废水、员工食堂废水、主题餐厅废水、水池娱乐废水。</w:t>
            </w:r>
            <w:r>
              <w:rPr>
                <w:rFonts w:hint="eastAsia"/>
                <w:color w:val="auto"/>
                <w:lang w:val="en-US" w:eastAsia="zh-CN"/>
              </w:rPr>
              <w:t>本项目营运期产生的废水主要为员工生活污水、游客淋浴废水、公厕废水、主题餐厅废水、员工食堂废水和水池娱乐废水。员工食堂废水、主题餐厅废水经隔油沉淀后，与员工生活污水</w:t>
            </w:r>
            <w:r>
              <w:rPr>
                <w:rFonts w:hint="default"/>
                <w:color w:val="auto"/>
              </w:rPr>
              <w:t>、游客淋浴废水、公厕废水</w:t>
            </w:r>
            <w:r>
              <w:rPr>
                <w:rFonts w:hint="eastAsia"/>
                <w:color w:val="auto"/>
                <w:lang w:val="en-US" w:eastAsia="zh-CN"/>
              </w:rPr>
              <w:t>一起进入化粪池，经</w:t>
            </w:r>
            <w:r>
              <w:rPr>
                <w:rFonts w:hint="default"/>
                <w:color w:val="auto"/>
              </w:rPr>
              <w:t>化粪池处理达标后</w:t>
            </w:r>
            <w:r>
              <w:rPr>
                <w:rFonts w:hint="eastAsia"/>
                <w:color w:val="auto"/>
                <w:lang w:eastAsia="zh-CN"/>
              </w:rPr>
              <w:t>，</w:t>
            </w:r>
            <w:r>
              <w:rPr>
                <w:rFonts w:hint="eastAsia"/>
                <w:color w:val="auto"/>
                <w:lang w:val="en-US" w:eastAsia="zh-CN"/>
              </w:rPr>
              <w:t>通过</w:t>
            </w:r>
            <w:r>
              <w:rPr>
                <w:rFonts w:hint="default"/>
                <w:color w:val="auto"/>
              </w:rPr>
              <w:t>市政污水管网</w:t>
            </w:r>
            <w:r>
              <w:rPr>
                <w:rFonts w:hint="eastAsia"/>
                <w:color w:val="auto"/>
                <w:lang w:val="en-US" w:eastAsia="zh-CN"/>
              </w:rPr>
              <w:t>排入</w:t>
            </w:r>
            <w:r>
              <w:rPr>
                <w:rFonts w:hint="eastAsia"/>
                <w:color w:val="auto"/>
                <w:lang w:eastAsia="zh-CN"/>
              </w:rPr>
              <w:t>松木</w:t>
            </w:r>
            <w:r>
              <w:rPr>
                <w:rFonts w:hint="eastAsia"/>
                <w:color w:val="auto"/>
                <w:lang w:val="en-US" w:eastAsia="zh-CN"/>
              </w:rPr>
              <w:t>生活</w:t>
            </w:r>
            <w:r>
              <w:rPr>
                <w:rFonts w:hint="eastAsia"/>
                <w:color w:val="auto"/>
                <w:lang w:eastAsia="zh-CN"/>
              </w:rPr>
              <w:t>污水处理厂，</w:t>
            </w:r>
            <w:r>
              <w:rPr>
                <w:rFonts w:hint="eastAsia"/>
                <w:color w:val="auto"/>
                <w:lang w:val="en-US" w:eastAsia="zh-CN"/>
              </w:rPr>
              <w:t>最终排入湘江</w:t>
            </w:r>
            <w:r>
              <w:rPr>
                <w:rFonts w:hint="default"/>
                <w:color w:val="auto"/>
              </w:rPr>
              <w:t>。</w:t>
            </w:r>
            <w:r>
              <w:rPr>
                <w:rFonts w:hint="eastAsia"/>
                <w:color w:val="auto"/>
                <w:lang w:val="en-US" w:eastAsia="zh-CN"/>
              </w:rPr>
              <w:t>水池娱乐用水经业内最先进的珍珠岩过滤系统过滤后循环使用，为保障水质稳定，闭园时水池娱乐用水全部排空，水池娱乐排空的废水</w:t>
            </w:r>
            <w:r>
              <w:rPr>
                <w:rFonts w:hint="eastAsia"/>
                <w:color w:val="auto"/>
                <w:u w:val="none"/>
                <w:lang w:val="en-US" w:eastAsia="zh-CN"/>
              </w:rPr>
              <w:t>与其他废水一起进入化粪池处理，</w:t>
            </w:r>
            <w:r>
              <w:rPr>
                <w:rFonts w:hint="eastAsia"/>
                <w:color w:val="auto"/>
                <w:lang w:val="en-US" w:eastAsia="zh-CN"/>
              </w:rPr>
              <w:t>经</w:t>
            </w:r>
            <w:r>
              <w:rPr>
                <w:rFonts w:hint="default"/>
                <w:color w:val="auto"/>
              </w:rPr>
              <w:t>化粪池处理达标后</w:t>
            </w:r>
            <w:r>
              <w:rPr>
                <w:rFonts w:hint="eastAsia"/>
                <w:color w:val="auto"/>
                <w:lang w:eastAsia="zh-CN"/>
              </w:rPr>
              <w:t>，</w:t>
            </w:r>
            <w:r>
              <w:rPr>
                <w:rFonts w:hint="eastAsia"/>
                <w:color w:val="auto"/>
                <w:lang w:val="en-US" w:eastAsia="zh-CN"/>
              </w:rPr>
              <w:t>通过</w:t>
            </w:r>
            <w:r>
              <w:rPr>
                <w:rFonts w:hint="default"/>
                <w:color w:val="auto"/>
              </w:rPr>
              <w:t>市政污水管网</w:t>
            </w:r>
            <w:r>
              <w:rPr>
                <w:rFonts w:hint="eastAsia"/>
                <w:color w:val="auto"/>
                <w:lang w:val="en-US" w:eastAsia="zh-CN"/>
              </w:rPr>
              <w:t>排入</w:t>
            </w:r>
            <w:r>
              <w:rPr>
                <w:rFonts w:hint="eastAsia"/>
                <w:color w:val="auto"/>
                <w:lang w:eastAsia="zh-CN"/>
              </w:rPr>
              <w:t>松木</w:t>
            </w:r>
            <w:r>
              <w:rPr>
                <w:rFonts w:hint="eastAsia"/>
                <w:color w:val="auto"/>
                <w:lang w:val="en-US" w:eastAsia="zh-CN"/>
              </w:rPr>
              <w:t>生活</w:t>
            </w:r>
            <w:r>
              <w:rPr>
                <w:rFonts w:hint="eastAsia"/>
                <w:color w:val="auto"/>
                <w:lang w:eastAsia="zh-CN"/>
              </w:rPr>
              <w:t>污水处理厂，</w:t>
            </w:r>
            <w:r>
              <w:rPr>
                <w:rFonts w:hint="eastAsia"/>
                <w:color w:val="auto"/>
                <w:lang w:val="en-US" w:eastAsia="zh-CN"/>
              </w:rPr>
              <w:t>最终排入湘江</w:t>
            </w:r>
            <w:r>
              <w:rPr>
                <w:rFonts w:hint="default"/>
                <w:color w:val="auto"/>
              </w:rPr>
              <w:t>。</w:t>
            </w:r>
          </w:p>
          <w:p>
            <w:pPr>
              <w:pStyle w:val="22"/>
              <w:bidi w:val="0"/>
              <w:ind w:left="0" w:leftChars="0" w:firstLine="480" w:firstLineChars="200"/>
              <w:rPr>
                <w:rFonts w:hint="default"/>
                <w:b w:val="0"/>
                <w:bCs w:val="0"/>
                <w:color w:val="000000" w:themeColor="text1"/>
                <w:lang w:val="en-US" w:eastAsia="zh-CN"/>
                <w14:textFill>
                  <w14:solidFill>
                    <w14:schemeClr w14:val="tx1"/>
                  </w14:solidFill>
                </w14:textFill>
              </w:rPr>
            </w:pPr>
            <w:r>
              <w:rPr>
                <w:rFonts w:hint="eastAsia"/>
                <w:b w:val="0"/>
                <w:bCs w:val="0"/>
                <w:color w:val="000000" w:themeColor="text1"/>
                <w:lang w:val="en-US" w:eastAsia="zh-CN"/>
                <w14:textFill>
                  <w14:solidFill>
                    <w14:schemeClr w14:val="tx1"/>
                  </w14:solidFill>
                </w14:textFill>
              </w:rPr>
              <w:t>（2）废水污染防治措施可行性分析</w:t>
            </w:r>
          </w:p>
          <w:p>
            <w:pPr>
              <w:spacing w:line="360" w:lineRule="auto"/>
              <w:ind w:firstLine="480"/>
              <w:rPr>
                <w:rFonts w:hint="eastAsia"/>
                <w:color w:val="000000" w:themeColor="text1"/>
                <w:sz w:val="24"/>
                <w:szCs w:val="32"/>
                <w14:textFill>
                  <w14:solidFill>
                    <w14:schemeClr w14:val="tx1"/>
                  </w14:solidFill>
                </w14:textFill>
              </w:rPr>
            </w:pPr>
            <w:r>
              <w:rPr>
                <w:rFonts w:hint="eastAsia"/>
                <w:color w:val="000000" w:themeColor="text1"/>
                <w:sz w:val="24"/>
                <w14:textFill>
                  <w14:solidFill>
                    <w14:schemeClr w14:val="tx1"/>
                  </w14:solidFill>
                </w14:textFill>
              </w:rPr>
              <w:t>本项目</w:t>
            </w:r>
            <w:r>
              <w:rPr>
                <w:rFonts w:hint="eastAsia"/>
                <w:color w:val="000000" w:themeColor="text1"/>
                <w:sz w:val="24"/>
                <w:lang w:val="en-US" w:eastAsia="zh-CN"/>
                <w14:textFill>
                  <w14:solidFill>
                    <w14:schemeClr w14:val="tx1"/>
                  </w14:solidFill>
                </w14:textFill>
              </w:rPr>
              <w:t>综合废水</w:t>
            </w:r>
            <w:r>
              <w:rPr>
                <w:rFonts w:hint="eastAsia"/>
                <w:color w:val="000000" w:themeColor="text1"/>
                <w:sz w:val="24"/>
                <w14:textFill>
                  <w14:solidFill>
                    <w14:schemeClr w14:val="tx1"/>
                  </w14:solidFill>
                </w14:textFill>
              </w:rPr>
              <w:t>预处理措施为化粪池，</w:t>
            </w:r>
            <w:r>
              <w:rPr>
                <w:color w:val="000000" w:themeColor="text1"/>
                <w:sz w:val="24"/>
                <w:szCs w:val="32"/>
                <w14:textFill>
                  <w14:solidFill>
                    <w14:schemeClr w14:val="tx1"/>
                  </w14:solidFill>
                </w14:textFill>
              </w:rPr>
              <w:t>化粪池是一种利用沉淀和厌氧发酵的原理，去除生活污水中悬浮性有机物的处理设施，属于初级的过渡性生活处理</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"https://baike.so.com/doc/3217190-3390409.html" \t "_blank" </w:instrText>
            </w:r>
            <w:r>
              <w:rPr>
                <w:color w:val="000000" w:themeColor="text1"/>
                <w14:textFill>
                  <w14:solidFill>
                    <w14:schemeClr w14:val="tx1"/>
                  </w14:solidFill>
                </w14:textFill>
              </w:rPr>
              <w:fldChar w:fldCharType="separate"/>
            </w:r>
            <w:r>
              <w:rPr>
                <w:color w:val="000000" w:themeColor="text1"/>
                <w:sz w:val="24"/>
                <w:szCs w:val="32"/>
                <w14:textFill>
                  <w14:solidFill>
                    <w14:schemeClr w14:val="tx1"/>
                  </w14:solidFill>
                </w14:textFill>
              </w:rPr>
              <w:t>构筑物</w:t>
            </w:r>
            <w:r>
              <w:rPr>
                <w:color w:val="000000" w:themeColor="text1"/>
                <w:sz w:val="24"/>
                <w:szCs w:val="32"/>
                <w14:textFill>
                  <w14:solidFill>
                    <w14:schemeClr w14:val="tx1"/>
                  </w14:solidFill>
                </w14:textFill>
              </w:rPr>
              <w:fldChar w:fldCharType="end"/>
            </w:r>
            <w:r>
              <w:rPr>
                <w:color w:val="000000" w:themeColor="text1"/>
                <w:sz w:val="24"/>
                <w:szCs w:val="32"/>
                <w14:textFill>
                  <w14:solidFill>
                    <w14:schemeClr w14:val="tx1"/>
                  </w14:solidFill>
                </w14:textFill>
              </w:rPr>
              <w:t>。生活污水中含有大量粪便、纸屑、病原虫</w:t>
            </w:r>
            <w:r>
              <w:rPr>
                <w:rFonts w:hint="eastAsia"/>
                <w:color w:val="000000" w:themeColor="text1"/>
                <w:sz w:val="24"/>
                <w:szCs w:val="32"/>
                <w14:textFill>
                  <w14:solidFill>
                    <w14:schemeClr w14:val="tx1"/>
                  </w14:solidFill>
                </w14:textFill>
              </w:rPr>
              <w:t>、</w:t>
            </w:r>
            <w:r>
              <w:rPr>
                <w:color w:val="000000" w:themeColor="text1"/>
                <w:sz w:val="24"/>
                <w:szCs w:val="32"/>
                <w14:textFill>
                  <w14:solidFill>
                    <w14:schemeClr w14:val="tx1"/>
                  </w14:solidFill>
                </w14:textFill>
              </w:rPr>
              <w:t>悬浮物固体浓度</w:t>
            </w:r>
            <w:r>
              <w:rPr>
                <w:rFonts w:hint="eastAsia"/>
                <w:color w:val="000000" w:themeColor="text1"/>
                <w:sz w:val="24"/>
                <w:szCs w:val="32"/>
                <w14:textFill>
                  <w14:solidFill>
                    <w14:schemeClr w14:val="tx1"/>
                  </w14:solidFill>
                </w14:textFill>
              </w:rPr>
              <w:t>为</w:t>
            </w:r>
            <w:r>
              <w:rPr>
                <w:color w:val="000000" w:themeColor="text1"/>
                <w:sz w:val="24"/>
                <w:szCs w:val="32"/>
                <w14:textFill>
                  <w14:solidFill>
                    <w14:schemeClr w14:val="tx1"/>
                  </w14:solidFill>
                </w14:textFill>
              </w:rPr>
              <w:t>100~350mg/L，有机物浓</w:t>
            </w:r>
            <w:r>
              <w:rPr>
                <w:rFonts w:hint="eastAsia"/>
                <w:color w:val="000000" w:themeColor="text1"/>
                <w:sz w:val="24"/>
                <w:szCs w:val="32"/>
                <w14:textFill>
                  <w14:solidFill>
                    <w14:schemeClr w14:val="tx1"/>
                  </w14:solidFill>
                </w14:textFill>
              </w:rPr>
              <w:t>度</w:t>
            </w:r>
            <w:r>
              <w:rPr>
                <w:color w:val="000000" w:themeColor="text1"/>
                <w:sz w:val="24"/>
                <w:szCs w:val="32"/>
                <w14:textFill>
                  <w14:solidFill>
                    <w14:schemeClr w14:val="tx1"/>
                  </w14:solidFill>
                </w14:textFill>
              </w:rPr>
              <w:t>COD</w:t>
            </w:r>
            <w:r>
              <w:rPr>
                <w:color w:val="000000" w:themeColor="text1"/>
                <w:sz w:val="24"/>
                <w:szCs w:val="32"/>
                <w:vertAlign w:val="subscript"/>
                <w14:textFill>
                  <w14:solidFill>
                    <w14:schemeClr w14:val="tx1"/>
                  </w14:solidFill>
                </w14:textFill>
              </w:rPr>
              <w:t>Cr</w:t>
            </w:r>
            <w:r>
              <w:rPr>
                <w:color w:val="000000" w:themeColor="text1"/>
                <w:sz w:val="24"/>
                <w:szCs w:val="32"/>
                <w14:textFill>
                  <w14:solidFill>
                    <w14:schemeClr w14:val="tx1"/>
                  </w14:solidFill>
                </w14:textFill>
              </w:rPr>
              <w:t>在100~400mg/L之间，其中悬浮性的有机物浓度BOD</w:t>
            </w:r>
            <w:r>
              <w:rPr>
                <w:color w:val="000000" w:themeColor="text1"/>
                <w:sz w:val="24"/>
                <w:szCs w:val="32"/>
                <w:vertAlign w:val="subscript"/>
                <w14:textFill>
                  <w14:solidFill>
                    <w14:schemeClr w14:val="tx1"/>
                  </w14:solidFill>
                </w14:textFill>
              </w:rPr>
              <w:t>5</w:t>
            </w:r>
            <w:r>
              <w:rPr>
                <w:rFonts w:hint="eastAsia"/>
                <w:color w:val="000000" w:themeColor="text1"/>
                <w:sz w:val="24"/>
                <w:szCs w:val="32"/>
                <w14:textFill>
                  <w14:solidFill>
                    <w14:schemeClr w14:val="tx1"/>
                  </w14:solidFill>
                </w14:textFill>
              </w:rPr>
              <w:t>为</w:t>
            </w:r>
            <w:r>
              <w:rPr>
                <w:color w:val="000000" w:themeColor="text1"/>
                <w:sz w:val="24"/>
                <w:szCs w:val="32"/>
                <w14:textFill>
                  <w14:solidFill>
                    <w14:schemeClr w14:val="tx1"/>
                  </w14:solidFill>
                </w14:textFill>
              </w:rPr>
              <w:t>50~200mg/L。污水进入化粪池经过12~24h的沉淀，可去除</w:t>
            </w:r>
            <w:r>
              <w:rPr>
                <w:rFonts w:hint="eastAsia"/>
                <w:color w:val="000000" w:themeColor="text1"/>
                <w:sz w:val="24"/>
                <w:szCs w:val="32"/>
                <w:lang w:val="en-US" w:eastAsia="zh-CN"/>
                <w14:textFill>
                  <w14:solidFill>
                    <w14:schemeClr w14:val="tx1"/>
                  </w14:solidFill>
                </w14:textFill>
              </w:rPr>
              <w:t>大部分</w:t>
            </w:r>
            <w:r>
              <w:rPr>
                <w:color w:val="000000" w:themeColor="text1"/>
                <w:sz w:val="24"/>
                <w:szCs w:val="32"/>
                <w14:textFill>
                  <w14:solidFill>
                    <w14:schemeClr w14:val="tx1"/>
                  </w14:solidFill>
                </w14:textFill>
              </w:rPr>
              <w:t>悬浮物。沉淀下来的污泥经过3个月以上的厌氧发酵分解，使污泥中的有机物分解成稳定的无机物，易腐败的生污泥转化为稳定的熟污泥，改变了污泥的结构，降低了污泥的含水率</w:t>
            </w:r>
            <w:r>
              <w:rPr>
                <w:rFonts w:hint="eastAsia"/>
                <w:color w:val="000000" w:themeColor="text1"/>
                <w:sz w:val="24"/>
                <w:szCs w:val="32"/>
                <w14:textFill>
                  <w14:solidFill>
                    <w14:schemeClr w14:val="tx1"/>
                  </w14:solidFill>
                </w14:textFill>
              </w:rPr>
              <w:t>。</w:t>
            </w:r>
          </w:p>
          <w:p>
            <w:pPr>
              <w:spacing w:line="360" w:lineRule="auto"/>
              <w:ind w:firstLine="480"/>
              <w:rPr>
                <w:color w:val="auto"/>
              </w:rPr>
            </w:pPr>
            <w:r>
              <w:rPr>
                <w:rFonts w:hint="eastAsia"/>
                <w:color w:val="000000" w:themeColor="text1"/>
                <w:sz w:val="24"/>
                <w:szCs w:val="32"/>
                <w:lang w:val="en-US" w:eastAsia="zh-CN"/>
                <w14:textFill>
                  <w14:solidFill>
                    <w14:schemeClr w14:val="tx1"/>
                  </w14:solidFill>
                </w14:textFill>
              </w:rPr>
              <w:t>本项目营运期产生的废</w:t>
            </w:r>
            <w:r>
              <w:rPr>
                <w:rFonts w:hint="eastAsia"/>
                <w:color w:val="000000" w:themeColor="text1"/>
                <w:sz w:val="24"/>
                <w:szCs w:val="32"/>
                <w14:textFill>
                  <w14:solidFill>
                    <w14:schemeClr w14:val="tx1"/>
                  </w14:solidFill>
                </w14:textFill>
              </w:rPr>
              <w:t>水主要为</w:t>
            </w:r>
            <w:r>
              <w:rPr>
                <w:rFonts w:hint="eastAsia"/>
                <w:color w:val="000000" w:themeColor="text1"/>
                <w:lang w:val="en-US" w:eastAsia="zh-CN"/>
                <w14:textFill>
                  <w14:solidFill>
                    <w14:schemeClr w14:val="tx1"/>
                  </w14:solidFill>
                </w14:textFill>
              </w:rPr>
              <w:t>员工生活污水、游客淋浴废水、公厕废水、员工食</w:t>
            </w:r>
            <w:r>
              <w:rPr>
                <w:rFonts w:hint="eastAsia"/>
                <w:color w:val="auto"/>
                <w:lang w:val="en-US" w:eastAsia="zh-CN"/>
              </w:rPr>
              <w:t>堂废水、主题餐厅废水、水池娱乐废水</w:t>
            </w:r>
            <w:r>
              <w:rPr>
                <w:rFonts w:hint="eastAsia"/>
                <w:color w:val="auto"/>
                <w:sz w:val="24"/>
                <w:szCs w:val="32"/>
              </w:rPr>
              <w:t>等，水质较简单</w:t>
            </w:r>
            <w:r>
              <w:rPr>
                <w:rFonts w:hint="eastAsia"/>
                <w:color w:val="auto"/>
                <w:sz w:val="24"/>
                <w:szCs w:val="32"/>
                <w:lang w:eastAsia="zh-CN"/>
              </w:rPr>
              <w:t>。</w:t>
            </w:r>
            <w:r>
              <w:rPr>
                <w:rFonts w:hint="eastAsia"/>
                <w:color w:val="auto"/>
                <w:sz w:val="24"/>
                <w:szCs w:val="32"/>
              </w:rPr>
              <w:t>采用化粪池可去除部分污染物，可</w:t>
            </w:r>
            <w:r>
              <w:rPr>
                <w:rFonts w:hint="eastAsia"/>
                <w:color w:val="auto"/>
                <w:sz w:val="24"/>
                <w:szCs w:val="32"/>
                <w:lang w:val="en-US" w:eastAsia="zh-CN"/>
              </w:rPr>
              <w:t>达到《污水综合排放标准（含修改单）》（GB8978-1996）中表4三级标准。</w:t>
            </w:r>
            <w:r>
              <w:rPr>
                <w:rFonts w:hint="eastAsia"/>
                <w:color w:val="auto"/>
                <w:sz w:val="24"/>
              </w:rPr>
              <w:t>因此本项目化粪池在水质上均可满足本项目</w:t>
            </w:r>
            <w:r>
              <w:rPr>
                <w:rFonts w:hint="eastAsia"/>
                <w:color w:val="auto"/>
                <w:sz w:val="24"/>
                <w:lang w:val="en-US" w:eastAsia="zh-CN"/>
              </w:rPr>
              <w:t>产生的综合废水</w:t>
            </w:r>
            <w:r>
              <w:rPr>
                <w:rFonts w:hint="eastAsia"/>
                <w:color w:val="auto"/>
                <w:sz w:val="24"/>
              </w:rPr>
              <w:t>的预处理需求。</w:t>
            </w:r>
          </w:p>
          <w:p>
            <w:pPr>
              <w:pStyle w:val="22"/>
              <w:numPr>
                <w:ilvl w:val="0"/>
                <w:numId w:val="0"/>
              </w:numPr>
              <w:bidi w:val="0"/>
              <w:ind w:firstLine="480" w:firstLineChars="200"/>
              <w:rPr>
                <w:rFonts w:hint="default"/>
                <w:b w:val="0"/>
                <w:bCs w:val="0"/>
                <w:color w:val="auto"/>
                <w:lang w:val="en-US" w:eastAsia="zh-CN"/>
              </w:rPr>
            </w:pPr>
            <w:r>
              <w:rPr>
                <w:rFonts w:hint="eastAsia"/>
                <w:b w:val="0"/>
                <w:bCs w:val="0"/>
                <w:color w:val="auto"/>
                <w:lang w:val="en-US" w:eastAsia="zh-CN"/>
              </w:rPr>
              <w:t>（3）依托松木生活污水处理厂处理可行性分析</w:t>
            </w:r>
          </w:p>
          <w:p>
            <w:pPr>
              <w:pStyle w:val="22"/>
              <w:bidi w:val="0"/>
              <w:rPr>
                <w:rFonts w:hint="eastAsia"/>
                <w:color w:val="auto"/>
                <w:lang w:val="en-US" w:eastAsia="zh-CN"/>
              </w:rPr>
            </w:pPr>
            <w:r>
              <w:rPr>
                <w:rFonts w:hint="eastAsia"/>
                <w:color w:val="auto"/>
                <w:lang w:val="en-US" w:eastAsia="zh-CN"/>
              </w:rPr>
              <w:t>①水管接管可行性</w:t>
            </w:r>
          </w:p>
          <w:p>
            <w:pPr>
              <w:pStyle w:val="22"/>
              <w:bidi w:val="0"/>
              <w:rPr>
                <w:rFonts w:hint="eastAsia"/>
                <w:color w:val="auto"/>
                <w:lang w:val="en-US" w:eastAsia="zh-CN"/>
              </w:rPr>
            </w:pPr>
            <w:r>
              <w:rPr>
                <w:rFonts w:hint="eastAsia"/>
                <w:color w:val="auto"/>
                <w:lang w:val="en-US" w:eastAsia="zh-CN"/>
              </w:rPr>
              <w:t>松木生活污水处理厂于2018年10月开工建设，2020年8月土建部分建设完成，2021年4月4日完成配套的污水提升泵站设备安装，并已实现通电。主要纳污片区“来雁新城”内管网及配套设施由于拆迁问题，征雁路1.2公里管网、湘江北路200米管网及交叉口处1个提升泵站未按时完成建设，导致污水不能进入厂区。2021年7月以来，市住建局积极对接项目所属地政府，加强协调督办，协助解决管网铺设区域的房屋拆迁和管线改迁工作，湖南华侨城文旅投资有限公司于2022年7月底完成了征雁路、湘江北路合计1.4km管网及提升泵站建设，打通了片区污水管网，8月15日实现开泵通水，9月11日松木生活污水处理厂进入蓄水调试阶段，9月22日开始试运行。</w:t>
            </w:r>
          </w:p>
          <w:p>
            <w:pPr>
              <w:pStyle w:val="22"/>
              <w:bidi w:val="0"/>
              <w:rPr>
                <w:rFonts w:hint="eastAsia"/>
                <w:color w:val="auto"/>
                <w:lang w:val="en-US" w:eastAsia="zh-CN"/>
              </w:rPr>
            </w:pPr>
            <w:r>
              <w:rPr>
                <w:rFonts w:hint="eastAsia"/>
                <w:color w:val="auto"/>
                <w:lang w:val="en-US" w:eastAsia="zh-CN"/>
              </w:rPr>
              <w:t>松木生活污水处理厂主要服务区域为蒸水北片区的部分区域以及松木片区的全部区域，包络规划区B片区在内，可接纳规划区污水。本项目位于来雁路东侧的地块，属于来雁新城B片区，东侧地块污水纳入松木生活污水处理厂进行处理。</w:t>
            </w:r>
          </w:p>
          <w:p>
            <w:pPr>
              <w:pStyle w:val="22"/>
              <w:bidi w:val="0"/>
              <w:ind w:left="0" w:leftChars="0" w:firstLine="0" w:firstLineChars="0"/>
              <w:jc w:val="center"/>
              <w:rPr>
                <w:rFonts w:hint="default"/>
                <w:color w:val="auto"/>
                <w:lang w:val="en-US" w:eastAsia="zh-CN"/>
              </w:rPr>
            </w:pPr>
            <w:r>
              <w:rPr>
                <w:color w:val="auto"/>
              </w:rPr>
              <w:drawing>
                <wp:inline distT="0" distB="0" distL="114300" distR="114300">
                  <wp:extent cx="5512435" cy="4064000"/>
                  <wp:effectExtent l="0" t="0" r="12065" b="12700"/>
                  <wp:docPr id="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5"/>
                          <pic:cNvPicPr>
                            <a:picLocks noChangeAspect="1"/>
                          </pic:cNvPicPr>
                        </pic:nvPicPr>
                        <pic:blipFill>
                          <a:blip r:embed="rId63"/>
                          <a:stretch>
                            <a:fillRect/>
                          </a:stretch>
                        </pic:blipFill>
                        <pic:spPr>
                          <a:xfrm>
                            <a:off x="0" y="0"/>
                            <a:ext cx="5512435" cy="4064000"/>
                          </a:xfrm>
                          <a:prstGeom prst="rect">
                            <a:avLst/>
                          </a:prstGeom>
                          <a:noFill/>
                          <a:ln>
                            <a:noFill/>
                          </a:ln>
                        </pic:spPr>
                      </pic:pic>
                    </a:graphicData>
                  </a:graphic>
                </wp:inline>
              </w:drawing>
            </w:r>
          </w:p>
          <w:p>
            <w:pPr>
              <w:pStyle w:val="18"/>
              <w:bidi w:val="0"/>
              <w:rPr>
                <w:rFonts w:hint="default"/>
                <w:color w:val="auto"/>
                <w:lang w:val="en-US" w:eastAsia="zh-CN"/>
              </w:rPr>
            </w:pPr>
            <w:r>
              <w:rPr>
                <w:rFonts w:hint="eastAsia"/>
                <w:color w:val="auto"/>
                <w:lang w:val="en-US" w:eastAsia="zh-CN"/>
              </w:rPr>
              <w:t>图7 来雁新城排水示意图</w:t>
            </w:r>
          </w:p>
          <w:p>
            <w:pPr>
              <w:pStyle w:val="22"/>
              <w:bidi w:val="0"/>
              <w:rPr>
                <w:rFonts w:hint="default"/>
                <w:color w:val="auto"/>
                <w:lang w:val="en-US" w:eastAsia="zh-CN"/>
              </w:rPr>
            </w:pPr>
            <w:r>
              <w:rPr>
                <w:rFonts w:hint="eastAsia"/>
                <w:color w:val="auto"/>
                <w:lang w:val="en-US" w:eastAsia="zh-CN"/>
              </w:rPr>
              <w:t>②</w:t>
            </w:r>
            <w:r>
              <w:rPr>
                <w:rFonts w:hint="eastAsia" w:cs="宋体"/>
                <w:bCs/>
                <w:color w:val="auto"/>
                <w:sz w:val="24"/>
              </w:rPr>
              <w:t>水质接管可行性</w:t>
            </w:r>
          </w:p>
          <w:p>
            <w:pPr>
              <w:pStyle w:val="22"/>
              <w:bidi w:val="0"/>
              <w:rPr>
                <w:rFonts w:hint="eastAsia" w:cs="宋体"/>
                <w:bCs/>
                <w:color w:val="auto"/>
                <w:sz w:val="24"/>
                <w:lang w:eastAsia="zh-CN"/>
              </w:rPr>
            </w:pPr>
            <w:r>
              <w:rPr>
                <w:rFonts w:hint="eastAsia"/>
                <w:color w:val="auto"/>
                <w:lang w:val="en-US" w:eastAsia="zh-CN"/>
              </w:rPr>
              <w:t>本</w:t>
            </w:r>
            <w:r>
              <w:rPr>
                <w:rFonts w:hint="eastAsia"/>
                <w:color w:val="auto"/>
              </w:rPr>
              <w:t>项目地处</w:t>
            </w:r>
            <w:r>
              <w:rPr>
                <w:rFonts w:hint="eastAsia"/>
                <w:color w:val="auto"/>
                <w:lang w:eastAsia="zh-CN"/>
              </w:rPr>
              <w:t>松木</w:t>
            </w:r>
            <w:r>
              <w:rPr>
                <w:rFonts w:hint="eastAsia"/>
                <w:color w:val="auto"/>
                <w:lang w:val="en-US" w:eastAsia="zh-CN"/>
              </w:rPr>
              <w:t>生活</w:t>
            </w:r>
            <w:r>
              <w:rPr>
                <w:rFonts w:hint="eastAsia"/>
                <w:color w:val="auto"/>
                <w:lang w:eastAsia="zh-CN"/>
              </w:rPr>
              <w:t>污水处理厂</w:t>
            </w:r>
            <w:r>
              <w:rPr>
                <w:rFonts w:hint="eastAsia"/>
                <w:color w:val="auto"/>
              </w:rPr>
              <w:t>纳污范围内</w:t>
            </w:r>
            <w:r>
              <w:rPr>
                <w:rFonts w:hint="eastAsia"/>
                <w:color w:val="auto"/>
                <w:lang w:eastAsia="zh-CN"/>
              </w:rPr>
              <w:t>，</w:t>
            </w:r>
            <w:r>
              <w:rPr>
                <w:rFonts w:hint="eastAsia"/>
                <w:color w:val="auto"/>
              </w:rPr>
              <w:t>松木</w:t>
            </w:r>
            <w:r>
              <w:rPr>
                <w:rFonts w:hint="eastAsia"/>
                <w:color w:val="auto"/>
                <w:lang w:val="en-US" w:eastAsia="zh-CN"/>
              </w:rPr>
              <w:t>生活</w:t>
            </w:r>
            <w:r>
              <w:rPr>
                <w:rFonts w:hint="eastAsia"/>
                <w:color w:val="auto"/>
                <w:lang w:eastAsia="zh-CN"/>
              </w:rPr>
              <w:t>污水处理厂</w:t>
            </w:r>
            <w:r>
              <w:rPr>
                <w:rFonts w:hint="eastAsia"/>
                <w:color w:val="auto"/>
              </w:rPr>
              <w:t>采用“常规处理+深度处理”的技术路线，常规处理采用具有脱氮除磷功能的A</w:t>
            </w:r>
            <w:r>
              <w:rPr>
                <w:rFonts w:hint="eastAsia"/>
                <w:color w:val="auto"/>
                <w:lang w:val="en-US" w:eastAsia="zh-CN"/>
              </w:rPr>
              <w:t>/</w:t>
            </w:r>
            <w:r>
              <w:rPr>
                <w:rFonts w:hint="eastAsia"/>
                <w:color w:val="auto"/>
              </w:rPr>
              <w:t>AO工艺，处理污水达到《城镇污水处理厂污染物排放标准》（GBl8918-2002）的一级A标准，再采用“高效沉淀池+活性砂滤池”深度处理工艺，进一步去除出水中的悬浮物和总磷，</w:t>
            </w:r>
            <w:r>
              <w:rPr>
                <w:rFonts w:hint="eastAsia"/>
                <w:color w:val="auto"/>
                <w:lang w:val="en-US" w:eastAsia="zh-CN"/>
              </w:rPr>
              <w:t>保证</w:t>
            </w:r>
            <w:r>
              <w:rPr>
                <w:rFonts w:hint="eastAsia"/>
                <w:color w:val="auto"/>
              </w:rPr>
              <w:t>最终出水水质满足《城镇污水处理厂污染物排放标准》（GBl8918-2002）的一级A标准要求，尾水排至湘江。</w:t>
            </w:r>
            <w:r>
              <w:rPr>
                <w:rFonts w:hint="eastAsia"/>
                <w:color w:val="auto"/>
                <w:lang w:val="en-US" w:eastAsia="zh-CN"/>
              </w:rPr>
              <w:t>本项目产生的综合废水</w:t>
            </w:r>
            <w:r>
              <w:rPr>
                <w:rFonts w:cs="宋体"/>
                <w:bCs/>
                <w:color w:val="auto"/>
                <w:sz w:val="24"/>
              </w:rPr>
              <w:t>主要是以pH、BOD</w:t>
            </w:r>
            <w:r>
              <w:rPr>
                <w:rFonts w:cs="宋体"/>
                <w:bCs/>
                <w:color w:val="auto"/>
                <w:sz w:val="24"/>
                <w:vertAlign w:val="subscript"/>
              </w:rPr>
              <w:t>5</w:t>
            </w:r>
            <w:r>
              <w:rPr>
                <w:rFonts w:cs="宋体"/>
                <w:bCs/>
                <w:color w:val="auto"/>
                <w:sz w:val="24"/>
              </w:rPr>
              <w:t>、CODcr、SS、氨氮</w:t>
            </w:r>
            <w:r>
              <w:rPr>
                <w:rFonts w:hint="eastAsia" w:cs="宋体"/>
                <w:bCs/>
                <w:color w:val="auto"/>
                <w:sz w:val="24"/>
                <w:lang w:eastAsia="zh-CN"/>
              </w:rPr>
              <w:t>、</w:t>
            </w:r>
            <w:r>
              <w:rPr>
                <w:rFonts w:hint="eastAsia" w:cs="宋体"/>
                <w:bCs/>
                <w:color w:val="auto"/>
                <w:sz w:val="24"/>
                <w:lang w:val="en-US" w:eastAsia="zh-CN"/>
              </w:rPr>
              <w:t>动植物油</w:t>
            </w:r>
            <w:r>
              <w:rPr>
                <w:rFonts w:cs="宋体"/>
                <w:bCs/>
                <w:color w:val="auto"/>
                <w:sz w:val="24"/>
              </w:rPr>
              <w:t>等为主要污染物的废水，</w:t>
            </w:r>
            <w:r>
              <w:rPr>
                <w:rFonts w:hint="eastAsia" w:cs="宋体"/>
                <w:bCs/>
                <w:color w:val="auto"/>
                <w:sz w:val="24"/>
              </w:rPr>
              <w:t>废水水质较简单，污染因子</w:t>
            </w:r>
            <w:r>
              <w:rPr>
                <w:rFonts w:cs="宋体"/>
                <w:bCs/>
                <w:color w:val="auto"/>
                <w:sz w:val="24"/>
              </w:rPr>
              <w:t>属</w:t>
            </w:r>
            <w:r>
              <w:rPr>
                <w:rFonts w:hint="eastAsia" w:cs="宋体"/>
                <w:bCs/>
                <w:color w:val="auto"/>
                <w:sz w:val="24"/>
                <w:lang w:eastAsia="zh-CN"/>
              </w:rPr>
              <w:t>松木</w:t>
            </w:r>
            <w:r>
              <w:rPr>
                <w:rFonts w:hint="eastAsia" w:cs="宋体"/>
                <w:bCs/>
                <w:color w:val="auto"/>
                <w:sz w:val="24"/>
                <w:lang w:val="en-US" w:eastAsia="zh-CN"/>
              </w:rPr>
              <w:t>生活</w:t>
            </w:r>
            <w:r>
              <w:rPr>
                <w:rFonts w:hint="eastAsia" w:cs="宋体"/>
                <w:bCs/>
                <w:color w:val="auto"/>
                <w:sz w:val="24"/>
                <w:lang w:eastAsia="zh-CN"/>
              </w:rPr>
              <w:t>污水处理厂</w:t>
            </w:r>
            <w:r>
              <w:rPr>
                <w:rFonts w:cs="宋体"/>
                <w:bCs/>
                <w:color w:val="auto"/>
                <w:sz w:val="24"/>
              </w:rPr>
              <w:t>设计处理因子，</w:t>
            </w:r>
            <w:r>
              <w:rPr>
                <w:rFonts w:hint="eastAsia" w:cs="宋体"/>
                <w:bCs/>
                <w:color w:val="auto"/>
                <w:sz w:val="24"/>
              </w:rPr>
              <w:t>且废水污染物产生浓度较小，经化粪池</w:t>
            </w:r>
            <w:r>
              <w:rPr>
                <w:rFonts w:hint="eastAsia"/>
                <w:color w:val="auto"/>
                <w:sz w:val="24"/>
              </w:rPr>
              <w:t>预处理</w:t>
            </w:r>
            <w:r>
              <w:rPr>
                <w:rFonts w:hint="eastAsia"/>
                <w:color w:val="auto"/>
                <w:sz w:val="24"/>
                <w:szCs w:val="32"/>
              </w:rPr>
              <w:t>可</w:t>
            </w:r>
            <w:r>
              <w:rPr>
                <w:rFonts w:hint="eastAsia"/>
                <w:color w:val="auto"/>
                <w:sz w:val="24"/>
                <w:szCs w:val="32"/>
                <w:lang w:val="en-US" w:eastAsia="zh-CN"/>
              </w:rPr>
              <w:t>达到《污水综合排放标准（含修改单）》（GB8978-1996）中表4三级标准，</w:t>
            </w:r>
            <w:r>
              <w:rPr>
                <w:rFonts w:hint="eastAsia" w:cs="宋体"/>
                <w:bCs/>
                <w:color w:val="auto"/>
                <w:sz w:val="24"/>
              </w:rPr>
              <w:t>本项目达标排放的废水</w:t>
            </w:r>
            <w:r>
              <w:rPr>
                <w:rFonts w:cs="宋体"/>
                <w:bCs/>
                <w:color w:val="auto"/>
                <w:sz w:val="24"/>
              </w:rPr>
              <w:t>不会对</w:t>
            </w:r>
            <w:r>
              <w:rPr>
                <w:rFonts w:hint="eastAsia" w:cs="宋体"/>
                <w:bCs/>
                <w:color w:val="auto"/>
                <w:sz w:val="24"/>
                <w:lang w:eastAsia="zh-CN"/>
              </w:rPr>
              <w:t>松木</w:t>
            </w:r>
            <w:r>
              <w:rPr>
                <w:rFonts w:hint="eastAsia"/>
                <w:color w:val="auto"/>
                <w:lang w:val="en-US" w:eastAsia="zh-CN"/>
              </w:rPr>
              <w:t>生活</w:t>
            </w:r>
            <w:r>
              <w:rPr>
                <w:rFonts w:hint="eastAsia" w:cs="宋体"/>
                <w:bCs/>
                <w:color w:val="auto"/>
                <w:sz w:val="24"/>
                <w:lang w:eastAsia="zh-CN"/>
              </w:rPr>
              <w:t>污水处理厂</w:t>
            </w:r>
            <w:r>
              <w:rPr>
                <w:rFonts w:hint="eastAsia" w:cs="宋体"/>
                <w:bCs/>
                <w:color w:val="auto"/>
                <w:sz w:val="24"/>
              </w:rPr>
              <w:t>废水处理设施</w:t>
            </w:r>
            <w:r>
              <w:rPr>
                <w:rFonts w:cs="宋体"/>
                <w:bCs/>
                <w:color w:val="auto"/>
                <w:sz w:val="24"/>
              </w:rPr>
              <w:t>造成</w:t>
            </w:r>
            <w:r>
              <w:rPr>
                <w:rFonts w:hint="eastAsia" w:cs="宋体"/>
                <w:bCs/>
                <w:color w:val="auto"/>
                <w:sz w:val="24"/>
              </w:rPr>
              <w:t>冲击</w:t>
            </w:r>
            <w:r>
              <w:rPr>
                <w:rFonts w:hint="eastAsia" w:cs="宋体"/>
                <w:bCs/>
                <w:color w:val="auto"/>
                <w:sz w:val="24"/>
                <w:lang w:eastAsia="zh-CN"/>
              </w:rPr>
              <w:t>。</w:t>
            </w:r>
          </w:p>
          <w:p>
            <w:pPr>
              <w:pStyle w:val="22"/>
              <w:bidi w:val="0"/>
              <w:rPr>
                <w:rFonts w:hint="default" w:cs="宋体"/>
                <w:bCs/>
                <w:color w:val="auto"/>
                <w:sz w:val="24"/>
                <w:lang w:val="en-US" w:eastAsia="zh-CN"/>
              </w:rPr>
            </w:pPr>
            <w:r>
              <w:rPr>
                <w:rFonts w:hint="eastAsia" w:cs="宋体"/>
                <w:bCs/>
                <w:color w:val="auto"/>
                <w:sz w:val="24"/>
                <w:lang w:val="en-US" w:eastAsia="zh-CN"/>
              </w:rPr>
              <w:t>③水量接管可行性</w:t>
            </w:r>
          </w:p>
          <w:p>
            <w:pPr>
              <w:pStyle w:val="22"/>
              <w:bidi w:val="0"/>
              <w:rPr>
                <w:rFonts w:hint="eastAsia" w:cs="宋体"/>
                <w:bCs/>
                <w:color w:val="auto"/>
                <w:sz w:val="24"/>
                <w:lang w:val="en-US" w:eastAsia="zh-CN"/>
              </w:rPr>
            </w:pPr>
            <w:r>
              <w:rPr>
                <w:rFonts w:hint="eastAsia"/>
                <w:color w:val="auto"/>
                <w:lang w:val="en-US" w:eastAsia="zh-CN"/>
              </w:rPr>
              <w:t>通过调查，衡阳市松木生活污水处理厂处理能力为5万立方米/日。</w:t>
            </w:r>
            <w:r>
              <w:rPr>
                <w:rFonts w:hint="eastAsia" w:cs="宋体"/>
                <w:bCs/>
                <w:color w:val="auto"/>
                <w:sz w:val="24"/>
                <w:lang w:val="en-US" w:eastAsia="zh-CN"/>
              </w:rPr>
              <w:t>本项目产生的</w:t>
            </w:r>
            <w:r>
              <w:rPr>
                <w:rFonts w:hint="eastAsia"/>
                <w:color w:val="auto"/>
                <w:sz w:val="24"/>
                <w:szCs w:val="24"/>
                <w:lang w:val="en-US" w:eastAsia="zh-CN"/>
              </w:rPr>
              <w:t>综合废水排放量94624.08</w:t>
            </w:r>
            <w:r>
              <w:rPr>
                <w:rFonts w:hint="eastAsia"/>
                <w:color w:val="auto"/>
                <w:lang w:val="en-US" w:eastAsia="zh-CN"/>
              </w:rPr>
              <w:t>m</w:t>
            </w:r>
            <w:r>
              <w:rPr>
                <w:rFonts w:hint="eastAsia"/>
                <w:color w:val="auto"/>
                <w:vertAlign w:val="superscript"/>
                <w:lang w:val="en-US" w:eastAsia="zh-CN"/>
              </w:rPr>
              <w:t>3</w:t>
            </w:r>
            <w:r>
              <w:rPr>
                <w:rFonts w:hint="eastAsia"/>
                <w:color w:val="auto"/>
                <w:lang w:val="en-US" w:eastAsia="zh-CN"/>
              </w:rPr>
              <w:t>/a，即</w:t>
            </w:r>
            <w:r>
              <w:rPr>
                <w:rFonts w:hint="eastAsia"/>
                <w:color w:val="auto"/>
                <w:sz w:val="24"/>
                <w:szCs w:val="24"/>
                <w:lang w:val="en-US" w:eastAsia="zh-CN"/>
              </w:rPr>
              <w:t>1182.801</w:t>
            </w:r>
            <w:r>
              <w:rPr>
                <w:rFonts w:hint="eastAsia"/>
                <w:color w:val="auto"/>
                <w:lang w:val="en-US" w:eastAsia="zh-CN"/>
              </w:rPr>
              <w:t>m</w:t>
            </w:r>
            <w:r>
              <w:rPr>
                <w:rFonts w:hint="eastAsia"/>
                <w:color w:val="auto"/>
                <w:vertAlign w:val="superscript"/>
                <w:lang w:val="en-US" w:eastAsia="zh-CN"/>
              </w:rPr>
              <w:t>3</w:t>
            </w:r>
            <w:r>
              <w:rPr>
                <w:rFonts w:hint="eastAsia"/>
                <w:color w:val="auto"/>
                <w:lang w:val="en-US" w:eastAsia="zh-CN"/>
              </w:rPr>
              <w:t>/d</w:t>
            </w:r>
            <w:r>
              <w:rPr>
                <w:rFonts w:hint="eastAsia"/>
                <w:color w:val="auto"/>
                <w:sz w:val="24"/>
                <w:szCs w:val="24"/>
                <w:lang w:val="en-US" w:eastAsia="zh-CN"/>
              </w:rPr>
              <w:t>，经化粪池预处理后通过市政污水管网排入松木</w:t>
            </w:r>
            <w:r>
              <w:rPr>
                <w:rFonts w:hint="eastAsia"/>
                <w:color w:val="auto"/>
                <w:lang w:val="en-US" w:eastAsia="zh-CN"/>
              </w:rPr>
              <w:t>生活</w:t>
            </w:r>
            <w:r>
              <w:rPr>
                <w:rFonts w:hint="eastAsia"/>
                <w:color w:val="auto"/>
                <w:sz w:val="24"/>
                <w:szCs w:val="24"/>
                <w:lang w:val="en-US" w:eastAsia="zh-CN"/>
              </w:rPr>
              <w:t>污水处理的综合废水占</w:t>
            </w:r>
            <w:r>
              <w:rPr>
                <w:rFonts w:hint="eastAsia" w:cs="宋体"/>
                <w:bCs/>
                <w:color w:val="auto"/>
                <w:sz w:val="24"/>
                <w:lang w:val="en-US" w:eastAsia="zh-CN"/>
              </w:rPr>
              <w:t>松木</w:t>
            </w:r>
            <w:r>
              <w:rPr>
                <w:rFonts w:hint="eastAsia"/>
                <w:color w:val="auto"/>
                <w:lang w:val="en-US" w:eastAsia="zh-CN"/>
              </w:rPr>
              <w:t>生活</w:t>
            </w:r>
            <w:r>
              <w:rPr>
                <w:rFonts w:hint="eastAsia" w:cs="宋体"/>
                <w:bCs/>
                <w:color w:val="auto"/>
                <w:sz w:val="24"/>
                <w:lang w:val="en-US" w:eastAsia="zh-CN"/>
              </w:rPr>
              <w:t>污水处理厂日处理能力的2.37%</w:t>
            </w:r>
            <w:r>
              <w:rPr>
                <w:rFonts w:hint="eastAsia"/>
                <w:color w:val="auto"/>
                <w:sz w:val="24"/>
                <w:szCs w:val="24"/>
                <w:lang w:val="en-US" w:eastAsia="zh-CN"/>
              </w:rPr>
              <w:t>。</w:t>
            </w:r>
            <w:r>
              <w:rPr>
                <w:rFonts w:hint="eastAsia" w:cs="宋体"/>
                <w:bCs/>
                <w:color w:val="auto"/>
                <w:sz w:val="24"/>
                <w:lang w:val="en-US" w:eastAsia="zh-CN"/>
              </w:rPr>
              <w:t>因此，本项目废水排放量在松木</w:t>
            </w:r>
            <w:r>
              <w:rPr>
                <w:rFonts w:hint="eastAsia"/>
                <w:color w:val="auto"/>
                <w:lang w:val="en-US" w:eastAsia="zh-CN"/>
              </w:rPr>
              <w:t>生活</w:t>
            </w:r>
            <w:r>
              <w:rPr>
                <w:rFonts w:hint="eastAsia" w:cs="宋体"/>
                <w:bCs/>
                <w:color w:val="auto"/>
                <w:sz w:val="24"/>
                <w:lang w:val="en-US" w:eastAsia="zh-CN"/>
              </w:rPr>
              <w:t>污水处理厂处理能力范围内。</w:t>
            </w:r>
          </w:p>
          <w:p>
            <w:pPr>
              <w:pStyle w:val="22"/>
              <w:bidi w:val="0"/>
              <w:rPr>
                <w:rFonts w:hint="default"/>
                <w:color w:val="auto"/>
                <w:lang w:val="en-US" w:eastAsia="zh-CN"/>
              </w:rPr>
            </w:pPr>
            <w:r>
              <w:rPr>
                <w:rFonts w:hint="eastAsia"/>
                <w:color w:val="auto"/>
                <w:lang w:val="en-US" w:eastAsia="zh-CN"/>
              </w:rPr>
              <w:t>综上，本项目产生的废水排入松木生活污水处理厂在水管、水质和水量方面均具备可行性。本项目废水经化粪池预处理后，进入市政污水管网后最终进入松木生活污水处理厂进一步处理是可行的。</w:t>
            </w:r>
          </w:p>
          <w:p>
            <w:pPr>
              <w:pStyle w:val="8"/>
              <w:bidi w:val="0"/>
              <w:rPr>
                <w:rFonts w:hint="default" w:eastAsia="宋体"/>
                <w:color w:val="auto"/>
                <w:lang w:val="en-US" w:eastAsia="zh-CN"/>
              </w:rPr>
            </w:pPr>
            <w:r>
              <w:rPr>
                <w:rFonts w:hint="eastAsia"/>
                <w:color w:val="auto"/>
                <w:lang w:val="en-US" w:eastAsia="zh-CN"/>
              </w:rPr>
              <w:t>3、声环境保护措施</w:t>
            </w:r>
          </w:p>
          <w:p>
            <w:pPr>
              <w:pStyle w:val="22"/>
              <w:bidi w:val="0"/>
              <w:rPr>
                <w:rFonts w:hint="default" w:eastAsia="宋体"/>
                <w:color w:val="auto"/>
                <w:lang w:val="en-US" w:eastAsia="zh-CN"/>
              </w:rPr>
            </w:pPr>
            <w:r>
              <w:rPr>
                <w:rFonts w:hint="eastAsia"/>
                <w:color w:val="auto"/>
                <w:lang w:val="en-US" w:eastAsia="zh-CN"/>
              </w:rPr>
              <w:t>（1）环境保护措施</w:t>
            </w:r>
          </w:p>
          <w:p>
            <w:pPr>
              <w:pStyle w:val="22"/>
              <w:bidi w:val="0"/>
              <w:rPr>
                <w:rFonts w:hint="default"/>
                <w:color w:val="auto"/>
              </w:rPr>
            </w:pPr>
            <w:r>
              <w:rPr>
                <w:rFonts w:hint="default"/>
                <w:color w:val="auto"/>
              </w:rPr>
              <w:t>本项目设置独立空压机、发电机机房，设备采取</w:t>
            </w:r>
            <w:r>
              <w:rPr>
                <w:rFonts w:hint="eastAsia"/>
                <w:color w:val="auto"/>
                <w:lang w:eastAsia="zh-CN"/>
              </w:rPr>
              <w:t>减振措施</w:t>
            </w:r>
            <w:r>
              <w:rPr>
                <w:rFonts w:hint="default"/>
                <w:color w:val="auto"/>
              </w:rPr>
              <w:t>、加设隔振垫；在备用发电机、空压机进出风口设置消声设备；在风机排风口加装消声器，并在底部加装隔振垫等有效的隔振、隔声措施。在项目运营期间，建设方应完善车辆管理制度；合理规划车流方向，保持区内的车流畅通；禁止区内车辆随意停放，尤其是不得在人行道上停放；限制区内车辆的车速；禁止车辆鸣笛。</w:t>
            </w:r>
          </w:p>
          <w:p>
            <w:pPr>
              <w:pStyle w:val="22"/>
              <w:bidi w:val="0"/>
              <w:rPr>
                <w:rFonts w:hint="eastAsia"/>
                <w:color w:val="auto"/>
                <w:lang w:val="en-US" w:eastAsia="zh-CN"/>
              </w:rPr>
            </w:pPr>
            <w:r>
              <w:rPr>
                <w:rFonts w:hint="eastAsia"/>
                <w:color w:val="auto"/>
                <w:lang w:val="en-US" w:eastAsia="zh-CN"/>
              </w:rPr>
              <w:t>项目所用生产设备噪声级产生及经治理后排放情况详见下表。</w:t>
            </w:r>
          </w:p>
          <w:p>
            <w:pPr>
              <w:pStyle w:val="18"/>
              <w:bidi w:val="0"/>
              <w:rPr>
                <w:rFonts w:hint="default"/>
                <w:color w:val="auto"/>
              </w:rPr>
            </w:pPr>
            <w:r>
              <w:rPr>
                <w:rFonts w:hint="default"/>
                <w:color w:val="auto"/>
              </w:rPr>
              <w:t>表</w:t>
            </w:r>
            <w:r>
              <w:rPr>
                <w:rFonts w:hint="eastAsia"/>
                <w:color w:val="auto"/>
                <w:lang w:val="en-US" w:eastAsia="zh-CN"/>
              </w:rPr>
              <w:t>35</w:t>
            </w:r>
            <w:r>
              <w:rPr>
                <w:rFonts w:hint="default"/>
                <w:color w:val="auto"/>
              </w:rPr>
              <w:t xml:space="preserve"> 噪声污染源源强核算结果一览表</w:t>
            </w:r>
          </w:p>
          <w:tbl>
            <w:tblPr>
              <w:tblStyle w:val="16"/>
              <w:tblW w:w="85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1422"/>
              <w:gridCol w:w="808"/>
              <w:gridCol w:w="1161"/>
              <w:gridCol w:w="769"/>
              <w:gridCol w:w="1205"/>
              <w:gridCol w:w="1307"/>
              <w:gridCol w:w="14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454" w:type="dxa"/>
                  <w:vMerge w:val="restart"/>
                  <w:noWrap w:val="0"/>
                  <w:vAlign w:val="center"/>
                </w:tcPr>
                <w:p>
                  <w:pPr>
                    <w:pStyle w:val="19"/>
                    <w:bidi w:val="0"/>
                    <w:rPr>
                      <w:rFonts w:hint="default"/>
                      <w:color w:val="auto"/>
                    </w:rPr>
                  </w:pPr>
                  <w:r>
                    <w:rPr>
                      <w:rFonts w:hint="default"/>
                      <w:color w:val="auto"/>
                    </w:rPr>
                    <w:t>序号</w:t>
                  </w:r>
                </w:p>
              </w:tc>
              <w:tc>
                <w:tcPr>
                  <w:tcW w:w="1422" w:type="dxa"/>
                  <w:vMerge w:val="restart"/>
                  <w:noWrap w:val="0"/>
                  <w:vAlign w:val="center"/>
                </w:tcPr>
                <w:p>
                  <w:pPr>
                    <w:pStyle w:val="19"/>
                    <w:bidi w:val="0"/>
                    <w:rPr>
                      <w:rFonts w:hint="default"/>
                      <w:color w:val="auto"/>
                    </w:rPr>
                  </w:pPr>
                  <w:r>
                    <w:rPr>
                      <w:rFonts w:hint="default"/>
                      <w:color w:val="auto"/>
                    </w:rPr>
                    <w:t>噪声源</w:t>
                  </w:r>
                </w:p>
              </w:tc>
              <w:tc>
                <w:tcPr>
                  <w:tcW w:w="808" w:type="dxa"/>
                  <w:vMerge w:val="restart"/>
                  <w:noWrap w:val="0"/>
                  <w:vAlign w:val="center"/>
                </w:tcPr>
                <w:p>
                  <w:pPr>
                    <w:pStyle w:val="19"/>
                    <w:bidi w:val="0"/>
                    <w:rPr>
                      <w:rFonts w:hint="default"/>
                      <w:color w:val="auto"/>
                    </w:rPr>
                  </w:pPr>
                  <w:r>
                    <w:rPr>
                      <w:rFonts w:hint="default"/>
                      <w:color w:val="auto"/>
                    </w:rPr>
                    <w:t>声源类别</w:t>
                  </w:r>
                </w:p>
              </w:tc>
              <w:tc>
                <w:tcPr>
                  <w:tcW w:w="1161" w:type="dxa"/>
                  <w:noWrap w:val="0"/>
                  <w:vAlign w:val="center"/>
                </w:tcPr>
                <w:p>
                  <w:pPr>
                    <w:pStyle w:val="19"/>
                    <w:bidi w:val="0"/>
                    <w:rPr>
                      <w:rFonts w:hint="default"/>
                      <w:color w:val="auto"/>
                    </w:rPr>
                  </w:pPr>
                  <w:r>
                    <w:rPr>
                      <w:rFonts w:hint="eastAsia"/>
                      <w:color w:val="auto"/>
                      <w:lang w:val="en-US" w:eastAsia="zh-CN"/>
                    </w:rPr>
                    <w:t>噪声源强</w:t>
                  </w:r>
                </w:p>
              </w:tc>
              <w:tc>
                <w:tcPr>
                  <w:tcW w:w="1974" w:type="dxa"/>
                  <w:gridSpan w:val="2"/>
                  <w:noWrap w:val="0"/>
                  <w:vAlign w:val="center"/>
                </w:tcPr>
                <w:p>
                  <w:pPr>
                    <w:pStyle w:val="19"/>
                    <w:bidi w:val="0"/>
                    <w:rPr>
                      <w:rFonts w:hint="default"/>
                      <w:color w:val="auto"/>
                    </w:rPr>
                  </w:pPr>
                  <w:r>
                    <w:rPr>
                      <w:rFonts w:hint="default"/>
                      <w:color w:val="auto"/>
                    </w:rPr>
                    <w:t>降噪措施</w:t>
                  </w:r>
                </w:p>
              </w:tc>
              <w:tc>
                <w:tcPr>
                  <w:tcW w:w="1307" w:type="dxa"/>
                  <w:noWrap w:val="0"/>
                  <w:vAlign w:val="center"/>
                </w:tcPr>
                <w:p>
                  <w:pPr>
                    <w:pStyle w:val="19"/>
                    <w:bidi w:val="0"/>
                    <w:rPr>
                      <w:rFonts w:hint="default"/>
                      <w:color w:val="auto"/>
                    </w:rPr>
                  </w:pPr>
                  <w:r>
                    <w:rPr>
                      <w:rFonts w:hint="default"/>
                      <w:color w:val="auto"/>
                    </w:rPr>
                    <w:t>噪声排放值</w:t>
                  </w:r>
                </w:p>
              </w:tc>
              <w:tc>
                <w:tcPr>
                  <w:tcW w:w="1436" w:type="dxa"/>
                  <w:vMerge w:val="restart"/>
                  <w:noWrap w:val="0"/>
                  <w:vAlign w:val="center"/>
                </w:tcPr>
                <w:p>
                  <w:pPr>
                    <w:pStyle w:val="19"/>
                    <w:bidi w:val="0"/>
                    <w:rPr>
                      <w:rFonts w:hint="default"/>
                      <w:color w:val="auto"/>
                    </w:rPr>
                  </w:pPr>
                  <w:r>
                    <w:rPr>
                      <w:rFonts w:hint="default"/>
                      <w:color w:val="auto"/>
                    </w:rPr>
                    <w:t>持续时间/h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454" w:type="dxa"/>
                  <w:vMerge w:val="continue"/>
                  <w:noWrap w:val="0"/>
                  <w:vAlign w:val="center"/>
                </w:tcPr>
                <w:p>
                  <w:pPr>
                    <w:pStyle w:val="19"/>
                    <w:bidi w:val="0"/>
                    <w:rPr>
                      <w:rFonts w:hint="default"/>
                      <w:color w:val="auto"/>
                    </w:rPr>
                  </w:pPr>
                </w:p>
              </w:tc>
              <w:tc>
                <w:tcPr>
                  <w:tcW w:w="1422" w:type="dxa"/>
                  <w:vMerge w:val="continue"/>
                  <w:noWrap w:val="0"/>
                  <w:vAlign w:val="center"/>
                </w:tcPr>
                <w:p>
                  <w:pPr>
                    <w:pStyle w:val="19"/>
                    <w:bidi w:val="0"/>
                    <w:rPr>
                      <w:rFonts w:hint="default"/>
                      <w:color w:val="auto"/>
                    </w:rPr>
                  </w:pPr>
                </w:p>
              </w:tc>
              <w:tc>
                <w:tcPr>
                  <w:tcW w:w="808" w:type="dxa"/>
                  <w:vMerge w:val="continue"/>
                  <w:noWrap w:val="0"/>
                  <w:vAlign w:val="center"/>
                </w:tcPr>
                <w:p>
                  <w:pPr>
                    <w:pStyle w:val="19"/>
                    <w:bidi w:val="0"/>
                    <w:rPr>
                      <w:rFonts w:hint="default"/>
                      <w:color w:val="auto"/>
                    </w:rPr>
                  </w:pPr>
                </w:p>
              </w:tc>
              <w:tc>
                <w:tcPr>
                  <w:tcW w:w="1161" w:type="dxa"/>
                  <w:noWrap w:val="0"/>
                  <w:vAlign w:val="center"/>
                </w:tcPr>
                <w:p>
                  <w:pPr>
                    <w:pStyle w:val="19"/>
                    <w:bidi w:val="0"/>
                    <w:rPr>
                      <w:rFonts w:hint="default"/>
                      <w:color w:val="auto"/>
                    </w:rPr>
                  </w:pPr>
                  <w:r>
                    <w:rPr>
                      <w:rFonts w:hint="default"/>
                      <w:color w:val="auto"/>
                      <w:lang w:eastAsia="zh-CN"/>
                    </w:rPr>
                    <w:t>噪声值</w:t>
                  </w:r>
                  <w:r>
                    <w:rPr>
                      <w:rFonts w:hint="eastAsia"/>
                      <w:color w:val="auto"/>
                      <w:lang w:val="en-US" w:eastAsia="zh-CN"/>
                    </w:rPr>
                    <w:t>dB(A)</w:t>
                  </w:r>
                </w:p>
              </w:tc>
              <w:tc>
                <w:tcPr>
                  <w:tcW w:w="769" w:type="dxa"/>
                  <w:noWrap w:val="0"/>
                  <w:vAlign w:val="center"/>
                </w:tcPr>
                <w:p>
                  <w:pPr>
                    <w:pStyle w:val="19"/>
                    <w:bidi w:val="0"/>
                    <w:rPr>
                      <w:rFonts w:hint="default"/>
                      <w:color w:val="auto"/>
                    </w:rPr>
                  </w:pPr>
                  <w:r>
                    <w:rPr>
                      <w:rFonts w:hint="default"/>
                      <w:color w:val="auto"/>
                    </w:rPr>
                    <w:t>措施</w:t>
                  </w:r>
                </w:p>
              </w:tc>
              <w:tc>
                <w:tcPr>
                  <w:tcW w:w="1205" w:type="dxa"/>
                  <w:noWrap w:val="0"/>
                  <w:vAlign w:val="center"/>
                </w:tcPr>
                <w:p>
                  <w:pPr>
                    <w:pStyle w:val="19"/>
                    <w:bidi w:val="0"/>
                    <w:rPr>
                      <w:rFonts w:hint="default"/>
                      <w:color w:val="auto"/>
                    </w:rPr>
                  </w:pPr>
                  <w:r>
                    <w:rPr>
                      <w:rFonts w:hint="default"/>
                      <w:color w:val="auto"/>
                    </w:rPr>
                    <w:t>降噪效果dB(A)</w:t>
                  </w:r>
                </w:p>
              </w:tc>
              <w:tc>
                <w:tcPr>
                  <w:tcW w:w="1307" w:type="dxa"/>
                  <w:noWrap w:val="0"/>
                  <w:vAlign w:val="center"/>
                </w:tcPr>
                <w:p>
                  <w:pPr>
                    <w:pStyle w:val="19"/>
                    <w:bidi w:val="0"/>
                    <w:rPr>
                      <w:rFonts w:hint="default"/>
                      <w:color w:val="auto"/>
                    </w:rPr>
                  </w:pPr>
                  <w:r>
                    <w:rPr>
                      <w:rFonts w:hint="eastAsia"/>
                      <w:color w:val="auto"/>
                      <w:lang w:val="en-US" w:eastAsia="zh-CN"/>
                    </w:rPr>
                    <w:t>噪声值dB(A)</w:t>
                  </w:r>
                </w:p>
              </w:tc>
              <w:tc>
                <w:tcPr>
                  <w:tcW w:w="1436" w:type="dxa"/>
                  <w:vMerge w:val="continue"/>
                  <w:noWrap w:val="0"/>
                  <w:vAlign w:val="center"/>
                </w:tcPr>
                <w:p>
                  <w:pPr>
                    <w:pStyle w:val="19"/>
                    <w:bidi w:val="0"/>
                    <w:rPr>
                      <w:rFonts w:hint="default"/>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454" w:type="dxa"/>
                  <w:noWrap w:val="0"/>
                  <w:vAlign w:val="center"/>
                </w:tcPr>
                <w:p>
                  <w:pPr>
                    <w:pStyle w:val="19"/>
                    <w:bidi w:val="0"/>
                    <w:rPr>
                      <w:rFonts w:hint="default"/>
                      <w:color w:val="auto"/>
                    </w:rPr>
                  </w:pPr>
                  <w:r>
                    <w:rPr>
                      <w:rFonts w:hint="default"/>
                      <w:color w:val="auto"/>
                    </w:rPr>
                    <w:t>1</w:t>
                  </w:r>
                </w:p>
              </w:tc>
              <w:tc>
                <w:tcPr>
                  <w:tcW w:w="1422" w:type="dxa"/>
                  <w:noWrap w:val="0"/>
                  <w:vAlign w:val="center"/>
                </w:tcPr>
                <w:p>
                  <w:pPr>
                    <w:pStyle w:val="19"/>
                    <w:bidi w:val="0"/>
                    <w:rPr>
                      <w:rFonts w:hint="default"/>
                      <w:color w:val="auto"/>
                    </w:rPr>
                  </w:pPr>
                  <w:r>
                    <w:rPr>
                      <w:rFonts w:hint="default"/>
                      <w:color w:val="auto"/>
                    </w:rPr>
                    <w:t>风机</w:t>
                  </w:r>
                </w:p>
              </w:tc>
              <w:tc>
                <w:tcPr>
                  <w:tcW w:w="808" w:type="dxa"/>
                  <w:noWrap w:val="0"/>
                  <w:vAlign w:val="center"/>
                </w:tcPr>
                <w:p>
                  <w:pPr>
                    <w:pStyle w:val="19"/>
                    <w:bidi w:val="0"/>
                    <w:rPr>
                      <w:rFonts w:hint="default"/>
                      <w:color w:val="auto"/>
                    </w:rPr>
                  </w:pPr>
                  <w:r>
                    <w:rPr>
                      <w:rFonts w:hint="default"/>
                      <w:color w:val="auto"/>
                    </w:rPr>
                    <w:t>频发</w:t>
                  </w:r>
                </w:p>
              </w:tc>
              <w:tc>
                <w:tcPr>
                  <w:tcW w:w="1161" w:type="dxa"/>
                  <w:noWrap w:val="0"/>
                  <w:vAlign w:val="center"/>
                </w:tcPr>
                <w:p>
                  <w:pPr>
                    <w:pStyle w:val="19"/>
                    <w:bidi w:val="0"/>
                    <w:rPr>
                      <w:rFonts w:hint="default"/>
                      <w:color w:val="auto"/>
                    </w:rPr>
                  </w:pPr>
                  <w:r>
                    <w:rPr>
                      <w:rFonts w:hint="default"/>
                      <w:color w:val="auto"/>
                    </w:rPr>
                    <w:t>80</w:t>
                  </w:r>
                </w:p>
              </w:tc>
              <w:tc>
                <w:tcPr>
                  <w:tcW w:w="769" w:type="dxa"/>
                  <w:noWrap w:val="0"/>
                  <w:vAlign w:val="center"/>
                </w:tcPr>
                <w:p>
                  <w:pPr>
                    <w:pStyle w:val="19"/>
                    <w:bidi w:val="0"/>
                    <w:rPr>
                      <w:rFonts w:hint="default"/>
                      <w:color w:val="auto"/>
                    </w:rPr>
                  </w:pPr>
                  <w:r>
                    <w:rPr>
                      <w:rFonts w:hint="default"/>
                      <w:color w:val="auto"/>
                    </w:rPr>
                    <w:t>隔声</w:t>
                  </w:r>
                </w:p>
              </w:tc>
              <w:tc>
                <w:tcPr>
                  <w:tcW w:w="1205" w:type="dxa"/>
                  <w:noWrap w:val="0"/>
                  <w:vAlign w:val="center"/>
                </w:tcPr>
                <w:p>
                  <w:pPr>
                    <w:pStyle w:val="19"/>
                    <w:bidi w:val="0"/>
                    <w:rPr>
                      <w:rFonts w:hint="default"/>
                      <w:color w:val="auto"/>
                    </w:rPr>
                  </w:pPr>
                  <w:r>
                    <w:rPr>
                      <w:rFonts w:hint="default"/>
                      <w:color w:val="auto"/>
                    </w:rPr>
                    <w:t>23</w:t>
                  </w:r>
                </w:p>
              </w:tc>
              <w:tc>
                <w:tcPr>
                  <w:tcW w:w="1307" w:type="dxa"/>
                  <w:noWrap w:val="0"/>
                  <w:vAlign w:val="center"/>
                </w:tcPr>
                <w:p>
                  <w:pPr>
                    <w:pStyle w:val="19"/>
                    <w:bidi w:val="0"/>
                    <w:rPr>
                      <w:rFonts w:hint="default"/>
                      <w:color w:val="auto"/>
                    </w:rPr>
                  </w:pPr>
                  <w:r>
                    <w:rPr>
                      <w:rFonts w:hint="default"/>
                      <w:color w:val="auto"/>
                    </w:rPr>
                    <w:t>57</w:t>
                  </w:r>
                </w:p>
              </w:tc>
              <w:tc>
                <w:tcPr>
                  <w:tcW w:w="1436" w:type="dxa"/>
                  <w:vMerge w:val="restart"/>
                  <w:noWrap w:val="0"/>
                  <w:vAlign w:val="center"/>
                </w:tcPr>
                <w:p>
                  <w:pPr>
                    <w:pStyle w:val="19"/>
                    <w:bidi w:val="0"/>
                    <w:rPr>
                      <w:rFonts w:hint="default"/>
                      <w:color w:val="auto"/>
                      <w:lang w:val="en-US"/>
                    </w:rPr>
                  </w:pPr>
                  <w:r>
                    <w:rPr>
                      <w:rFonts w:hint="eastAsia"/>
                      <w:color w:val="auto"/>
                      <w:lang w:val="en-US" w:eastAsia="zh-CN"/>
                    </w:rPr>
                    <w:t>1920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454" w:type="dxa"/>
                  <w:noWrap w:val="0"/>
                  <w:vAlign w:val="center"/>
                </w:tcPr>
                <w:p>
                  <w:pPr>
                    <w:pStyle w:val="19"/>
                    <w:bidi w:val="0"/>
                    <w:rPr>
                      <w:rFonts w:hint="default"/>
                      <w:color w:val="auto"/>
                    </w:rPr>
                  </w:pPr>
                  <w:r>
                    <w:rPr>
                      <w:rFonts w:hint="default"/>
                      <w:color w:val="auto"/>
                    </w:rPr>
                    <w:t>2</w:t>
                  </w:r>
                </w:p>
              </w:tc>
              <w:tc>
                <w:tcPr>
                  <w:tcW w:w="1422" w:type="dxa"/>
                  <w:noWrap w:val="0"/>
                  <w:vAlign w:val="center"/>
                </w:tcPr>
                <w:p>
                  <w:pPr>
                    <w:pStyle w:val="19"/>
                    <w:bidi w:val="0"/>
                    <w:rPr>
                      <w:rFonts w:hint="default"/>
                      <w:color w:val="auto"/>
                    </w:rPr>
                  </w:pPr>
                  <w:r>
                    <w:rPr>
                      <w:rFonts w:hint="default"/>
                      <w:color w:val="auto"/>
                    </w:rPr>
                    <w:t>备用发电机</w:t>
                  </w:r>
                </w:p>
              </w:tc>
              <w:tc>
                <w:tcPr>
                  <w:tcW w:w="808" w:type="dxa"/>
                  <w:noWrap w:val="0"/>
                  <w:vAlign w:val="center"/>
                </w:tcPr>
                <w:p>
                  <w:pPr>
                    <w:pStyle w:val="19"/>
                    <w:bidi w:val="0"/>
                    <w:rPr>
                      <w:rFonts w:hint="default"/>
                      <w:color w:val="auto"/>
                    </w:rPr>
                  </w:pPr>
                  <w:r>
                    <w:rPr>
                      <w:rFonts w:hint="default"/>
                      <w:color w:val="auto"/>
                    </w:rPr>
                    <w:t>偶发</w:t>
                  </w:r>
                </w:p>
              </w:tc>
              <w:tc>
                <w:tcPr>
                  <w:tcW w:w="1161" w:type="dxa"/>
                  <w:noWrap w:val="0"/>
                  <w:vAlign w:val="center"/>
                </w:tcPr>
                <w:p>
                  <w:pPr>
                    <w:pStyle w:val="19"/>
                    <w:bidi w:val="0"/>
                    <w:rPr>
                      <w:rFonts w:hint="default"/>
                      <w:color w:val="auto"/>
                    </w:rPr>
                  </w:pPr>
                  <w:r>
                    <w:rPr>
                      <w:rFonts w:hint="default"/>
                      <w:color w:val="auto"/>
                    </w:rPr>
                    <w:t>85</w:t>
                  </w:r>
                </w:p>
              </w:tc>
              <w:tc>
                <w:tcPr>
                  <w:tcW w:w="769" w:type="dxa"/>
                  <w:noWrap w:val="0"/>
                  <w:vAlign w:val="center"/>
                </w:tcPr>
                <w:p>
                  <w:pPr>
                    <w:pStyle w:val="19"/>
                    <w:bidi w:val="0"/>
                    <w:rPr>
                      <w:rFonts w:hint="default"/>
                      <w:color w:val="auto"/>
                    </w:rPr>
                  </w:pPr>
                  <w:r>
                    <w:rPr>
                      <w:rFonts w:hint="default"/>
                      <w:color w:val="auto"/>
                    </w:rPr>
                    <w:t>隔声</w:t>
                  </w:r>
                </w:p>
              </w:tc>
              <w:tc>
                <w:tcPr>
                  <w:tcW w:w="1205" w:type="dxa"/>
                  <w:noWrap w:val="0"/>
                  <w:vAlign w:val="center"/>
                </w:tcPr>
                <w:p>
                  <w:pPr>
                    <w:pStyle w:val="19"/>
                    <w:bidi w:val="0"/>
                    <w:rPr>
                      <w:rFonts w:hint="default"/>
                      <w:color w:val="auto"/>
                    </w:rPr>
                  </w:pPr>
                  <w:r>
                    <w:rPr>
                      <w:rFonts w:hint="default"/>
                      <w:color w:val="auto"/>
                    </w:rPr>
                    <w:t>23</w:t>
                  </w:r>
                </w:p>
              </w:tc>
              <w:tc>
                <w:tcPr>
                  <w:tcW w:w="1307" w:type="dxa"/>
                  <w:noWrap w:val="0"/>
                  <w:vAlign w:val="center"/>
                </w:tcPr>
                <w:p>
                  <w:pPr>
                    <w:pStyle w:val="19"/>
                    <w:bidi w:val="0"/>
                    <w:rPr>
                      <w:rFonts w:hint="default"/>
                      <w:color w:val="auto"/>
                    </w:rPr>
                  </w:pPr>
                  <w:r>
                    <w:rPr>
                      <w:rFonts w:hint="default"/>
                      <w:color w:val="auto"/>
                    </w:rPr>
                    <w:t>62</w:t>
                  </w:r>
                </w:p>
              </w:tc>
              <w:tc>
                <w:tcPr>
                  <w:tcW w:w="1436" w:type="dxa"/>
                  <w:vMerge w:val="continue"/>
                  <w:noWrap w:val="0"/>
                  <w:vAlign w:val="center"/>
                </w:tcPr>
                <w:p>
                  <w:pPr>
                    <w:pStyle w:val="19"/>
                    <w:bidi w:val="0"/>
                    <w:rPr>
                      <w:rFonts w:hint="default"/>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454" w:type="dxa"/>
                  <w:noWrap w:val="0"/>
                  <w:vAlign w:val="center"/>
                </w:tcPr>
                <w:p>
                  <w:pPr>
                    <w:pStyle w:val="19"/>
                    <w:bidi w:val="0"/>
                    <w:rPr>
                      <w:rFonts w:hint="default"/>
                      <w:color w:val="auto"/>
                    </w:rPr>
                  </w:pPr>
                  <w:r>
                    <w:rPr>
                      <w:rFonts w:hint="default"/>
                      <w:color w:val="auto"/>
                    </w:rPr>
                    <w:t>3</w:t>
                  </w:r>
                </w:p>
              </w:tc>
              <w:tc>
                <w:tcPr>
                  <w:tcW w:w="1422" w:type="dxa"/>
                  <w:noWrap w:val="0"/>
                  <w:vAlign w:val="center"/>
                </w:tcPr>
                <w:p>
                  <w:pPr>
                    <w:pStyle w:val="19"/>
                    <w:bidi w:val="0"/>
                    <w:rPr>
                      <w:rFonts w:hint="default"/>
                      <w:color w:val="auto"/>
                    </w:rPr>
                  </w:pPr>
                  <w:r>
                    <w:rPr>
                      <w:rFonts w:hint="default"/>
                      <w:color w:val="auto"/>
                    </w:rPr>
                    <w:t>游乐设施</w:t>
                  </w:r>
                </w:p>
              </w:tc>
              <w:tc>
                <w:tcPr>
                  <w:tcW w:w="808" w:type="dxa"/>
                  <w:noWrap w:val="0"/>
                  <w:vAlign w:val="center"/>
                </w:tcPr>
                <w:p>
                  <w:pPr>
                    <w:pStyle w:val="19"/>
                    <w:bidi w:val="0"/>
                    <w:rPr>
                      <w:rFonts w:hint="default"/>
                      <w:color w:val="auto"/>
                    </w:rPr>
                  </w:pPr>
                  <w:r>
                    <w:rPr>
                      <w:rFonts w:hint="default"/>
                      <w:color w:val="auto"/>
                    </w:rPr>
                    <w:t>频发</w:t>
                  </w:r>
                </w:p>
              </w:tc>
              <w:tc>
                <w:tcPr>
                  <w:tcW w:w="1161" w:type="dxa"/>
                  <w:noWrap w:val="0"/>
                  <w:vAlign w:val="center"/>
                </w:tcPr>
                <w:p>
                  <w:pPr>
                    <w:pStyle w:val="19"/>
                    <w:bidi w:val="0"/>
                    <w:rPr>
                      <w:rFonts w:hint="default"/>
                      <w:color w:val="auto"/>
                    </w:rPr>
                  </w:pPr>
                  <w:r>
                    <w:rPr>
                      <w:rFonts w:hint="default"/>
                      <w:color w:val="auto"/>
                    </w:rPr>
                    <w:t>80</w:t>
                  </w:r>
                </w:p>
              </w:tc>
              <w:tc>
                <w:tcPr>
                  <w:tcW w:w="769" w:type="dxa"/>
                  <w:noWrap w:val="0"/>
                  <w:vAlign w:val="center"/>
                </w:tcPr>
                <w:p>
                  <w:pPr>
                    <w:pStyle w:val="19"/>
                    <w:bidi w:val="0"/>
                    <w:rPr>
                      <w:rFonts w:hint="default"/>
                      <w:color w:val="auto"/>
                    </w:rPr>
                  </w:pPr>
                  <w:r>
                    <w:rPr>
                      <w:rFonts w:hint="default"/>
                      <w:color w:val="auto"/>
                    </w:rPr>
                    <w:t>隔声</w:t>
                  </w:r>
                </w:p>
              </w:tc>
              <w:tc>
                <w:tcPr>
                  <w:tcW w:w="1205" w:type="dxa"/>
                  <w:noWrap w:val="0"/>
                  <w:vAlign w:val="center"/>
                </w:tcPr>
                <w:p>
                  <w:pPr>
                    <w:pStyle w:val="19"/>
                    <w:bidi w:val="0"/>
                    <w:rPr>
                      <w:rFonts w:hint="default"/>
                      <w:color w:val="auto"/>
                    </w:rPr>
                  </w:pPr>
                  <w:r>
                    <w:rPr>
                      <w:rFonts w:hint="default"/>
                      <w:color w:val="auto"/>
                    </w:rPr>
                    <w:t>23</w:t>
                  </w:r>
                </w:p>
              </w:tc>
              <w:tc>
                <w:tcPr>
                  <w:tcW w:w="1307" w:type="dxa"/>
                  <w:noWrap w:val="0"/>
                  <w:vAlign w:val="center"/>
                </w:tcPr>
                <w:p>
                  <w:pPr>
                    <w:pStyle w:val="19"/>
                    <w:bidi w:val="0"/>
                    <w:rPr>
                      <w:rFonts w:hint="default"/>
                      <w:color w:val="auto"/>
                    </w:rPr>
                  </w:pPr>
                  <w:r>
                    <w:rPr>
                      <w:rFonts w:hint="default"/>
                      <w:color w:val="auto"/>
                    </w:rPr>
                    <w:t>57</w:t>
                  </w:r>
                </w:p>
              </w:tc>
              <w:tc>
                <w:tcPr>
                  <w:tcW w:w="1436" w:type="dxa"/>
                  <w:vMerge w:val="continue"/>
                  <w:noWrap w:val="0"/>
                  <w:vAlign w:val="center"/>
                </w:tcPr>
                <w:p>
                  <w:pPr>
                    <w:pStyle w:val="19"/>
                    <w:bidi w:val="0"/>
                    <w:rPr>
                      <w:rFonts w:hint="default"/>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454" w:type="dxa"/>
                  <w:noWrap w:val="0"/>
                  <w:vAlign w:val="center"/>
                </w:tcPr>
                <w:p>
                  <w:pPr>
                    <w:pStyle w:val="19"/>
                    <w:bidi w:val="0"/>
                    <w:rPr>
                      <w:rFonts w:hint="default"/>
                      <w:color w:val="auto"/>
                    </w:rPr>
                  </w:pPr>
                  <w:r>
                    <w:rPr>
                      <w:rFonts w:hint="default"/>
                      <w:color w:val="auto"/>
                    </w:rPr>
                    <w:t>4</w:t>
                  </w:r>
                </w:p>
              </w:tc>
              <w:tc>
                <w:tcPr>
                  <w:tcW w:w="1422" w:type="dxa"/>
                  <w:noWrap w:val="0"/>
                  <w:vAlign w:val="center"/>
                </w:tcPr>
                <w:p>
                  <w:pPr>
                    <w:pStyle w:val="19"/>
                    <w:bidi w:val="0"/>
                    <w:rPr>
                      <w:rFonts w:hint="default"/>
                      <w:color w:val="auto"/>
                    </w:rPr>
                  </w:pPr>
                  <w:r>
                    <w:rPr>
                      <w:rFonts w:hint="default"/>
                      <w:color w:val="auto"/>
                    </w:rPr>
                    <w:t>空压机</w:t>
                  </w:r>
                </w:p>
              </w:tc>
              <w:tc>
                <w:tcPr>
                  <w:tcW w:w="808" w:type="dxa"/>
                  <w:noWrap w:val="0"/>
                  <w:vAlign w:val="center"/>
                </w:tcPr>
                <w:p>
                  <w:pPr>
                    <w:pStyle w:val="19"/>
                    <w:bidi w:val="0"/>
                    <w:rPr>
                      <w:rFonts w:hint="default"/>
                      <w:color w:val="auto"/>
                    </w:rPr>
                  </w:pPr>
                  <w:r>
                    <w:rPr>
                      <w:rFonts w:hint="default"/>
                      <w:color w:val="auto"/>
                    </w:rPr>
                    <w:t>频发</w:t>
                  </w:r>
                </w:p>
              </w:tc>
              <w:tc>
                <w:tcPr>
                  <w:tcW w:w="1161" w:type="dxa"/>
                  <w:noWrap w:val="0"/>
                  <w:vAlign w:val="center"/>
                </w:tcPr>
                <w:p>
                  <w:pPr>
                    <w:pStyle w:val="19"/>
                    <w:bidi w:val="0"/>
                    <w:rPr>
                      <w:rFonts w:hint="default"/>
                      <w:color w:val="auto"/>
                    </w:rPr>
                  </w:pPr>
                  <w:r>
                    <w:rPr>
                      <w:rFonts w:hint="default"/>
                      <w:color w:val="auto"/>
                    </w:rPr>
                    <w:t>85</w:t>
                  </w:r>
                </w:p>
              </w:tc>
              <w:tc>
                <w:tcPr>
                  <w:tcW w:w="769" w:type="dxa"/>
                  <w:noWrap w:val="0"/>
                  <w:vAlign w:val="center"/>
                </w:tcPr>
                <w:p>
                  <w:pPr>
                    <w:pStyle w:val="19"/>
                    <w:bidi w:val="0"/>
                    <w:rPr>
                      <w:rFonts w:hint="default"/>
                      <w:color w:val="auto"/>
                    </w:rPr>
                  </w:pPr>
                  <w:r>
                    <w:rPr>
                      <w:rFonts w:hint="default"/>
                      <w:color w:val="auto"/>
                    </w:rPr>
                    <w:t>隔声</w:t>
                  </w:r>
                </w:p>
              </w:tc>
              <w:tc>
                <w:tcPr>
                  <w:tcW w:w="1205" w:type="dxa"/>
                  <w:noWrap w:val="0"/>
                  <w:vAlign w:val="center"/>
                </w:tcPr>
                <w:p>
                  <w:pPr>
                    <w:pStyle w:val="19"/>
                    <w:bidi w:val="0"/>
                    <w:rPr>
                      <w:rFonts w:hint="default"/>
                      <w:color w:val="auto"/>
                    </w:rPr>
                  </w:pPr>
                  <w:r>
                    <w:rPr>
                      <w:rFonts w:hint="default"/>
                      <w:color w:val="auto"/>
                    </w:rPr>
                    <w:t>23</w:t>
                  </w:r>
                </w:p>
              </w:tc>
              <w:tc>
                <w:tcPr>
                  <w:tcW w:w="1307" w:type="dxa"/>
                  <w:noWrap w:val="0"/>
                  <w:vAlign w:val="center"/>
                </w:tcPr>
                <w:p>
                  <w:pPr>
                    <w:pStyle w:val="19"/>
                    <w:bidi w:val="0"/>
                    <w:rPr>
                      <w:rFonts w:hint="default"/>
                      <w:color w:val="auto"/>
                    </w:rPr>
                  </w:pPr>
                  <w:r>
                    <w:rPr>
                      <w:rFonts w:hint="default"/>
                      <w:color w:val="auto"/>
                    </w:rPr>
                    <w:t>62</w:t>
                  </w:r>
                </w:p>
              </w:tc>
              <w:tc>
                <w:tcPr>
                  <w:tcW w:w="1436" w:type="dxa"/>
                  <w:vMerge w:val="continue"/>
                  <w:noWrap w:val="0"/>
                  <w:vAlign w:val="center"/>
                </w:tcPr>
                <w:p>
                  <w:pPr>
                    <w:pStyle w:val="19"/>
                    <w:bidi w:val="0"/>
                    <w:rPr>
                      <w:rFonts w:hint="default"/>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3" w:hRule="atLeast"/>
              </w:trPr>
              <w:tc>
                <w:tcPr>
                  <w:tcW w:w="8562" w:type="dxa"/>
                  <w:gridSpan w:val="8"/>
                  <w:noWrap w:val="0"/>
                  <w:vAlign w:val="center"/>
                </w:tcPr>
                <w:p>
                  <w:pPr>
                    <w:pStyle w:val="19"/>
                    <w:bidi w:val="0"/>
                    <w:jc w:val="both"/>
                    <w:rPr>
                      <w:rFonts w:hint="default"/>
                      <w:color w:val="auto"/>
                    </w:rPr>
                  </w:pPr>
                  <w:r>
                    <w:rPr>
                      <w:rFonts w:hint="default"/>
                      <w:color w:val="auto"/>
                    </w:rPr>
                    <w:t>注：噪声单台设备源强为距离设备1m处的噪声级。噪声源强数据参考《社会区域类环境影响评价》，中国环境科学出版社，2007年8月；根据《噪声污染控制工程》（高等教育出版社，洪宗辉）中资料，考虑到门窗面积和开门开窗对隔声的负面影响，实际隔声量为23dB（A）左右。</w:t>
                  </w:r>
                </w:p>
              </w:tc>
            </w:tr>
          </w:tbl>
          <w:p>
            <w:pPr>
              <w:pStyle w:val="22"/>
              <w:bidi w:val="0"/>
              <w:rPr>
                <w:rFonts w:hint="default"/>
                <w:color w:val="auto"/>
              </w:rPr>
            </w:pPr>
            <w:r>
              <w:rPr>
                <w:rFonts w:hint="default"/>
                <w:color w:val="auto"/>
              </w:rPr>
              <w:t>综上可知，通过采取以上降噪措施后，可确保项目场界噪声达到《社会生活环境噪声排放标准》（GB22337-2008）2类标准的要求，且项目周边无环境敏感点，故项目营运期的噪声对周围环境影响不大。</w:t>
            </w:r>
          </w:p>
          <w:p>
            <w:pPr>
              <w:bidi w:val="0"/>
              <w:rPr>
                <w:rFonts w:hint="default"/>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rFonts w:hint="default"/>
                <w:color w:val="auto"/>
              </w:rPr>
              <w:t>噪声自行监测要求</w:t>
            </w:r>
          </w:p>
          <w:p>
            <w:pPr>
              <w:pStyle w:val="22"/>
              <w:numPr>
                <w:ilvl w:val="0"/>
                <w:numId w:val="0"/>
              </w:numPr>
              <w:bidi w:val="0"/>
              <w:ind w:firstLine="480" w:firstLineChars="200"/>
              <w:rPr>
                <w:rFonts w:hint="eastAsia"/>
                <w:b w:val="0"/>
                <w:bCs w:val="0"/>
                <w:color w:val="auto"/>
                <w:lang w:val="en-US" w:eastAsia="zh-CN"/>
              </w:rPr>
            </w:pPr>
            <w:r>
              <w:rPr>
                <w:rFonts w:hint="eastAsia"/>
                <w:b w:val="0"/>
                <w:bCs w:val="0"/>
                <w:color w:val="auto"/>
                <w:lang w:val="en-US" w:eastAsia="zh-CN"/>
              </w:rPr>
              <w:t>本评价参照《排污单位自行监测技术指南 总则》（HJ819-2017）相关技术要求，提出项目运营期噪声自行监测计划见下表。</w:t>
            </w:r>
          </w:p>
          <w:p>
            <w:pPr>
              <w:pStyle w:val="18"/>
              <w:bidi w:val="0"/>
              <w:rPr>
                <w:rFonts w:hint="default"/>
                <w:color w:val="auto"/>
                <w:lang w:val="en-US" w:eastAsia="zh-CN"/>
              </w:rPr>
            </w:pPr>
            <w:r>
              <w:rPr>
                <w:rFonts w:hint="eastAsia"/>
                <w:color w:val="auto"/>
                <w:lang w:val="en-US" w:eastAsia="zh-CN"/>
              </w:rPr>
              <w:t>表36 项目运营期噪声自行监测要求一览表</w:t>
            </w:r>
          </w:p>
          <w:tbl>
            <w:tblPr>
              <w:tblStyle w:val="16"/>
              <w:tblW w:w="85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94"/>
              <w:gridCol w:w="2094"/>
              <w:gridCol w:w="2094"/>
              <w:gridCol w:w="22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2094" w:type="dxa"/>
                  <w:noWrap w:val="0"/>
                  <w:vAlign w:val="center"/>
                </w:tcPr>
                <w:p>
                  <w:pPr>
                    <w:pStyle w:val="19"/>
                    <w:bidi w:val="0"/>
                    <w:rPr>
                      <w:color w:val="auto"/>
                    </w:rPr>
                  </w:pPr>
                  <w:r>
                    <w:rPr>
                      <w:rFonts w:hint="default"/>
                      <w:color w:val="auto"/>
                    </w:rPr>
                    <w:t>污染源类别</w:t>
                  </w:r>
                </w:p>
              </w:tc>
              <w:tc>
                <w:tcPr>
                  <w:tcW w:w="2094" w:type="dxa"/>
                  <w:noWrap w:val="0"/>
                  <w:vAlign w:val="center"/>
                </w:tcPr>
                <w:p>
                  <w:pPr>
                    <w:pStyle w:val="19"/>
                    <w:bidi w:val="0"/>
                    <w:rPr>
                      <w:color w:val="auto"/>
                    </w:rPr>
                  </w:pPr>
                  <w:r>
                    <w:rPr>
                      <w:rFonts w:hint="default"/>
                      <w:color w:val="auto"/>
                    </w:rPr>
                    <w:t>监测点位</w:t>
                  </w:r>
                </w:p>
              </w:tc>
              <w:tc>
                <w:tcPr>
                  <w:tcW w:w="2094" w:type="dxa"/>
                  <w:noWrap w:val="0"/>
                  <w:vAlign w:val="center"/>
                </w:tcPr>
                <w:p>
                  <w:pPr>
                    <w:pStyle w:val="19"/>
                    <w:bidi w:val="0"/>
                    <w:rPr>
                      <w:color w:val="auto"/>
                    </w:rPr>
                  </w:pPr>
                  <w:r>
                    <w:rPr>
                      <w:rFonts w:hint="default"/>
                      <w:color w:val="auto"/>
                    </w:rPr>
                    <w:t>监测项目</w:t>
                  </w:r>
                </w:p>
              </w:tc>
              <w:tc>
                <w:tcPr>
                  <w:tcW w:w="2295" w:type="dxa"/>
                  <w:noWrap w:val="0"/>
                  <w:vAlign w:val="center"/>
                </w:tcPr>
                <w:p>
                  <w:pPr>
                    <w:pStyle w:val="19"/>
                    <w:bidi w:val="0"/>
                    <w:rPr>
                      <w:color w:val="auto"/>
                    </w:rPr>
                  </w:pPr>
                  <w:r>
                    <w:rPr>
                      <w:rFonts w:hint="default"/>
                      <w:color w:val="auto"/>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2094" w:type="dxa"/>
                  <w:noWrap w:val="0"/>
                  <w:vAlign w:val="center"/>
                </w:tcPr>
                <w:p>
                  <w:pPr>
                    <w:pStyle w:val="19"/>
                    <w:bidi w:val="0"/>
                    <w:rPr>
                      <w:color w:val="auto"/>
                    </w:rPr>
                  </w:pPr>
                  <w:r>
                    <w:rPr>
                      <w:rFonts w:hint="default"/>
                      <w:color w:val="auto"/>
                    </w:rPr>
                    <w:t>噪声</w:t>
                  </w:r>
                </w:p>
              </w:tc>
              <w:tc>
                <w:tcPr>
                  <w:tcW w:w="2094" w:type="dxa"/>
                  <w:noWrap w:val="0"/>
                  <w:vAlign w:val="center"/>
                </w:tcPr>
                <w:p>
                  <w:pPr>
                    <w:pStyle w:val="19"/>
                    <w:bidi w:val="0"/>
                    <w:rPr>
                      <w:color w:val="auto"/>
                    </w:rPr>
                  </w:pPr>
                  <w:r>
                    <w:rPr>
                      <w:rFonts w:hint="default"/>
                      <w:color w:val="auto"/>
                    </w:rPr>
                    <w:t>场界</w:t>
                  </w:r>
                  <w:r>
                    <w:rPr>
                      <w:rFonts w:hint="eastAsia"/>
                      <w:color w:val="auto"/>
                      <w:lang w:val="en-US" w:eastAsia="zh-CN"/>
                    </w:rPr>
                    <w:t>外</w:t>
                  </w:r>
                  <w:r>
                    <w:rPr>
                      <w:rFonts w:hint="default"/>
                      <w:color w:val="auto"/>
                    </w:rPr>
                    <w:t>1m</w:t>
                  </w:r>
                </w:p>
              </w:tc>
              <w:tc>
                <w:tcPr>
                  <w:tcW w:w="2094" w:type="dxa"/>
                  <w:noWrap w:val="0"/>
                  <w:vAlign w:val="center"/>
                </w:tcPr>
                <w:p>
                  <w:pPr>
                    <w:pStyle w:val="19"/>
                    <w:bidi w:val="0"/>
                    <w:rPr>
                      <w:color w:val="auto"/>
                    </w:rPr>
                  </w:pPr>
                  <w:r>
                    <w:rPr>
                      <w:rFonts w:hint="default"/>
                      <w:color w:val="auto"/>
                    </w:rPr>
                    <w:t>等效连续 A 声级</w:t>
                  </w:r>
                </w:p>
              </w:tc>
              <w:tc>
                <w:tcPr>
                  <w:tcW w:w="2295" w:type="dxa"/>
                  <w:noWrap w:val="0"/>
                  <w:vAlign w:val="center"/>
                </w:tcPr>
                <w:p>
                  <w:pPr>
                    <w:pStyle w:val="19"/>
                    <w:bidi w:val="0"/>
                    <w:rPr>
                      <w:color w:val="auto"/>
                    </w:rPr>
                  </w:pPr>
                  <w:r>
                    <w:rPr>
                      <w:rFonts w:hint="default"/>
                      <w:color w:val="auto"/>
                    </w:rPr>
                    <w:t>每季度1次</w:t>
                  </w:r>
                </w:p>
              </w:tc>
            </w:tr>
          </w:tbl>
          <w:p>
            <w:pPr>
              <w:pStyle w:val="22"/>
              <w:bidi w:val="0"/>
              <w:ind w:left="0" w:leftChars="0" w:firstLine="0" w:firstLineChars="0"/>
              <w:rPr>
                <w:b/>
                <w:bCs/>
                <w:color w:val="auto"/>
              </w:rPr>
            </w:pPr>
            <w:r>
              <w:rPr>
                <w:rFonts w:hint="eastAsia"/>
                <w:b/>
                <w:bCs/>
                <w:color w:val="auto"/>
                <w:lang w:val="en-US" w:eastAsia="zh-CN"/>
              </w:rPr>
              <w:t>4、固体废物环境保护措施</w:t>
            </w:r>
          </w:p>
          <w:p>
            <w:pPr>
              <w:pStyle w:val="22"/>
              <w:bidi w:val="0"/>
              <w:rPr>
                <w:rFonts w:hint="default" w:eastAsia="宋体"/>
                <w:color w:val="auto"/>
                <w:lang w:val="en-US" w:eastAsia="zh-CN"/>
              </w:rPr>
            </w:pPr>
            <w:r>
              <w:rPr>
                <w:rFonts w:hint="eastAsia"/>
                <w:color w:val="auto"/>
                <w:lang w:val="en-US" w:eastAsia="zh-CN"/>
              </w:rPr>
              <w:t>本项目产生的固体废物主要为生活垃圾和毛发过滤器收集的毛发。</w:t>
            </w:r>
          </w:p>
          <w:p>
            <w:pPr>
              <w:pStyle w:val="22"/>
              <w:numPr>
                <w:ilvl w:val="0"/>
                <w:numId w:val="17"/>
              </w:numPr>
              <w:bidi w:val="0"/>
              <w:rPr>
                <w:rFonts w:hint="default"/>
                <w:color w:val="auto"/>
              </w:rPr>
            </w:pPr>
            <w:r>
              <w:rPr>
                <w:rFonts w:hint="default"/>
                <w:color w:val="auto"/>
              </w:rPr>
              <w:t>生活垃圾</w:t>
            </w:r>
          </w:p>
          <w:p>
            <w:pPr>
              <w:pStyle w:val="22"/>
              <w:numPr>
                <w:ilvl w:val="0"/>
                <w:numId w:val="0"/>
              </w:numPr>
              <w:bidi w:val="0"/>
              <w:ind w:firstLine="480" w:firstLineChars="200"/>
              <w:rPr>
                <w:rFonts w:hint="default"/>
                <w:color w:val="auto"/>
              </w:rPr>
            </w:pPr>
            <w:r>
              <w:rPr>
                <w:rFonts w:hint="eastAsia"/>
                <w:color w:val="auto"/>
                <w:lang w:val="en-US" w:eastAsia="zh-CN"/>
              </w:rPr>
              <w:t>本项目</w:t>
            </w:r>
            <w:r>
              <w:rPr>
                <w:rFonts w:hint="default"/>
                <w:color w:val="auto"/>
              </w:rPr>
              <w:t>产生的生活垃圾分类收集，避雨堆放，定期交由环卫部门处理，垃圾堆放点定期消毒、灭蝇、灭鼠。</w:t>
            </w:r>
          </w:p>
          <w:p>
            <w:pPr>
              <w:pStyle w:val="22"/>
              <w:numPr>
                <w:ilvl w:val="0"/>
                <w:numId w:val="17"/>
              </w:numPr>
              <w:bidi w:val="0"/>
              <w:ind w:left="0" w:leftChars="0" w:firstLine="480" w:firstLineChars="200"/>
              <w:rPr>
                <w:rFonts w:hint="eastAsia"/>
                <w:color w:val="auto"/>
                <w:lang w:val="en-US" w:eastAsia="zh-CN"/>
              </w:rPr>
            </w:pPr>
            <w:r>
              <w:rPr>
                <w:rFonts w:hint="eastAsia"/>
                <w:color w:val="auto"/>
                <w:lang w:val="en-US" w:eastAsia="zh-CN"/>
              </w:rPr>
              <w:t>毛发过滤器收集的毛发</w:t>
            </w:r>
          </w:p>
          <w:p>
            <w:pPr>
              <w:pStyle w:val="22"/>
              <w:bidi w:val="0"/>
              <w:rPr>
                <w:rFonts w:hint="eastAsia"/>
                <w:color w:val="auto"/>
                <w:lang w:val="en-US" w:eastAsia="zh-CN"/>
              </w:rPr>
            </w:pPr>
            <w:r>
              <w:rPr>
                <w:rFonts w:hint="eastAsia"/>
                <w:color w:val="auto"/>
                <w:lang w:val="en-US" w:eastAsia="zh-CN"/>
              </w:rPr>
              <w:t>本项目毛发过滤器收集的毛发经统一收集后同生活垃圾一起委托环卫部门清运处理。</w:t>
            </w:r>
          </w:p>
          <w:p>
            <w:pPr>
              <w:pStyle w:val="22"/>
              <w:bidi w:val="0"/>
              <w:ind w:left="0" w:leftChars="0" w:firstLine="480" w:firstLineChars="200"/>
              <w:rPr>
                <w:color w:val="auto"/>
              </w:rPr>
            </w:pPr>
            <w:r>
              <w:rPr>
                <w:rFonts w:hint="eastAsia"/>
                <w:color w:val="auto"/>
                <w:lang w:val="en-US" w:eastAsia="zh-CN"/>
              </w:rPr>
              <w:t>本</w:t>
            </w:r>
            <w:r>
              <w:rPr>
                <w:rFonts w:hint="default"/>
                <w:color w:val="auto"/>
              </w:rPr>
              <w:t>项目固体废物经采取相关的措施处理处置后，可以得到及时、妥善的处理和处置，对周围环境的影响在可接受范围内。</w:t>
            </w:r>
          </w:p>
          <w:p>
            <w:pPr>
              <w:pStyle w:val="22"/>
              <w:bidi w:val="0"/>
              <w:ind w:left="0" w:leftChars="0" w:firstLine="0" w:firstLineChars="0"/>
              <w:rPr>
                <w:rFonts w:hint="eastAsia"/>
                <w:b/>
                <w:bCs/>
                <w:color w:val="auto"/>
              </w:rPr>
            </w:pPr>
            <w:r>
              <w:rPr>
                <w:rFonts w:hint="eastAsia"/>
                <w:b/>
                <w:bCs/>
                <w:color w:val="auto"/>
                <w:lang w:val="en-US" w:eastAsia="zh-CN"/>
              </w:rPr>
              <w:t>5</w:t>
            </w:r>
            <w:r>
              <w:rPr>
                <w:rFonts w:hint="eastAsia"/>
                <w:b/>
                <w:bCs/>
                <w:color w:val="auto"/>
              </w:rPr>
              <w:t>、地下水、土壤环境保护措施</w:t>
            </w:r>
          </w:p>
          <w:p>
            <w:pPr>
              <w:pStyle w:val="22"/>
              <w:bidi w:val="0"/>
              <w:ind w:left="0" w:leftChars="0" w:firstLine="480" w:firstLineChars="200"/>
              <w:rPr>
                <w:rFonts w:hint="eastAsia"/>
                <w:b w:val="0"/>
                <w:bCs w:val="0"/>
                <w:color w:val="auto"/>
              </w:rPr>
            </w:pPr>
            <w:r>
              <w:rPr>
                <w:rFonts w:hint="eastAsia"/>
                <w:b w:val="0"/>
                <w:bCs w:val="0"/>
                <w:color w:val="auto"/>
                <w:lang w:val="en-US" w:eastAsia="zh-CN"/>
              </w:rPr>
              <w:t>（1）</w:t>
            </w:r>
            <w:r>
              <w:rPr>
                <w:rFonts w:hint="eastAsia"/>
                <w:b w:val="0"/>
                <w:bCs w:val="0"/>
                <w:color w:val="auto"/>
              </w:rPr>
              <w:t>土壤</w:t>
            </w:r>
          </w:p>
          <w:p>
            <w:pPr>
              <w:pStyle w:val="22"/>
              <w:bidi w:val="0"/>
              <w:rPr>
                <w:rFonts w:hint="eastAsia" w:eastAsia="宋体"/>
                <w:color w:val="auto"/>
                <w:lang w:eastAsia="zh-CN"/>
              </w:rPr>
            </w:pPr>
            <w:r>
              <w:rPr>
                <w:rFonts w:hint="eastAsia"/>
                <w:color w:val="auto"/>
              </w:rPr>
              <w:t>由于项目运营期综合废水经市政管网排入</w:t>
            </w:r>
            <w:r>
              <w:rPr>
                <w:rFonts w:hint="eastAsia"/>
                <w:color w:val="auto"/>
                <w:lang w:val="en-US" w:eastAsia="zh-CN"/>
              </w:rPr>
              <w:t>松木生活污水处理</w:t>
            </w:r>
            <w:r>
              <w:rPr>
                <w:rFonts w:hint="eastAsia"/>
                <w:color w:val="auto"/>
              </w:rPr>
              <w:t>厂，废气经处理后排放量较少，可达标排放，对周围环境影响在可接受范围内；且项目所在区域地面将全部采用水泥硬化</w:t>
            </w:r>
            <w:r>
              <w:rPr>
                <w:rFonts w:hint="eastAsia"/>
                <w:color w:val="auto"/>
                <w:lang w:eastAsia="zh-CN"/>
              </w:rPr>
              <w:t>。</w:t>
            </w:r>
            <w:r>
              <w:rPr>
                <w:rFonts w:hint="eastAsia"/>
                <w:color w:val="auto"/>
              </w:rPr>
              <w:t>因此，项目发生渗漏及污染土壤的可能性很小</w:t>
            </w:r>
            <w:r>
              <w:rPr>
                <w:rFonts w:hint="eastAsia"/>
                <w:color w:val="auto"/>
                <w:lang w:eastAsia="zh-CN"/>
              </w:rPr>
              <w:t>。</w:t>
            </w:r>
          </w:p>
          <w:p>
            <w:pPr>
              <w:pStyle w:val="22"/>
              <w:bidi w:val="0"/>
              <w:ind w:left="0" w:leftChars="0" w:firstLine="480" w:firstLineChars="200"/>
              <w:rPr>
                <w:rFonts w:hint="eastAsia"/>
                <w:b w:val="0"/>
                <w:bCs w:val="0"/>
                <w:color w:val="auto"/>
                <w:lang w:val="en-US" w:eastAsia="zh-CN"/>
              </w:rPr>
            </w:pPr>
            <w:r>
              <w:rPr>
                <w:rFonts w:hint="eastAsia"/>
                <w:b w:val="0"/>
                <w:bCs w:val="0"/>
                <w:color w:val="auto"/>
                <w:lang w:val="en-US" w:eastAsia="zh-CN"/>
              </w:rPr>
              <w:t>（2）地下水</w:t>
            </w:r>
          </w:p>
          <w:p>
            <w:pPr>
              <w:pStyle w:val="22"/>
              <w:bidi w:val="0"/>
              <w:rPr>
                <w:rFonts w:hint="eastAsia"/>
                <w:color w:val="auto"/>
              </w:rPr>
            </w:pPr>
            <w:r>
              <w:rPr>
                <w:rFonts w:hint="eastAsia"/>
                <w:color w:val="auto"/>
              </w:rPr>
              <w:t>项目所在地地下水环境不敏感，项目水源采用市政供水，为地表水源，不使用地下水作为供水水源，不采用渗井、渗坑等方式排放废水，不会因项目生产用水需要引起地下水水位下降或引起环境水文地质问题。</w:t>
            </w:r>
          </w:p>
          <w:p>
            <w:pPr>
              <w:pStyle w:val="22"/>
              <w:bidi w:val="0"/>
              <w:rPr>
                <w:rFonts w:hint="eastAsia"/>
                <w:color w:val="auto"/>
              </w:rPr>
            </w:pPr>
            <w:r>
              <w:rPr>
                <w:rFonts w:hint="eastAsia"/>
                <w:color w:val="auto"/>
              </w:rPr>
              <w:t>由于项目运营期综合废水经市政管网排入</w:t>
            </w:r>
            <w:r>
              <w:rPr>
                <w:rFonts w:hint="eastAsia"/>
                <w:color w:val="auto"/>
                <w:lang w:eastAsia="zh-CN"/>
              </w:rPr>
              <w:t>松木</w:t>
            </w:r>
            <w:r>
              <w:rPr>
                <w:rFonts w:hint="eastAsia"/>
                <w:color w:val="auto"/>
                <w:lang w:val="en-US" w:eastAsia="zh-CN"/>
              </w:rPr>
              <w:t>生活</w:t>
            </w:r>
            <w:r>
              <w:rPr>
                <w:rFonts w:hint="eastAsia"/>
                <w:color w:val="auto"/>
                <w:lang w:eastAsia="zh-CN"/>
              </w:rPr>
              <w:t>污水处理</w:t>
            </w:r>
            <w:r>
              <w:rPr>
                <w:rFonts w:hint="eastAsia"/>
                <w:color w:val="auto"/>
              </w:rPr>
              <w:t>厂</w:t>
            </w:r>
            <w:r>
              <w:rPr>
                <w:rFonts w:hint="eastAsia"/>
                <w:color w:val="auto"/>
                <w:lang w:eastAsia="zh-CN"/>
              </w:rPr>
              <w:t>，</w:t>
            </w:r>
            <w:r>
              <w:rPr>
                <w:rFonts w:hint="eastAsia"/>
                <w:color w:val="auto"/>
              </w:rPr>
              <w:t>且项目所在区域地面已采用水泥硬化</w:t>
            </w:r>
            <w:r>
              <w:rPr>
                <w:rFonts w:hint="eastAsia"/>
                <w:color w:val="auto"/>
                <w:lang w:eastAsia="zh-CN"/>
              </w:rPr>
              <w:t>。</w:t>
            </w:r>
            <w:r>
              <w:rPr>
                <w:rFonts w:hint="eastAsia"/>
                <w:color w:val="auto"/>
              </w:rPr>
              <w:t>项目发生渗漏的可能性很小，地下水基本不会受到污染</w:t>
            </w:r>
            <w:r>
              <w:rPr>
                <w:rFonts w:hint="eastAsia"/>
                <w:color w:val="auto"/>
                <w:lang w:eastAsia="zh-CN"/>
              </w:rPr>
              <w:t>。</w:t>
            </w:r>
            <w:r>
              <w:rPr>
                <w:rFonts w:hint="eastAsia"/>
                <w:color w:val="auto"/>
              </w:rPr>
              <w:t>因此本项目不开展地下水环境质量现状监测工作。</w:t>
            </w:r>
          </w:p>
          <w:p>
            <w:pPr>
              <w:pStyle w:val="22"/>
              <w:bidi w:val="0"/>
              <w:rPr>
                <w:rFonts w:hint="eastAsia"/>
                <w:color w:val="auto"/>
              </w:rPr>
            </w:pPr>
            <w:r>
              <w:rPr>
                <w:rFonts w:hint="eastAsia"/>
                <w:color w:val="auto"/>
              </w:rPr>
              <w:t>综上所述，采取分区防护措施后，对地下水、土壤有影响的各个环节均能得到良好控制，故本项目对地下水和土壤的影响较小。</w:t>
            </w:r>
          </w:p>
          <w:p>
            <w:pPr>
              <w:pStyle w:val="22"/>
              <w:bidi w:val="0"/>
              <w:ind w:left="0" w:leftChars="0" w:firstLine="0" w:firstLineChars="0"/>
              <w:rPr>
                <w:rFonts w:hint="default"/>
                <w:b/>
                <w:bCs/>
                <w:color w:val="auto"/>
              </w:rPr>
            </w:pPr>
            <w:r>
              <w:rPr>
                <w:rFonts w:hint="default"/>
                <w:b/>
                <w:bCs/>
                <w:color w:val="auto"/>
              </w:rPr>
              <w:t>6、生态环境保护措施</w:t>
            </w:r>
          </w:p>
          <w:p>
            <w:pPr>
              <w:ind w:firstLine="480"/>
              <w:rPr>
                <w:rFonts w:hint="default" w:eastAsia="宋体"/>
                <w:color w:val="auto"/>
                <w:highlight w:val="none"/>
                <w:lang w:val="en-US" w:eastAsia="zh-CN"/>
              </w:rPr>
            </w:pPr>
            <w:r>
              <w:rPr>
                <w:rFonts w:hint="eastAsia"/>
                <w:color w:val="auto"/>
                <w:highlight w:val="none"/>
                <w:lang w:val="en-US" w:eastAsia="zh-CN"/>
              </w:rPr>
              <w:t>项目运营期，应做好植被恢复措施，运用绿化美化与水土流失治理相结合的原则，采用当地优势树种和草种，减少项目带来的水土流失危害并对区域生态环境起到美化作用。本</w:t>
            </w:r>
            <w:r>
              <w:rPr>
                <w:rFonts w:hint="eastAsia"/>
                <w:color w:val="auto"/>
                <w:highlight w:val="none"/>
              </w:rPr>
              <w:t>项目</w:t>
            </w:r>
            <w:r>
              <w:rPr>
                <w:rFonts w:hint="eastAsia"/>
                <w:color w:val="auto"/>
                <w:highlight w:val="none"/>
                <w:lang w:val="en-US" w:eastAsia="zh-CN"/>
              </w:rPr>
              <w:t>所在区域</w:t>
            </w:r>
            <w:r>
              <w:rPr>
                <w:rFonts w:hint="eastAsia"/>
                <w:color w:val="auto"/>
                <w:highlight w:val="none"/>
              </w:rPr>
              <w:t>土壤理化性状一般较好，土层深厚，耕层适度，质地适中，具有较好的农业、林业立地条件。因此，适合布设各种植物措施。</w:t>
            </w:r>
          </w:p>
          <w:p>
            <w:pPr>
              <w:ind w:firstLine="480"/>
              <w:rPr>
                <w:color w:val="auto"/>
                <w:highlight w:val="none"/>
              </w:rPr>
            </w:pPr>
            <w:r>
              <w:rPr>
                <w:rFonts w:hint="eastAsia"/>
                <w:color w:val="auto"/>
                <w:highlight w:val="none"/>
              </w:rPr>
              <w:t>项目区地形平坦，可根据各区功能不同选择不同乔、灌木及花草品种。项目区选择具有绿化、美化、净化作用的树草种植，区内交通道路两旁可选择高大乔木。</w:t>
            </w:r>
          </w:p>
          <w:p>
            <w:pPr>
              <w:bidi w:val="0"/>
              <w:rPr>
                <w:rFonts w:hint="eastAsia" w:ascii="Times New Roman" w:hAnsi="Times New Roman" w:cs="Times New Roman"/>
                <w:color w:val="auto"/>
                <w:lang w:eastAsia="zh-CN"/>
              </w:rPr>
            </w:pPr>
            <w:r>
              <w:rPr>
                <w:rFonts w:hint="eastAsia"/>
                <w:color w:val="auto"/>
              </w:rPr>
              <w:t>雨林形成条件</w:t>
            </w:r>
            <w:r>
              <w:rPr>
                <w:rFonts w:hint="eastAsia"/>
                <w:color w:val="auto"/>
                <w:lang w:eastAsia="zh-CN"/>
              </w:rPr>
              <w:t>：</w:t>
            </w:r>
            <w:r>
              <w:rPr>
                <w:rFonts w:hint="eastAsia"/>
                <w:color w:val="auto"/>
              </w:rPr>
              <w:t>在温暖多雨的热带自然形成的、富有厚茎藤本、木质和草质附生植物的常绿森林生物群落。优越而稳定的环境为数以万计的生物种类提供最佳生存和发展条件。热带雨林主要生长在年平均温度24</w:t>
            </w:r>
            <w:r>
              <w:rPr>
                <w:rFonts w:hint="default" w:ascii="Times New Roman" w:hAnsi="Times New Roman" w:cs="Times New Roman"/>
                <w:color w:val="auto"/>
                <w:lang w:eastAsia="zh-CN"/>
              </w:rPr>
              <w:t>℃</w:t>
            </w:r>
            <w:r>
              <w:rPr>
                <w:rFonts w:hint="eastAsia"/>
                <w:color w:val="auto"/>
              </w:rPr>
              <w:t>以上，或者最冷月平均温度18</w:t>
            </w:r>
            <w:r>
              <w:rPr>
                <w:rFonts w:hint="default" w:ascii="Times New Roman" w:hAnsi="Times New Roman" w:cs="Times New Roman"/>
                <w:color w:val="auto"/>
                <w:lang w:eastAsia="zh-CN"/>
              </w:rPr>
              <w:t>℃</w:t>
            </w:r>
            <w:r>
              <w:rPr>
                <w:rFonts w:hint="default" w:ascii="Times New Roman" w:hAnsi="Times New Roman" w:cs="Times New Roman"/>
                <w:color w:val="auto"/>
              </w:rPr>
              <w:t>以上的热带潮湿低地。白天温度一般在30</w:t>
            </w:r>
            <w:r>
              <w:rPr>
                <w:rFonts w:hint="default" w:ascii="Times New Roman" w:hAnsi="Times New Roman" w:cs="Times New Roman"/>
                <w:color w:val="auto"/>
                <w:lang w:eastAsia="zh-CN"/>
              </w:rPr>
              <w:t>℃</w:t>
            </w:r>
            <w:r>
              <w:rPr>
                <w:rFonts w:hint="default" w:ascii="Times New Roman" w:hAnsi="Times New Roman" w:cs="Times New Roman"/>
                <w:color w:val="auto"/>
              </w:rPr>
              <w:t>左右，夜间约20</w:t>
            </w:r>
            <w:r>
              <w:rPr>
                <w:rFonts w:hint="default" w:ascii="Times New Roman" w:hAnsi="Times New Roman" w:cs="Times New Roman"/>
                <w:color w:val="auto"/>
                <w:lang w:eastAsia="zh-CN"/>
              </w:rPr>
              <w:t>℃</w:t>
            </w:r>
            <w:r>
              <w:rPr>
                <w:rFonts w:hint="eastAsia" w:ascii="Times New Roman" w:hAnsi="Times New Roman" w:cs="Times New Roman"/>
                <w:color w:val="auto"/>
                <w:lang w:eastAsia="zh-CN"/>
              </w:rPr>
              <w:t>。</w:t>
            </w:r>
          </w:p>
          <w:p>
            <w:pPr>
              <w:bidi w:val="0"/>
              <w:rPr>
                <w:color w:val="auto"/>
                <w:highlight w:val="none"/>
              </w:rPr>
            </w:pPr>
            <w:r>
              <w:rPr>
                <w:rFonts w:hint="eastAsia"/>
                <w:color w:val="auto"/>
                <w:highlight w:val="none"/>
                <w:lang w:val="en-US" w:eastAsia="zh-CN"/>
              </w:rPr>
              <w:t>①</w:t>
            </w:r>
            <w:r>
              <w:rPr>
                <w:rFonts w:hint="eastAsia"/>
                <w:color w:val="auto"/>
                <w:highlight w:val="none"/>
              </w:rPr>
              <w:t>适宜植物选择</w:t>
            </w:r>
          </w:p>
          <w:p>
            <w:pPr>
              <w:ind w:firstLine="480"/>
              <w:rPr>
                <w:rFonts w:hint="eastAsia"/>
                <w:color w:val="auto"/>
                <w:highlight w:val="none"/>
              </w:rPr>
            </w:pPr>
            <w:r>
              <w:rPr>
                <w:rFonts w:hint="eastAsia"/>
                <w:color w:val="auto"/>
              </w:rPr>
              <w:t>根据当地气候特点，应用适应当地气候的常用植物品种，通过树形选择，格配层次丰富的植物群落，模拟热带雨林景观。</w:t>
            </w:r>
            <w:r>
              <w:rPr>
                <w:rFonts w:hint="eastAsia"/>
                <w:color w:val="auto"/>
                <w:highlight w:val="none"/>
              </w:rPr>
              <w:t>根据</w:t>
            </w:r>
            <w:r>
              <w:rPr>
                <w:rFonts w:hint="eastAsia"/>
                <w:color w:val="auto"/>
                <w:highlight w:val="none"/>
                <w:lang w:eastAsia="zh-CN"/>
              </w:rPr>
              <w:t>本项目</w:t>
            </w:r>
            <w:r>
              <w:rPr>
                <w:rFonts w:hint="eastAsia"/>
                <w:color w:val="auto"/>
                <w:highlight w:val="none"/>
              </w:rPr>
              <w:t>的自然环境，结合项目的实际情况，本着“因地制宜、适地适树、适地适草”的原则。</w:t>
            </w:r>
          </w:p>
          <w:p>
            <w:pPr>
              <w:ind w:firstLine="480"/>
              <w:rPr>
                <w:rFonts w:hint="eastAsia"/>
                <w:color w:val="auto"/>
                <w:highlight w:val="none"/>
              </w:rPr>
            </w:pPr>
            <w:r>
              <w:rPr>
                <w:rFonts w:hint="eastAsia"/>
                <w:color w:val="auto"/>
                <w:highlight w:val="none"/>
                <w:lang w:val="en-US" w:eastAsia="zh-CN"/>
              </w:rPr>
              <w:t>A、</w:t>
            </w:r>
            <w:r>
              <w:rPr>
                <w:rFonts w:hint="eastAsia"/>
                <w:color w:val="auto"/>
                <w:highlight w:val="none"/>
              </w:rPr>
              <w:t>黄金海岸一一通过人造异形树、特色树及攀爬植物与建筑呼应，营造大气、奇特的主题景观。</w:t>
            </w:r>
          </w:p>
          <w:p>
            <w:pPr>
              <w:ind w:firstLine="480"/>
              <w:rPr>
                <w:rFonts w:hint="eastAsia"/>
                <w:color w:val="auto"/>
                <w:highlight w:val="none"/>
              </w:rPr>
            </w:pPr>
            <w:r>
              <w:rPr>
                <w:rFonts w:hint="eastAsia"/>
                <w:color w:val="auto"/>
                <w:highlight w:val="none"/>
                <w:lang w:val="en-US" w:eastAsia="zh-CN"/>
              </w:rPr>
              <w:t>1、</w:t>
            </w:r>
            <w:r>
              <w:rPr>
                <w:rFonts w:hint="eastAsia"/>
                <w:color w:val="auto"/>
                <w:highlight w:val="none"/>
              </w:rPr>
              <w:t>独树成林，选用特色乔木与附生植物、</w:t>
            </w:r>
            <w:r>
              <w:rPr>
                <w:rFonts w:hint="eastAsia"/>
                <w:color w:val="auto"/>
                <w:highlight w:val="none"/>
                <w:lang w:eastAsia="zh-CN"/>
              </w:rPr>
              <w:t>藤蔓</w:t>
            </w:r>
            <w:r>
              <w:rPr>
                <w:rFonts w:hint="eastAsia"/>
                <w:color w:val="auto"/>
                <w:highlight w:val="none"/>
              </w:rPr>
              <w:t>植物合理格配组合成独特的生物</w:t>
            </w:r>
            <w:r>
              <w:rPr>
                <w:rFonts w:hint="eastAsia"/>
                <w:color w:val="auto"/>
                <w:highlight w:val="none"/>
                <w:lang w:eastAsia="zh-CN"/>
              </w:rPr>
              <w:t>共</w:t>
            </w:r>
            <w:r>
              <w:rPr>
                <w:rFonts w:hint="eastAsia"/>
                <w:color w:val="auto"/>
                <w:highlight w:val="none"/>
              </w:rPr>
              <w:t>生体，凸显神秘、奇特的景观氛围。</w:t>
            </w:r>
          </w:p>
          <w:p>
            <w:pPr>
              <w:ind w:firstLine="480"/>
              <w:rPr>
                <w:rFonts w:hint="eastAsia"/>
                <w:color w:val="auto"/>
                <w:highlight w:val="none"/>
              </w:rPr>
            </w:pPr>
            <w:r>
              <w:rPr>
                <w:rFonts w:hint="eastAsia"/>
                <w:color w:val="auto"/>
                <w:highlight w:val="none"/>
                <w:lang w:val="en-US" w:eastAsia="zh-CN"/>
              </w:rPr>
              <w:t>2、</w:t>
            </w:r>
            <w:r>
              <w:rPr>
                <w:rFonts w:hint="eastAsia"/>
                <w:color w:val="auto"/>
                <w:highlight w:val="none"/>
              </w:rPr>
              <w:t>以墨绿色为基调，加入</w:t>
            </w:r>
            <w:r>
              <w:rPr>
                <w:rFonts w:hint="eastAsia"/>
                <w:color w:val="auto"/>
                <w:highlight w:val="none"/>
                <w:lang w:eastAsia="zh-CN"/>
              </w:rPr>
              <w:t>暖色</w:t>
            </w:r>
            <w:r>
              <w:rPr>
                <w:rFonts w:hint="eastAsia"/>
                <w:color w:val="auto"/>
                <w:highlight w:val="none"/>
              </w:rPr>
              <w:t>系</w:t>
            </w:r>
            <w:r>
              <w:rPr>
                <w:rFonts w:hint="eastAsia"/>
                <w:color w:val="auto"/>
                <w:highlight w:val="none"/>
                <w:lang w:eastAsia="zh-CN"/>
              </w:rPr>
              <w:t>点缀</w:t>
            </w:r>
            <w:r>
              <w:rPr>
                <w:rFonts w:hint="eastAsia"/>
                <w:color w:val="auto"/>
                <w:highlight w:val="none"/>
              </w:rPr>
              <w:t>，</w:t>
            </w:r>
            <w:r>
              <w:rPr>
                <w:rFonts w:hint="eastAsia"/>
                <w:color w:val="auto"/>
                <w:highlight w:val="none"/>
                <w:lang w:eastAsia="zh-CN"/>
              </w:rPr>
              <w:t>营造</w:t>
            </w:r>
            <w:r>
              <w:rPr>
                <w:rFonts w:hint="eastAsia"/>
                <w:color w:val="auto"/>
                <w:highlight w:val="none"/>
              </w:rPr>
              <w:t>一幅浓烈的水彩画，主要选用人造仿真树、老樟树、</w:t>
            </w:r>
            <w:r>
              <w:rPr>
                <w:rFonts w:hint="eastAsia"/>
                <w:color w:val="auto"/>
                <w:highlight w:val="none"/>
                <w:lang w:eastAsia="zh-CN"/>
              </w:rPr>
              <w:t>芭蕉</w:t>
            </w:r>
            <w:r>
              <w:rPr>
                <w:rFonts w:hint="eastAsia"/>
                <w:color w:val="auto"/>
                <w:highlight w:val="none"/>
              </w:rPr>
              <w:t>、南天竹、爬山虎、</w:t>
            </w:r>
            <w:r>
              <w:rPr>
                <w:rFonts w:hint="eastAsia"/>
                <w:color w:val="auto"/>
                <w:highlight w:val="none"/>
                <w:lang w:eastAsia="zh-CN"/>
              </w:rPr>
              <w:t>蕨类</w:t>
            </w:r>
            <w:r>
              <w:rPr>
                <w:rFonts w:hint="eastAsia"/>
                <w:color w:val="auto"/>
                <w:highlight w:val="none"/>
              </w:rPr>
              <w:t>等。</w:t>
            </w:r>
          </w:p>
          <w:p>
            <w:pPr>
              <w:ind w:firstLine="480"/>
              <w:rPr>
                <w:rFonts w:hint="eastAsia"/>
                <w:color w:val="auto"/>
                <w:highlight w:val="none"/>
              </w:rPr>
            </w:pPr>
            <w:r>
              <w:rPr>
                <w:rFonts w:hint="eastAsia"/>
                <w:color w:val="auto"/>
                <w:highlight w:val="none"/>
                <w:lang w:val="en-US" w:eastAsia="zh-CN"/>
              </w:rPr>
              <w:t>B、丛林派对</w:t>
            </w:r>
            <w:r>
              <w:rPr>
                <w:rFonts w:hint="eastAsia"/>
                <w:color w:val="auto"/>
                <w:highlight w:val="none"/>
              </w:rPr>
              <w:t>一通过密林营造、攀附型附生植物点缀、蕨类植物融入，营造野趣、丛林景观效果。</w:t>
            </w:r>
          </w:p>
          <w:p>
            <w:pPr>
              <w:ind w:firstLine="480"/>
              <w:rPr>
                <w:rFonts w:hint="eastAsia" w:eastAsia="宋体"/>
                <w:color w:val="auto"/>
                <w:highlight w:val="none"/>
                <w:lang w:eastAsia="zh-CN"/>
              </w:rPr>
            </w:pPr>
            <w:r>
              <w:rPr>
                <w:rFonts w:hint="eastAsia"/>
                <w:color w:val="auto"/>
                <w:highlight w:val="none"/>
                <w:lang w:val="en-US" w:eastAsia="zh-CN"/>
              </w:rPr>
              <w:t>1、</w:t>
            </w:r>
            <w:r>
              <w:rPr>
                <w:rFonts w:hint="eastAsia"/>
                <w:color w:val="auto"/>
                <w:highlight w:val="none"/>
              </w:rPr>
              <w:t>采用多层次的自然式配置手法，以大乔</w:t>
            </w:r>
            <w:r>
              <w:rPr>
                <w:rFonts w:hint="eastAsia"/>
                <w:color w:val="auto"/>
                <w:highlight w:val="none"/>
                <w:lang w:val="en-US" w:eastAsia="zh-CN"/>
              </w:rPr>
              <w:t>+</w:t>
            </w:r>
            <w:r>
              <w:rPr>
                <w:rFonts w:hint="eastAsia"/>
                <w:color w:val="auto"/>
                <w:highlight w:val="none"/>
              </w:rPr>
              <w:t>附生植物</w:t>
            </w:r>
            <w:r>
              <w:rPr>
                <w:rFonts w:hint="eastAsia"/>
                <w:color w:val="auto"/>
                <w:highlight w:val="none"/>
                <w:lang w:val="en-US" w:eastAsia="zh-CN"/>
              </w:rPr>
              <w:t>+</w:t>
            </w:r>
            <w:r>
              <w:rPr>
                <w:rFonts w:hint="eastAsia"/>
                <w:color w:val="auto"/>
                <w:highlight w:val="none"/>
              </w:rPr>
              <w:t>小乔+灌木+自然状地被，营造丰富的密林景观</w:t>
            </w:r>
            <w:r>
              <w:rPr>
                <w:rFonts w:hint="eastAsia"/>
                <w:color w:val="auto"/>
                <w:highlight w:val="none"/>
                <w:lang w:eastAsia="zh-CN"/>
              </w:rPr>
              <w:t>。</w:t>
            </w:r>
          </w:p>
          <w:p>
            <w:pPr>
              <w:ind w:firstLine="480"/>
              <w:rPr>
                <w:rFonts w:hint="eastAsia"/>
                <w:color w:val="auto"/>
                <w:highlight w:val="none"/>
              </w:rPr>
            </w:pPr>
            <w:r>
              <w:rPr>
                <w:rFonts w:hint="eastAsia"/>
                <w:color w:val="auto"/>
                <w:highlight w:val="none"/>
                <w:lang w:val="en-US" w:eastAsia="zh-CN"/>
              </w:rPr>
              <w:t>2、</w:t>
            </w:r>
            <w:r>
              <w:rPr>
                <w:rFonts w:hint="eastAsia"/>
                <w:color w:val="auto"/>
                <w:highlight w:val="none"/>
              </w:rPr>
              <w:t>以绿色系植物为准，主要选用</w:t>
            </w:r>
            <w:r>
              <w:rPr>
                <w:rFonts w:hint="eastAsia"/>
                <w:color w:val="auto"/>
                <w:highlight w:val="none"/>
                <w:lang w:eastAsia="zh-CN"/>
              </w:rPr>
              <w:t>丛生</w:t>
            </w:r>
            <w:r>
              <w:rPr>
                <w:rFonts w:hint="eastAsia"/>
                <w:color w:val="auto"/>
                <w:highlight w:val="none"/>
              </w:rPr>
              <w:t>香樟、乐昌含笑、桂花、水杉、竹林等，鸟巢</w:t>
            </w:r>
            <w:r>
              <w:rPr>
                <w:rFonts w:hint="eastAsia"/>
                <w:color w:val="auto"/>
                <w:highlight w:val="none"/>
                <w:lang w:eastAsia="zh-CN"/>
              </w:rPr>
              <w:t>蕨</w:t>
            </w:r>
            <w:r>
              <w:rPr>
                <w:rFonts w:hint="eastAsia"/>
                <w:color w:val="auto"/>
                <w:highlight w:val="none"/>
              </w:rPr>
              <w:t>、肾</w:t>
            </w:r>
            <w:r>
              <w:rPr>
                <w:rFonts w:hint="eastAsia"/>
                <w:color w:val="auto"/>
                <w:highlight w:val="none"/>
                <w:lang w:eastAsia="zh-CN"/>
              </w:rPr>
              <w:t>蕨</w:t>
            </w:r>
            <w:r>
              <w:rPr>
                <w:rFonts w:hint="eastAsia"/>
                <w:color w:val="auto"/>
                <w:highlight w:val="none"/>
              </w:rPr>
              <w:t>等</w:t>
            </w:r>
            <w:r>
              <w:rPr>
                <w:rFonts w:hint="eastAsia"/>
                <w:color w:val="auto"/>
                <w:highlight w:val="none"/>
                <w:lang w:eastAsia="zh-CN"/>
              </w:rPr>
              <w:t>蕨</w:t>
            </w:r>
            <w:r>
              <w:rPr>
                <w:rFonts w:hint="eastAsia"/>
                <w:color w:val="auto"/>
                <w:highlight w:val="none"/>
              </w:rPr>
              <w:t>类和</w:t>
            </w:r>
            <w:r>
              <w:rPr>
                <w:rFonts w:hint="eastAsia"/>
                <w:color w:val="auto"/>
                <w:highlight w:val="none"/>
                <w:lang w:eastAsia="zh-CN"/>
              </w:rPr>
              <w:t>藤本</w:t>
            </w:r>
            <w:r>
              <w:rPr>
                <w:rFonts w:hint="eastAsia"/>
                <w:color w:val="auto"/>
                <w:highlight w:val="none"/>
              </w:rPr>
              <w:t>植物结合，体现区域特色。</w:t>
            </w:r>
          </w:p>
          <w:p>
            <w:pPr>
              <w:bidi w:val="0"/>
              <w:rPr>
                <w:rFonts w:hint="eastAsia"/>
                <w:color w:val="auto"/>
              </w:rPr>
            </w:pPr>
            <w:r>
              <w:rPr>
                <w:rFonts w:hint="eastAsia"/>
                <w:color w:val="auto"/>
                <w:lang w:val="en-US" w:eastAsia="zh-CN"/>
              </w:rPr>
              <w:t>C、异域圣殿</w:t>
            </w:r>
            <w:r>
              <w:rPr>
                <w:rFonts w:hint="eastAsia"/>
                <w:color w:val="auto"/>
              </w:rPr>
              <w:t>一通过融入棕榈类植物、沙漠元素营造沙滩异域风情的主题景观。</w:t>
            </w:r>
          </w:p>
          <w:p>
            <w:pPr>
              <w:bidi w:val="0"/>
              <w:rPr>
                <w:rFonts w:hint="eastAsia"/>
                <w:color w:val="auto"/>
              </w:rPr>
            </w:pPr>
            <w:r>
              <w:rPr>
                <w:rFonts w:hint="eastAsia"/>
                <w:color w:val="auto"/>
                <w:lang w:val="en-US" w:eastAsia="zh-CN"/>
              </w:rPr>
              <w:t>1、</w:t>
            </w:r>
            <w:r>
              <w:rPr>
                <w:rFonts w:hint="eastAsia"/>
                <w:color w:val="auto"/>
              </w:rPr>
              <w:t>采用乔木</w:t>
            </w:r>
            <w:r>
              <w:rPr>
                <w:rFonts w:hint="eastAsia"/>
                <w:color w:val="auto"/>
                <w:lang w:val="en-US" w:eastAsia="zh-CN"/>
              </w:rPr>
              <w:t>+</w:t>
            </w:r>
            <w:r>
              <w:rPr>
                <w:rFonts w:hint="eastAsia"/>
                <w:color w:val="auto"/>
              </w:rPr>
              <w:t>地被的二元式配置为主，下层景观以沙漠植物加白色砂石为主，背造热带沙滩风情。</w:t>
            </w:r>
          </w:p>
          <w:p>
            <w:pPr>
              <w:bidi w:val="0"/>
              <w:rPr>
                <w:rFonts w:hint="eastAsia"/>
                <w:color w:val="auto"/>
              </w:rPr>
            </w:pPr>
            <w:r>
              <w:rPr>
                <w:rFonts w:hint="eastAsia"/>
                <w:color w:val="auto"/>
                <w:lang w:val="en-US" w:eastAsia="zh-CN"/>
              </w:rPr>
              <w:t>2、</w:t>
            </w:r>
            <w:r>
              <w:rPr>
                <w:rFonts w:hint="eastAsia"/>
                <w:color w:val="auto"/>
              </w:rPr>
              <w:t>加拿利</w:t>
            </w:r>
            <w:r>
              <w:rPr>
                <w:rFonts w:hint="eastAsia"/>
                <w:color w:val="auto"/>
                <w:lang w:eastAsia="zh-CN"/>
              </w:rPr>
              <w:t>海藻</w:t>
            </w:r>
            <w:r>
              <w:rPr>
                <w:rFonts w:hint="eastAsia"/>
                <w:color w:val="auto"/>
              </w:rPr>
              <w:t>、布迪椰子及高干</w:t>
            </w:r>
            <w:r>
              <w:rPr>
                <w:rFonts w:hint="eastAsia"/>
                <w:color w:val="auto"/>
                <w:lang w:eastAsia="zh-CN"/>
              </w:rPr>
              <w:t>蒲</w:t>
            </w:r>
            <w:r>
              <w:rPr>
                <w:rFonts w:hint="eastAsia"/>
                <w:color w:val="auto"/>
              </w:rPr>
              <w:t>葵等</w:t>
            </w:r>
            <w:r>
              <w:rPr>
                <w:rFonts w:hint="eastAsia"/>
                <w:color w:val="auto"/>
                <w:lang w:eastAsia="zh-CN"/>
              </w:rPr>
              <w:t>具有</w:t>
            </w:r>
            <w:r>
              <w:rPr>
                <w:rFonts w:hint="eastAsia"/>
                <w:color w:val="auto"/>
              </w:rPr>
              <w:t>热带特性的品种加入，增强浓烈的区域特性。</w:t>
            </w:r>
          </w:p>
          <w:p>
            <w:pPr>
              <w:ind w:firstLine="480"/>
              <w:rPr>
                <w:rFonts w:hint="eastAsia"/>
                <w:color w:val="auto"/>
                <w:highlight w:val="none"/>
              </w:rPr>
            </w:pPr>
            <w:r>
              <w:rPr>
                <w:rFonts w:hint="eastAsia"/>
                <w:color w:val="auto"/>
                <w:highlight w:val="none"/>
                <w:lang w:val="en-US" w:eastAsia="zh-CN"/>
              </w:rPr>
              <w:t>D、阿兹特兰</w:t>
            </w:r>
            <w:r>
              <w:rPr>
                <w:rFonts w:hint="eastAsia"/>
                <w:color w:val="auto"/>
                <w:highlight w:val="none"/>
              </w:rPr>
              <w:t>一通过疏林草地、花境特色的融入，营造现代、简洁的主题景观。</w:t>
            </w:r>
          </w:p>
          <w:p>
            <w:pPr>
              <w:numPr>
                <w:ilvl w:val="0"/>
                <w:numId w:val="18"/>
              </w:numPr>
              <w:ind w:firstLine="480"/>
              <w:rPr>
                <w:rFonts w:hint="eastAsia"/>
                <w:color w:val="auto"/>
                <w:highlight w:val="none"/>
              </w:rPr>
            </w:pPr>
            <w:r>
              <w:rPr>
                <w:rFonts w:hint="eastAsia"/>
                <w:color w:val="auto"/>
                <w:highlight w:val="none"/>
              </w:rPr>
              <w:t>以规整式配置为主，自然式配置为辅的配置手法，骨架乔木</w:t>
            </w:r>
            <w:r>
              <w:rPr>
                <w:rFonts w:hint="eastAsia"/>
                <w:color w:val="auto"/>
                <w:highlight w:val="none"/>
                <w:lang w:eastAsia="zh-CN"/>
              </w:rPr>
              <w:t>围合</w:t>
            </w:r>
            <w:r>
              <w:rPr>
                <w:rFonts w:hint="eastAsia"/>
                <w:color w:val="auto"/>
                <w:highlight w:val="none"/>
              </w:rPr>
              <w:t>空间，减少中层配置遮挡人视点，营边简洁明快的</w:t>
            </w:r>
            <w:r>
              <w:rPr>
                <w:rFonts w:hint="eastAsia"/>
                <w:color w:val="auto"/>
                <w:highlight w:val="none"/>
                <w:lang w:eastAsia="zh-CN"/>
              </w:rPr>
              <w:t>景观氛围</w:t>
            </w:r>
            <w:r>
              <w:rPr>
                <w:rFonts w:hint="eastAsia"/>
                <w:color w:val="auto"/>
                <w:highlight w:val="none"/>
              </w:rPr>
              <w:t>。</w:t>
            </w:r>
          </w:p>
          <w:p>
            <w:pPr>
              <w:numPr>
                <w:ilvl w:val="0"/>
                <w:numId w:val="18"/>
              </w:numPr>
              <w:ind w:firstLine="480"/>
              <w:rPr>
                <w:rFonts w:hint="eastAsia"/>
                <w:color w:val="auto"/>
                <w:highlight w:val="none"/>
              </w:rPr>
            </w:pPr>
            <w:r>
              <w:rPr>
                <w:rFonts w:hint="eastAsia"/>
                <w:color w:val="auto"/>
                <w:highlight w:val="none"/>
              </w:rPr>
              <w:t>上层以常绿植物为主，下层采用多年生</w:t>
            </w:r>
            <w:r>
              <w:rPr>
                <w:rFonts w:hint="eastAsia"/>
                <w:color w:val="auto"/>
                <w:highlight w:val="none"/>
                <w:lang w:eastAsia="zh-CN"/>
              </w:rPr>
              <w:t>花卉</w:t>
            </w:r>
            <w:r>
              <w:rPr>
                <w:rFonts w:hint="eastAsia"/>
                <w:color w:val="auto"/>
                <w:highlight w:val="none"/>
              </w:rPr>
              <w:t>，打造色彩丰富的</w:t>
            </w:r>
            <w:r>
              <w:rPr>
                <w:rFonts w:hint="eastAsia"/>
                <w:color w:val="auto"/>
                <w:highlight w:val="none"/>
                <w:lang w:eastAsia="zh-CN"/>
              </w:rPr>
              <w:t>景观</w:t>
            </w:r>
            <w:r>
              <w:rPr>
                <w:rFonts w:hint="eastAsia"/>
                <w:color w:val="auto"/>
                <w:highlight w:val="none"/>
              </w:rPr>
              <w:t>区，主要品种有乐昌含</w:t>
            </w:r>
            <w:r>
              <w:rPr>
                <w:rFonts w:hint="eastAsia"/>
                <w:color w:val="auto"/>
                <w:highlight w:val="none"/>
                <w:lang w:eastAsia="zh-CN"/>
              </w:rPr>
              <w:t>笑</w:t>
            </w:r>
            <w:r>
              <w:rPr>
                <w:rFonts w:hint="eastAsia"/>
                <w:color w:val="auto"/>
                <w:highlight w:val="none"/>
              </w:rPr>
              <w:t>、杜英、桂花、金森女贞、鸢尾、丰花月季、墨西哥鼠</w:t>
            </w:r>
            <w:r>
              <w:rPr>
                <w:rFonts w:hint="eastAsia"/>
                <w:color w:val="auto"/>
                <w:highlight w:val="none"/>
                <w:lang w:eastAsia="zh-CN"/>
              </w:rPr>
              <w:t>尾草</w:t>
            </w:r>
            <w:r>
              <w:rPr>
                <w:rFonts w:hint="eastAsia"/>
                <w:color w:val="auto"/>
                <w:highlight w:val="none"/>
              </w:rPr>
              <w:t>等。</w:t>
            </w:r>
          </w:p>
          <w:p>
            <w:pPr>
              <w:bidi w:val="0"/>
              <w:rPr>
                <w:rFonts w:hint="eastAsia"/>
                <w:color w:val="auto"/>
              </w:rPr>
            </w:pPr>
            <w:r>
              <w:rPr>
                <w:rFonts w:hint="eastAsia"/>
                <w:color w:val="auto"/>
                <w:lang w:val="en-US" w:eastAsia="zh-CN"/>
              </w:rPr>
              <w:t>②</w:t>
            </w:r>
            <w:r>
              <w:rPr>
                <w:rFonts w:hint="eastAsia"/>
                <w:color w:val="auto"/>
                <w:lang w:val="zh-TW" w:eastAsia="zh-TW"/>
              </w:rPr>
              <w:t>养护管理</w:t>
            </w:r>
          </w:p>
          <w:p>
            <w:pPr>
              <w:bidi w:val="0"/>
              <w:rPr>
                <w:rFonts w:hint="default"/>
                <w:lang w:val="en-US" w:eastAsia="zh-CN"/>
              </w:rPr>
            </w:pPr>
            <w:r>
              <w:rPr>
                <w:rFonts w:hint="eastAsia"/>
                <w:color w:val="auto"/>
                <w:lang w:val="zh-TW" w:eastAsia="zh-TW"/>
              </w:rPr>
              <w:t>绿化后需加强后期抚育管理，植苗初期，苗木以个体状态存在，树体矮小，根系分布浅，生长比较缓慢，抵抗力弱，适应性差，因此需加强苗木的初期管理。绿化实施一年后，在规定的抽样范围内，苗木成活率在95%以上，草坪覆盖度在95%以上。对于自然灾害和</w:t>
            </w:r>
            <w:r>
              <w:rPr>
                <w:rFonts w:hint="eastAsia"/>
                <w:color w:val="auto"/>
                <w:lang w:val="zh-TW" w:eastAsia="zh-CN"/>
              </w:rPr>
              <w:t>人为</w:t>
            </w:r>
            <w:r>
              <w:rPr>
                <w:rFonts w:hint="eastAsia"/>
                <w:color w:val="auto"/>
                <w:lang w:val="zh-TW" w:eastAsia="zh-TW"/>
              </w:rPr>
              <w:t>损坏的苗木应</w:t>
            </w:r>
            <w:r>
              <w:rPr>
                <w:rFonts w:hint="eastAsia"/>
                <w:color w:val="auto"/>
                <w:lang w:val="zh-TW" w:eastAsia="zh-CN"/>
              </w:rPr>
              <w:t>采取</w:t>
            </w:r>
            <w:r>
              <w:rPr>
                <w:rFonts w:hint="eastAsia"/>
                <w:color w:val="auto"/>
                <w:lang w:val="zh-TW" w:eastAsia="zh-TW"/>
              </w:rPr>
              <w:t>补</w:t>
            </w:r>
            <w:r>
              <w:rPr>
                <w:rFonts w:hint="eastAsia"/>
                <w:color w:val="auto"/>
                <w:lang w:val="zh-TW" w:eastAsia="zh-CN"/>
              </w:rPr>
              <w:t>植</w:t>
            </w:r>
            <w:r>
              <w:rPr>
                <w:rFonts w:hint="eastAsia"/>
                <w:color w:val="auto"/>
                <w:lang w:val="zh-TW" w:eastAsia="zh-TW"/>
              </w:rPr>
              <w:t>措施，补植需</w:t>
            </w:r>
            <w:r>
              <w:rPr>
                <w:rFonts w:hint="eastAsia"/>
                <w:color w:val="auto"/>
                <w:lang w:val="zh-TW" w:eastAsia="zh-CN"/>
              </w:rPr>
              <w:t>采用</w:t>
            </w:r>
            <w:r>
              <w:rPr>
                <w:rFonts w:hint="eastAsia"/>
                <w:color w:val="auto"/>
                <w:lang w:val="zh-TW" w:eastAsia="zh-TW"/>
              </w:rPr>
              <w:t>同一树种的大苗或同龄苗</w:t>
            </w:r>
            <w:r>
              <w:rPr>
                <w:rFonts w:hint="eastAsia"/>
                <w:color w:val="auto"/>
                <w:lang w:val="zh-TW"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trPr>
        <w:tc>
          <w:tcPr>
            <w:tcW w:w="78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lang w:val="en-US" w:eastAsia="zh-CN"/>
              </w:rPr>
            </w:pPr>
            <w:r>
              <w:rPr>
                <w:rFonts w:hint="eastAsia"/>
                <w:lang w:val="en-US" w:eastAsia="zh-CN"/>
              </w:rPr>
              <w:t>其他</w:t>
            </w:r>
          </w:p>
        </w:tc>
        <w:tc>
          <w:tcPr>
            <w:tcW w:w="8506" w:type="dxa"/>
          </w:tcPr>
          <w:p>
            <w:pPr>
              <w:bidi w:val="0"/>
              <w:jc w:val="both"/>
              <w:rPr>
                <w:rFonts w:hint="default"/>
                <w:lang w:val="en-US" w:eastAsia="zh-CN"/>
              </w:rPr>
            </w:pPr>
            <w:r>
              <w:rPr>
                <w:rFonts w:hint="eastAsia"/>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7" w:hRule="atLeast"/>
        </w:trPr>
        <w:tc>
          <w:tcPr>
            <w:tcW w:w="78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lang w:val="en-US" w:eastAsia="zh-CN"/>
              </w:rPr>
            </w:pPr>
            <w:r>
              <w:rPr>
                <w:rFonts w:hint="eastAsia"/>
                <w:lang w:val="en-US" w:eastAsia="zh-CN"/>
              </w:rPr>
              <w:t>环保投资</w:t>
            </w:r>
          </w:p>
        </w:tc>
        <w:tc>
          <w:tcPr>
            <w:tcW w:w="8506" w:type="dxa"/>
          </w:tcPr>
          <w:p>
            <w:pPr>
              <w:bidi w:val="0"/>
              <w:jc w:val="both"/>
              <w:rPr>
                <w:rFonts w:hint="eastAsia"/>
                <w:color w:val="FF0000"/>
                <w:lang w:val="en-US" w:eastAsia="zh-CN"/>
              </w:rPr>
            </w:pPr>
            <w:r>
              <w:rPr>
                <w:rFonts w:hint="eastAsia"/>
                <w:lang w:val="en-US" w:eastAsia="zh-CN"/>
              </w:rPr>
              <w:t>项目总投资为120000万元，其中环保投资2400</w:t>
            </w:r>
            <w:r>
              <w:rPr>
                <w:rFonts w:hint="eastAsia"/>
                <w:color w:val="auto"/>
                <w:lang w:val="en-US" w:eastAsia="zh-CN"/>
              </w:rPr>
              <w:t>万元，</w:t>
            </w:r>
            <w:r>
              <w:rPr>
                <w:rFonts w:hint="eastAsia"/>
                <w:lang w:val="en-US" w:eastAsia="zh-CN"/>
              </w:rPr>
              <w:t>详见下表。</w:t>
            </w:r>
          </w:p>
          <w:p>
            <w:pPr>
              <w:pStyle w:val="18"/>
              <w:bidi w:val="0"/>
              <w:rPr>
                <w:rFonts w:hint="eastAsia"/>
                <w:color w:val="auto"/>
                <w:lang w:val="en-US" w:eastAsia="zh-CN"/>
              </w:rPr>
            </w:pPr>
            <w:r>
              <w:rPr>
                <w:rFonts w:hint="eastAsia"/>
                <w:color w:val="auto"/>
                <w:lang w:val="en-US" w:eastAsia="zh-CN"/>
              </w:rPr>
              <w:t>表37 项目环保投资估算表</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9"/>
              <w:gridCol w:w="1582"/>
              <w:gridCol w:w="4936"/>
              <w:gridCol w:w="15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1" w:type="dxa"/>
                  <w:gridSpan w:val="2"/>
                  <w:vAlign w:val="center"/>
                </w:tcPr>
                <w:p>
                  <w:pPr>
                    <w:pStyle w:val="19"/>
                    <w:bidi w:val="0"/>
                    <w:jc w:val="center"/>
                    <w:rPr>
                      <w:rFonts w:hint="default"/>
                      <w:color w:val="auto"/>
                      <w:lang w:val="en-US" w:eastAsia="zh-CN"/>
                    </w:rPr>
                  </w:pPr>
                  <w:r>
                    <w:rPr>
                      <w:rFonts w:hint="eastAsia"/>
                      <w:color w:val="auto"/>
                      <w:lang w:val="en-US" w:eastAsia="zh-CN"/>
                    </w:rPr>
                    <w:t>环保项目</w:t>
                  </w:r>
                </w:p>
              </w:tc>
              <w:tc>
                <w:tcPr>
                  <w:tcW w:w="4936" w:type="dxa"/>
                  <w:vAlign w:val="center"/>
                </w:tcPr>
                <w:p>
                  <w:pPr>
                    <w:pStyle w:val="19"/>
                    <w:bidi w:val="0"/>
                    <w:jc w:val="center"/>
                    <w:rPr>
                      <w:rFonts w:hint="default"/>
                      <w:color w:val="auto"/>
                      <w:lang w:val="en-US" w:eastAsia="zh-CN"/>
                    </w:rPr>
                  </w:pPr>
                  <w:r>
                    <w:rPr>
                      <w:rFonts w:hint="eastAsia"/>
                      <w:color w:val="auto"/>
                      <w:lang w:val="en-US" w:eastAsia="zh-CN"/>
                    </w:rPr>
                    <w:t>项目建设内容</w:t>
                  </w:r>
                </w:p>
              </w:tc>
              <w:tc>
                <w:tcPr>
                  <w:tcW w:w="1572" w:type="dxa"/>
                  <w:vAlign w:val="center"/>
                </w:tcPr>
                <w:p>
                  <w:pPr>
                    <w:pStyle w:val="19"/>
                    <w:bidi w:val="0"/>
                    <w:jc w:val="center"/>
                    <w:rPr>
                      <w:rFonts w:hint="default"/>
                      <w:color w:val="auto"/>
                      <w:lang w:val="en-US" w:eastAsia="zh-CN"/>
                    </w:rPr>
                  </w:pPr>
                  <w:r>
                    <w:rPr>
                      <w:rFonts w:hint="eastAsia"/>
                      <w:color w:val="auto"/>
                      <w:lang w:val="en-US" w:eastAsia="zh-CN"/>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9" w:type="dxa"/>
                  <w:vMerge w:val="restart"/>
                  <w:vAlign w:val="center"/>
                </w:tcPr>
                <w:p>
                  <w:pPr>
                    <w:pStyle w:val="19"/>
                    <w:bidi w:val="0"/>
                    <w:jc w:val="center"/>
                    <w:rPr>
                      <w:rFonts w:hint="default"/>
                      <w:color w:val="auto"/>
                      <w:lang w:val="en-US" w:eastAsia="zh-CN"/>
                    </w:rPr>
                  </w:pPr>
                  <w:r>
                    <w:rPr>
                      <w:rFonts w:hint="eastAsia"/>
                      <w:color w:val="auto"/>
                      <w:lang w:val="en-US" w:eastAsia="zh-CN"/>
                    </w:rPr>
                    <w:t>施工期</w:t>
                  </w:r>
                </w:p>
              </w:tc>
              <w:tc>
                <w:tcPr>
                  <w:tcW w:w="1582" w:type="dxa"/>
                  <w:vAlign w:val="center"/>
                </w:tcPr>
                <w:p>
                  <w:pPr>
                    <w:pStyle w:val="19"/>
                    <w:bidi w:val="0"/>
                    <w:jc w:val="center"/>
                    <w:rPr>
                      <w:rFonts w:hint="default"/>
                      <w:color w:val="auto"/>
                      <w:lang w:val="en-US" w:eastAsia="zh-CN"/>
                    </w:rPr>
                  </w:pPr>
                  <w:r>
                    <w:rPr>
                      <w:rFonts w:hint="eastAsia"/>
                      <w:color w:val="auto"/>
                      <w:lang w:val="en-US" w:eastAsia="zh-CN"/>
                    </w:rPr>
                    <w:t>废水</w:t>
                  </w:r>
                </w:p>
              </w:tc>
              <w:tc>
                <w:tcPr>
                  <w:tcW w:w="4936" w:type="dxa"/>
                  <w:vAlign w:val="center"/>
                </w:tcPr>
                <w:p>
                  <w:pPr>
                    <w:pStyle w:val="19"/>
                    <w:bidi w:val="0"/>
                    <w:jc w:val="center"/>
                    <w:rPr>
                      <w:rFonts w:hint="default"/>
                      <w:color w:val="auto"/>
                      <w:lang w:val="en-US" w:eastAsia="zh-CN"/>
                    </w:rPr>
                  </w:pPr>
                  <w:r>
                    <w:rPr>
                      <w:rFonts w:hint="eastAsia"/>
                      <w:color w:val="auto"/>
                      <w:lang w:val="en-US" w:eastAsia="zh-CN"/>
                    </w:rPr>
                    <w:t>施工人员生活污水经化粪池处理后用作农肥，施工废水经隔油沉淀处理后回用于生产</w:t>
                  </w:r>
                </w:p>
              </w:tc>
              <w:tc>
                <w:tcPr>
                  <w:tcW w:w="1572" w:type="dxa"/>
                  <w:vAlign w:val="center"/>
                </w:tcPr>
                <w:p>
                  <w:pPr>
                    <w:pStyle w:val="19"/>
                    <w:bidi w:val="0"/>
                    <w:jc w:val="center"/>
                    <w:rPr>
                      <w:rFonts w:hint="default"/>
                      <w:color w:val="auto"/>
                      <w:lang w:val="en-US" w:eastAsia="zh-CN"/>
                    </w:rPr>
                  </w:pPr>
                  <w:r>
                    <w:rPr>
                      <w:rFonts w:hint="eastAsia"/>
                      <w:color w:val="auto"/>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9" w:type="dxa"/>
                  <w:vMerge w:val="continue"/>
                  <w:vAlign w:val="center"/>
                </w:tcPr>
                <w:p>
                  <w:pPr>
                    <w:pStyle w:val="19"/>
                    <w:bidi w:val="0"/>
                    <w:jc w:val="center"/>
                    <w:rPr>
                      <w:rFonts w:hint="eastAsia"/>
                      <w:color w:val="auto"/>
                      <w:lang w:val="en-US" w:eastAsia="zh-CN"/>
                    </w:rPr>
                  </w:pPr>
                </w:p>
              </w:tc>
              <w:tc>
                <w:tcPr>
                  <w:tcW w:w="1582" w:type="dxa"/>
                  <w:vAlign w:val="center"/>
                </w:tcPr>
                <w:p>
                  <w:pPr>
                    <w:pStyle w:val="19"/>
                    <w:bidi w:val="0"/>
                    <w:jc w:val="center"/>
                    <w:rPr>
                      <w:rFonts w:hint="default"/>
                      <w:color w:val="auto"/>
                      <w:lang w:val="en-US" w:eastAsia="zh-CN"/>
                    </w:rPr>
                  </w:pPr>
                  <w:r>
                    <w:rPr>
                      <w:rFonts w:hint="eastAsia"/>
                      <w:color w:val="auto"/>
                      <w:lang w:val="en-US" w:eastAsia="zh-CN"/>
                    </w:rPr>
                    <w:t>废气</w:t>
                  </w:r>
                </w:p>
              </w:tc>
              <w:tc>
                <w:tcPr>
                  <w:tcW w:w="4936" w:type="dxa"/>
                  <w:vAlign w:val="center"/>
                </w:tcPr>
                <w:p>
                  <w:pPr>
                    <w:pStyle w:val="19"/>
                    <w:bidi w:val="0"/>
                    <w:jc w:val="center"/>
                    <w:rPr>
                      <w:rFonts w:hint="default"/>
                      <w:color w:val="auto"/>
                      <w:lang w:val="en-US" w:eastAsia="zh-CN"/>
                    </w:rPr>
                  </w:pPr>
                  <w:r>
                    <w:rPr>
                      <w:rFonts w:hint="eastAsia"/>
                      <w:color w:val="auto"/>
                      <w:lang w:val="en-US" w:eastAsia="zh-CN"/>
                    </w:rPr>
                    <w:t>施工期洒水降尘、物料设置防风遮盖、围挡</w:t>
                  </w:r>
                </w:p>
              </w:tc>
              <w:tc>
                <w:tcPr>
                  <w:tcW w:w="1572" w:type="dxa"/>
                  <w:vAlign w:val="center"/>
                </w:tcPr>
                <w:p>
                  <w:pPr>
                    <w:pStyle w:val="19"/>
                    <w:bidi w:val="0"/>
                    <w:jc w:val="center"/>
                    <w:rPr>
                      <w:rFonts w:hint="default"/>
                      <w:color w:val="auto"/>
                      <w:lang w:val="en-US" w:eastAsia="zh-CN"/>
                    </w:rPr>
                  </w:pPr>
                  <w:r>
                    <w:rPr>
                      <w:rFonts w:hint="eastAsia"/>
                      <w:color w:val="auto"/>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9" w:type="dxa"/>
                  <w:vMerge w:val="continue"/>
                  <w:vAlign w:val="center"/>
                </w:tcPr>
                <w:p>
                  <w:pPr>
                    <w:pStyle w:val="19"/>
                    <w:bidi w:val="0"/>
                    <w:jc w:val="center"/>
                    <w:rPr>
                      <w:rFonts w:hint="eastAsia"/>
                      <w:color w:val="auto"/>
                      <w:lang w:val="en-US" w:eastAsia="zh-CN"/>
                    </w:rPr>
                  </w:pPr>
                </w:p>
              </w:tc>
              <w:tc>
                <w:tcPr>
                  <w:tcW w:w="1582" w:type="dxa"/>
                  <w:vAlign w:val="center"/>
                </w:tcPr>
                <w:p>
                  <w:pPr>
                    <w:pStyle w:val="19"/>
                    <w:bidi w:val="0"/>
                    <w:jc w:val="center"/>
                    <w:rPr>
                      <w:rFonts w:hint="default"/>
                      <w:color w:val="auto"/>
                      <w:lang w:val="en-US" w:eastAsia="zh-CN"/>
                    </w:rPr>
                  </w:pPr>
                  <w:r>
                    <w:rPr>
                      <w:rFonts w:hint="eastAsia"/>
                      <w:color w:val="auto"/>
                      <w:lang w:val="en-US" w:eastAsia="zh-CN"/>
                    </w:rPr>
                    <w:t>噪声</w:t>
                  </w:r>
                </w:p>
              </w:tc>
              <w:tc>
                <w:tcPr>
                  <w:tcW w:w="4936" w:type="dxa"/>
                  <w:vAlign w:val="center"/>
                </w:tcPr>
                <w:p>
                  <w:pPr>
                    <w:pStyle w:val="19"/>
                    <w:bidi w:val="0"/>
                    <w:jc w:val="center"/>
                    <w:rPr>
                      <w:rFonts w:hint="default"/>
                      <w:color w:val="auto"/>
                      <w:lang w:val="en-US" w:eastAsia="zh-CN"/>
                    </w:rPr>
                  </w:pPr>
                  <w:r>
                    <w:rPr>
                      <w:rFonts w:hint="eastAsia"/>
                      <w:color w:val="auto"/>
                      <w:lang w:val="en-US" w:eastAsia="zh-CN"/>
                    </w:rPr>
                    <w:t>高噪声设备设置临时围挡、人员的防噪措施、合理安排施工场地</w:t>
                  </w:r>
                </w:p>
              </w:tc>
              <w:tc>
                <w:tcPr>
                  <w:tcW w:w="1572" w:type="dxa"/>
                  <w:vAlign w:val="center"/>
                </w:tcPr>
                <w:p>
                  <w:pPr>
                    <w:pStyle w:val="19"/>
                    <w:bidi w:val="0"/>
                    <w:jc w:val="center"/>
                    <w:rPr>
                      <w:rFonts w:hint="default"/>
                      <w:color w:val="auto"/>
                      <w:lang w:val="en-US" w:eastAsia="zh-CN"/>
                    </w:rPr>
                  </w:pPr>
                  <w:r>
                    <w:rPr>
                      <w:rFonts w:hint="eastAsia"/>
                      <w:color w:val="auto"/>
                      <w:lang w:val="en-US"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9" w:type="dxa"/>
                  <w:vMerge w:val="continue"/>
                  <w:vAlign w:val="center"/>
                </w:tcPr>
                <w:p>
                  <w:pPr>
                    <w:pStyle w:val="19"/>
                    <w:bidi w:val="0"/>
                    <w:jc w:val="center"/>
                    <w:rPr>
                      <w:rFonts w:hint="eastAsia"/>
                      <w:color w:val="auto"/>
                      <w:lang w:val="en-US" w:eastAsia="zh-CN"/>
                    </w:rPr>
                  </w:pPr>
                </w:p>
              </w:tc>
              <w:tc>
                <w:tcPr>
                  <w:tcW w:w="1582" w:type="dxa"/>
                  <w:vAlign w:val="center"/>
                </w:tcPr>
                <w:p>
                  <w:pPr>
                    <w:pStyle w:val="19"/>
                    <w:bidi w:val="0"/>
                    <w:jc w:val="center"/>
                    <w:rPr>
                      <w:rFonts w:hint="default"/>
                      <w:color w:val="auto"/>
                      <w:lang w:val="en-US" w:eastAsia="zh-CN"/>
                    </w:rPr>
                  </w:pPr>
                  <w:r>
                    <w:rPr>
                      <w:rFonts w:hint="eastAsia"/>
                      <w:color w:val="auto"/>
                      <w:lang w:val="en-US" w:eastAsia="zh-CN"/>
                    </w:rPr>
                    <w:t>固废处理</w:t>
                  </w:r>
                </w:p>
              </w:tc>
              <w:tc>
                <w:tcPr>
                  <w:tcW w:w="4936" w:type="dxa"/>
                  <w:vAlign w:val="center"/>
                </w:tcPr>
                <w:p>
                  <w:pPr>
                    <w:pStyle w:val="19"/>
                    <w:bidi w:val="0"/>
                    <w:jc w:val="center"/>
                    <w:rPr>
                      <w:rFonts w:hint="default"/>
                      <w:color w:val="auto"/>
                      <w:lang w:val="en-US" w:eastAsia="zh-CN"/>
                    </w:rPr>
                  </w:pPr>
                  <w:r>
                    <w:rPr>
                      <w:rFonts w:hint="eastAsia"/>
                      <w:color w:val="auto"/>
                      <w:lang w:val="en-US" w:eastAsia="zh-CN"/>
                    </w:rPr>
                    <w:t>产生建筑垃圾和生活垃圾交由环卫部门清运</w:t>
                  </w:r>
                </w:p>
              </w:tc>
              <w:tc>
                <w:tcPr>
                  <w:tcW w:w="1572" w:type="dxa"/>
                  <w:vAlign w:val="center"/>
                </w:tcPr>
                <w:p>
                  <w:pPr>
                    <w:pStyle w:val="19"/>
                    <w:bidi w:val="0"/>
                    <w:jc w:val="center"/>
                    <w:rPr>
                      <w:rFonts w:hint="default"/>
                      <w:color w:val="auto"/>
                      <w:lang w:val="en-US" w:eastAsia="zh-CN"/>
                    </w:rPr>
                  </w:pPr>
                  <w:r>
                    <w:rPr>
                      <w:rFonts w:hint="eastAsia"/>
                      <w:color w:val="auto"/>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69" w:type="dxa"/>
                  <w:vMerge w:val="continue"/>
                  <w:vAlign w:val="center"/>
                </w:tcPr>
                <w:p>
                  <w:pPr>
                    <w:pStyle w:val="19"/>
                    <w:bidi w:val="0"/>
                    <w:jc w:val="center"/>
                    <w:rPr>
                      <w:rFonts w:hint="eastAsia"/>
                      <w:color w:val="auto"/>
                      <w:lang w:val="en-US" w:eastAsia="zh-CN"/>
                    </w:rPr>
                  </w:pPr>
                </w:p>
              </w:tc>
              <w:tc>
                <w:tcPr>
                  <w:tcW w:w="1582" w:type="dxa"/>
                  <w:vAlign w:val="center"/>
                </w:tcPr>
                <w:p>
                  <w:pPr>
                    <w:pStyle w:val="19"/>
                    <w:bidi w:val="0"/>
                    <w:jc w:val="center"/>
                    <w:rPr>
                      <w:rFonts w:hint="default"/>
                      <w:color w:val="auto"/>
                      <w:lang w:val="en-US" w:eastAsia="zh-CN"/>
                    </w:rPr>
                  </w:pPr>
                  <w:r>
                    <w:rPr>
                      <w:rFonts w:hint="eastAsia"/>
                      <w:color w:val="auto"/>
                      <w:lang w:val="en-US" w:eastAsia="zh-CN"/>
                    </w:rPr>
                    <w:t>生态保护措施</w:t>
                  </w:r>
                </w:p>
              </w:tc>
              <w:tc>
                <w:tcPr>
                  <w:tcW w:w="4936" w:type="dxa"/>
                  <w:vAlign w:val="center"/>
                </w:tcPr>
                <w:p>
                  <w:pPr>
                    <w:pStyle w:val="19"/>
                    <w:bidi w:val="0"/>
                    <w:jc w:val="center"/>
                    <w:rPr>
                      <w:rFonts w:hint="default"/>
                      <w:color w:val="auto"/>
                      <w:lang w:val="en-US" w:eastAsia="zh-CN"/>
                    </w:rPr>
                  </w:pPr>
                  <w:r>
                    <w:rPr>
                      <w:rFonts w:hint="eastAsia"/>
                      <w:color w:val="auto"/>
                      <w:lang w:val="en-US" w:eastAsia="zh-CN"/>
                    </w:rPr>
                    <w:t>完成路面平整、植被恢复、水土保持</w:t>
                  </w:r>
                </w:p>
              </w:tc>
              <w:tc>
                <w:tcPr>
                  <w:tcW w:w="1572" w:type="dxa"/>
                  <w:vAlign w:val="center"/>
                </w:tcPr>
                <w:p>
                  <w:pPr>
                    <w:pStyle w:val="19"/>
                    <w:bidi w:val="0"/>
                    <w:jc w:val="center"/>
                    <w:rPr>
                      <w:rFonts w:hint="default"/>
                      <w:color w:val="auto"/>
                      <w:lang w:val="en-US" w:eastAsia="zh-CN"/>
                    </w:rPr>
                  </w:pPr>
                  <w:r>
                    <w:rPr>
                      <w:rFonts w:hint="eastAsia"/>
                      <w:color w:val="auto"/>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9" w:type="dxa"/>
                  <w:vMerge w:val="continue"/>
                  <w:vAlign w:val="center"/>
                </w:tcPr>
                <w:p>
                  <w:pPr>
                    <w:pStyle w:val="19"/>
                    <w:bidi w:val="0"/>
                    <w:jc w:val="center"/>
                    <w:rPr>
                      <w:rFonts w:hint="default"/>
                      <w:color w:val="auto"/>
                      <w:lang w:val="en-US" w:eastAsia="zh-CN"/>
                    </w:rPr>
                  </w:pPr>
                </w:p>
              </w:tc>
              <w:tc>
                <w:tcPr>
                  <w:tcW w:w="6518" w:type="dxa"/>
                  <w:gridSpan w:val="2"/>
                  <w:vAlign w:val="center"/>
                </w:tcPr>
                <w:p>
                  <w:pPr>
                    <w:pStyle w:val="19"/>
                    <w:bidi w:val="0"/>
                    <w:jc w:val="center"/>
                    <w:rPr>
                      <w:rFonts w:hint="eastAsia"/>
                      <w:color w:val="auto"/>
                      <w:lang w:val="en-US" w:eastAsia="zh-CN"/>
                    </w:rPr>
                  </w:pPr>
                  <w:r>
                    <w:rPr>
                      <w:rFonts w:hint="eastAsia"/>
                      <w:color w:val="auto"/>
                      <w:lang w:val="en-US" w:eastAsia="zh-CN"/>
                    </w:rPr>
                    <w:t>合计</w:t>
                  </w:r>
                </w:p>
              </w:tc>
              <w:tc>
                <w:tcPr>
                  <w:tcW w:w="1572" w:type="dxa"/>
                  <w:vAlign w:val="center"/>
                </w:tcPr>
                <w:p>
                  <w:pPr>
                    <w:pStyle w:val="19"/>
                    <w:bidi w:val="0"/>
                    <w:jc w:val="center"/>
                    <w:rPr>
                      <w:rFonts w:hint="default"/>
                      <w:color w:val="auto"/>
                      <w:lang w:val="en-US" w:eastAsia="zh-CN"/>
                    </w:rPr>
                  </w:pPr>
                  <w:r>
                    <w:rPr>
                      <w:rFonts w:hint="eastAsia"/>
                      <w:color w:val="auto"/>
                      <w:lang w:val="en-US" w:eastAsia="zh-CN"/>
                    </w:rPr>
                    <w:t>193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9" w:type="dxa"/>
                  <w:vMerge w:val="restart"/>
                  <w:vAlign w:val="center"/>
                </w:tcPr>
                <w:p>
                  <w:pPr>
                    <w:pStyle w:val="19"/>
                    <w:bidi w:val="0"/>
                    <w:jc w:val="center"/>
                    <w:rPr>
                      <w:rFonts w:hint="default"/>
                      <w:color w:val="auto"/>
                      <w:lang w:val="en-US" w:eastAsia="zh-CN"/>
                    </w:rPr>
                  </w:pPr>
                  <w:r>
                    <w:rPr>
                      <w:rFonts w:hint="eastAsia"/>
                      <w:color w:val="auto"/>
                      <w:lang w:val="en-US" w:eastAsia="zh-CN"/>
                    </w:rPr>
                    <w:t>运营期</w:t>
                  </w:r>
                </w:p>
              </w:tc>
              <w:tc>
                <w:tcPr>
                  <w:tcW w:w="1582" w:type="dxa"/>
                  <w:vMerge w:val="restart"/>
                  <w:vAlign w:val="center"/>
                </w:tcPr>
                <w:p>
                  <w:pPr>
                    <w:pStyle w:val="19"/>
                    <w:bidi w:val="0"/>
                    <w:jc w:val="center"/>
                    <w:rPr>
                      <w:rFonts w:hint="default"/>
                      <w:color w:val="auto"/>
                      <w:lang w:val="en-US" w:eastAsia="zh-CN"/>
                    </w:rPr>
                  </w:pPr>
                  <w:r>
                    <w:rPr>
                      <w:rFonts w:hint="eastAsia"/>
                      <w:color w:val="auto"/>
                      <w:lang w:val="en-US" w:eastAsia="zh-CN"/>
                    </w:rPr>
                    <w:t>废水</w:t>
                  </w:r>
                </w:p>
              </w:tc>
              <w:tc>
                <w:tcPr>
                  <w:tcW w:w="4936" w:type="dxa"/>
                  <w:vAlign w:val="center"/>
                </w:tcPr>
                <w:p>
                  <w:pPr>
                    <w:pStyle w:val="19"/>
                    <w:bidi w:val="0"/>
                    <w:rPr>
                      <w:rFonts w:hint="default"/>
                      <w:color w:val="auto"/>
                      <w:lang w:val="en-US" w:eastAsia="zh-CN"/>
                    </w:rPr>
                  </w:pPr>
                  <w:r>
                    <w:rPr>
                      <w:rFonts w:hint="default"/>
                      <w:lang w:val="en-US" w:eastAsia="zh-CN"/>
                    </w:rPr>
                    <w:t>员工食堂废水、主题餐厅废水经</w:t>
                  </w:r>
                  <w:r>
                    <w:rPr>
                      <w:rFonts w:hint="eastAsia"/>
                      <w:lang w:val="en-US" w:eastAsia="zh-CN"/>
                    </w:rPr>
                    <w:t>隔油沉淀</w:t>
                  </w:r>
                  <w:r>
                    <w:rPr>
                      <w:rFonts w:hint="default"/>
                      <w:lang w:val="en-US" w:eastAsia="zh-CN"/>
                    </w:rPr>
                    <w:t>后，与员工生活污水、游客淋浴废水、公厕废水一起进入化粪池，经化粪池处理达标后，通过市政污水管网排入松木生活污水处理厂</w:t>
                  </w:r>
                </w:p>
              </w:tc>
              <w:tc>
                <w:tcPr>
                  <w:tcW w:w="1572" w:type="dxa"/>
                  <w:vAlign w:val="center"/>
                </w:tcPr>
                <w:p>
                  <w:pPr>
                    <w:pStyle w:val="19"/>
                    <w:bidi w:val="0"/>
                    <w:jc w:val="center"/>
                    <w:rPr>
                      <w:rFonts w:hint="default"/>
                      <w:color w:val="auto"/>
                      <w:lang w:val="en-US" w:eastAsia="zh-CN"/>
                    </w:rPr>
                  </w:pPr>
                  <w:r>
                    <w:rPr>
                      <w:rFonts w:hint="eastAsia"/>
                      <w:color w:val="auto"/>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9" w:type="dxa"/>
                  <w:vMerge w:val="continue"/>
                  <w:vAlign w:val="center"/>
                </w:tcPr>
                <w:p>
                  <w:pPr>
                    <w:pStyle w:val="19"/>
                    <w:bidi w:val="0"/>
                    <w:jc w:val="center"/>
                    <w:rPr>
                      <w:rFonts w:hint="eastAsia"/>
                      <w:color w:val="auto"/>
                      <w:lang w:val="en-US" w:eastAsia="zh-CN"/>
                    </w:rPr>
                  </w:pPr>
                </w:p>
              </w:tc>
              <w:tc>
                <w:tcPr>
                  <w:tcW w:w="1582" w:type="dxa"/>
                  <w:vMerge w:val="continue"/>
                  <w:vAlign w:val="center"/>
                </w:tcPr>
                <w:p>
                  <w:pPr>
                    <w:pStyle w:val="19"/>
                    <w:bidi w:val="0"/>
                    <w:jc w:val="center"/>
                    <w:rPr>
                      <w:rFonts w:hint="eastAsia"/>
                      <w:color w:val="auto"/>
                      <w:lang w:val="en-US" w:eastAsia="zh-CN"/>
                    </w:rPr>
                  </w:pPr>
                </w:p>
              </w:tc>
              <w:tc>
                <w:tcPr>
                  <w:tcW w:w="4936" w:type="dxa"/>
                  <w:vAlign w:val="center"/>
                </w:tcPr>
                <w:p>
                  <w:pPr>
                    <w:pStyle w:val="19"/>
                    <w:bidi w:val="0"/>
                    <w:jc w:val="center"/>
                    <w:rPr>
                      <w:rFonts w:hint="default"/>
                      <w:color w:val="auto"/>
                      <w:lang w:val="en-US" w:eastAsia="zh-CN"/>
                    </w:rPr>
                  </w:pPr>
                  <w:r>
                    <w:rPr>
                      <w:rFonts w:hint="eastAsia"/>
                      <w:color w:val="auto"/>
                      <w:lang w:val="en-US" w:eastAsia="zh-CN"/>
                    </w:rPr>
                    <w:t>水池娱乐用水经珍珠岩过滤系统过滤后循环使用，闭园时水池娱乐用水全部排空，水池娱乐废水与其他废水一起进入化粪池处理，经化粪池预处理后通过市政管网排入松木生活污水处理厂</w:t>
                  </w:r>
                </w:p>
              </w:tc>
              <w:tc>
                <w:tcPr>
                  <w:tcW w:w="1572" w:type="dxa"/>
                  <w:vAlign w:val="center"/>
                </w:tcPr>
                <w:p>
                  <w:pPr>
                    <w:pStyle w:val="19"/>
                    <w:bidi w:val="0"/>
                    <w:jc w:val="center"/>
                    <w:rPr>
                      <w:rFonts w:hint="default"/>
                      <w:color w:val="auto"/>
                      <w:lang w:val="en-US" w:eastAsia="zh-CN"/>
                    </w:rPr>
                  </w:pPr>
                  <w:r>
                    <w:rPr>
                      <w:rFonts w:hint="eastAsia"/>
                      <w:color w:val="auto"/>
                      <w:lang w:val="en-US" w:eastAsia="zh-CN"/>
                    </w:rPr>
                    <w:t>1963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9" w:type="dxa"/>
                  <w:vMerge w:val="continue"/>
                  <w:vAlign w:val="center"/>
                </w:tcPr>
                <w:p>
                  <w:pPr>
                    <w:pStyle w:val="19"/>
                    <w:bidi w:val="0"/>
                    <w:jc w:val="center"/>
                    <w:rPr>
                      <w:rFonts w:hint="eastAsia"/>
                      <w:color w:val="auto"/>
                      <w:lang w:val="en-US" w:eastAsia="zh-CN"/>
                    </w:rPr>
                  </w:pPr>
                </w:p>
              </w:tc>
              <w:tc>
                <w:tcPr>
                  <w:tcW w:w="1582" w:type="dxa"/>
                  <w:vAlign w:val="center"/>
                </w:tcPr>
                <w:p>
                  <w:pPr>
                    <w:pStyle w:val="19"/>
                    <w:bidi w:val="0"/>
                    <w:jc w:val="center"/>
                    <w:rPr>
                      <w:rFonts w:hint="default"/>
                      <w:color w:val="auto"/>
                      <w:lang w:val="en-US" w:eastAsia="zh-CN"/>
                    </w:rPr>
                  </w:pPr>
                  <w:r>
                    <w:rPr>
                      <w:rFonts w:hint="eastAsia"/>
                      <w:color w:val="auto"/>
                      <w:lang w:val="en-US" w:eastAsia="zh-CN"/>
                    </w:rPr>
                    <w:t>废气</w:t>
                  </w:r>
                </w:p>
              </w:tc>
              <w:tc>
                <w:tcPr>
                  <w:tcW w:w="4936" w:type="dxa"/>
                  <w:vAlign w:val="center"/>
                </w:tcPr>
                <w:p>
                  <w:pPr>
                    <w:pStyle w:val="19"/>
                    <w:bidi w:val="0"/>
                    <w:jc w:val="center"/>
                    <w:rPr>
                      <w:rFonts w:hint="default"/>
                      <w:color w:val="auto"/>
                      <w:lang w:val="en-US" w:eastAsia="zh-CN"/>
                    </w:rPr>
                  </w:pPr>
                  <w:r>
                    <w:rPr>
                      <w:rFonts w:hint="eastAsia"/>
                      <w:color w:val="auto"/>
                      <w:lang w:val="en-US" w:eastAsia="zh-CN"/>
                    </w:rPr>
                    <w:t>员工食堂和餐厅安装油烟净化器；备用发电机燃烧废气通过管道引至高空排放；汽车尾气采取自然通风；公厕恶臭加强管理</w:t>
                  </w:r>
                </w:p>
              </w:tc>
              <w:tc>
                <w:tcPr>
                  <w:tcW w:w="1572" w:type="dxa"/>
                  <w:vAlign w:val="center"/>
                </w:tcPr>
                <w:p>
                  <w:pPr>
                    <w:pStyle w:val="19"/>
                    <w:bidi w:val="0"/>
                    <w:jc w:val="center"/>
                    <w:rPr>
                      <w:rFonts w:hint="default"/>
                      <w:color w:val="auto"/>
                      <w:lang w:val="en-US" w:eastAsia="zh-CN"/>
                    </w:rPr>
                  </w:pPr>
                  <w:r>
                    <w:rPr>
                      <w:rFonts w:hint="eastAsia"/>
                      <w:color w:val="auto"/>
                      <w:lang w:val="en-US"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9" w:type="dxa"/>
                  <w:vMerge w:val="continue"/>
                  <w:vAlign w:val="center"/>
                </w:tcPr>
                <w:p>
                  <w:pPr>
                    <w:pStyle w:val="19"/>
                    <w:bidi w:val="0"/>
                    <w:jc w:val="center"/>
                    <w:rPr>
                      <w:rFonts w:hint="eastAsia"/>
                      <w:color w:val="auto"/>
                      <w:lang w:val="en-US" w:eastAsia="zh-CN"/>
                    </w:rPr>
                  </w:pPr>
                </w:p>
              </w:tc>
              <w:tc>
                <w:tcPr>
                  <w:tcW w:w="1582" w:type="dxa"/>
                  <w:vAlign w:val="center"/>
                </w:tcPr>
                <w:p>
                  <w:pPr>
                    <w:pStyle w:val="19"/>
                    <w:bidi w:val="0"/>
                    <w:jc w:val="center"/>
                    <w:rPr>
                      <w:rFonts w:hint="default"/>
                      <w:color w:val="auto"/>
                      <w:lang w:val="en-US" w:eastAsia="zh-CN"/>
                    </w:rPr>
                  </w:pPr>
                  <w:r>
                    <w:rPr>
                      <w:rFonts w:hint="eastAsia"/>
                      <w:color w:val="auto"/>
                      <w:lang w:val="en-US" w:eastAsia="zh-CN"/>
                    </w:rPr>
                    <w:t>噪声</w:t>
                  </w:r>
                </w:p>
              </w:tc>
              <w:tc>
                <w:tcPr>
                  <w:tcW w:w="4936" w:type="dxa"/>
                  <w:vAlign w:val="center"/>
                </w:tcPr>
                <w:p>
                  <w:pPr>
                    <w:pStyle w:val="19"/>
                    <w:bidi w:val="0"/>
                    <w:jc w:val="center"/>
                    <w:rPr>
                      <w:rFonts w:hint="default"/>
                      <w:color w:val="auto"/>
                      <w:lang w:val="en-US" w:eastAsia="zh-CN"/>
                    </w:rPr>
                  </w:pPr>
                  <w:r>
                    <w:rPr>
                      <w:rFonts w:hint="eastAsia"/>
                      <w:color w:val="auto"/>
                      <w:lang w:val="en-US" w:eastAsia="zh-CN"/>
                    </w:rPr>
                    <w:t>设备减振、隔声措施</w:t>
                  </w:r>
                </w:p>
              </w:tc>
              <w:tc>
                <w:tcPr>
                  <w:tcW w:w="1572" w:type="dxa"/>
                  <w:vAlign w:val="center"/>
                </w:tcPr>
                <w:p>
                  <w:pPr>
                    <w:pStyle w:val="19"/>
                    <w:bidi w:val="0"/>
                    <w:jc w:val="center"/>
                    <w:rPr>
                      <w:rFonts w:hint="default"/>
                      <w:color w:val="auto"/>
                      <w:lang w:val="en-US" w:eastAsia="zh-CN"/>
                    </w:rPr>
                  </w:pPr>
                  <w:r>
                    <w:rPr>
                      <w:rFonts w:hint="eastAsia"/>
                      <w:color w:val="auto"/>
                      <w:lang w:val="en-US" w:eastAsia="zh-CN"/>
                    </w:rPr>
                    <w:t>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9" w:type="dxa"/>
                  <w:vMerge w:val="continue"/>
                  <w:vAlign w:val="center"/>
                </w:tcPr>
                <w:p>
                  <w:pPr>
                    <w:pStyle w:val="19"/>
                    <w:bidi w:val="0"/>
                    <w:jc w:val="center"/>
                    <w:rPr>
                      <w:rFonts w:hint="eastAsia"/>
                      <w:color w:val="auto"/>
                      <w:lang w:val="en-US" w:eastAsia="zh-CN"/>
                    </w:rPr>
                  </w:pPr>
                </w:p>
              </w:tc>
              <w:tc>
                <w:tcPr>
                  <w:tcW w:w="1582" w:type="dxa"/>
                  <w:vAlign w:val="center"/>
                </w:tcPr>
                <w:p>
                  <w:pPr>
                    <w:pStyle w:val="19"/>
                    <w:bidi w:val="0"/>
                    <w:jc w:val="center"/>
                    <w:rPr>
                      <w:rFonts w:hint="default"/>
                      <w:color w:val="auto"/>
                      <w:lang w:val="en-US" w:eastAsia="zh-CN"/>
                    </w:rPr>
                  </w:pPr>
                  <w:r>
                    <w:rPr>
                      <w:rFonts w:hint="eastAsia"/>
                      <w:color w:val="auto"/>
                      <w:lang w:val="en-US" w:eastAsia="zh-CN"/>
                    </w:rPr>
                    <w:t>固废</w:t>
                  </w:r>
                </w:p>
              </w:tc>
              <w:tc>
                <w:tcPr>
                  <w:tcW w:w="4936" w:type="dxa"/>
                  <w:vAlign w:val="center"/>
                </w:tcPr>
                <w:p>
                  <w:pPr>
                    <w:pStyle w:val="19"/>
                    <w:bidi w:val="0"/>
                    <w:jc w:val="center"/>
                    <w:rPr>
                      <w:rFonts w:hint="default"/>
                      <w:color w:val="auto"/>
                      <w:lang w:val="en-US" w:eastAsia="zh-CN"/>
                    </w:rPr>
                  </w:pPr>
                  <w:r>
                    <w:rPr>
                      <w:rFonts w:hint="eastAsia"/>
                      <w:color w:val="auto"/>
                      <w:lang w:val="en-US" w:eastAsia="zh-CN"/>
                    </w:rPr>
                    <w:t>生活垃圾和毛发过滤器收集的毛发集中存放至垃圾桶，统一交由环卫部门处理</w:t>
                  </w:r>
                </w:p>
              </w:tc>
              <w:tc>
                <w:tcPr>
                  <w:tcW w:w="1572" w:type="dxa"/>
                  <w:vAlign w:val="center"/>
                </w:tcPr>
                <w:p>
                  <w:pPr>
                    <w:pStyle w:val="19"/>
                    <w:bidi w:val="0"/>
                    <w:jc w:val="center"/>
                    <w:rPr>
                      <w:rFonts w:hint="default"/>
                      <w:color w:val="auto"/>
                      <w:lang w:val="en-US" w:eastAsia="zh-CN"/>
                    </w:rPr>
                  </w:pPr>
                  <w:r>
                    <w:rPr>
                      <w:rFonts w:hint="eastAsia"/>
                      <w:color w:val="auto"/>
                      <w:lang w:val="en-US" w:eastAsia="zh-CN"/>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9" w:type="dxa"/>
                  <w:vMerge w:val="continue"/>
                  <w:vAlign w:val="center"/>
                </w:tcPr>
                <w:p>
                  <w:pPr>
                    <w:pStyle w:val="19"/>
                    <w:bidi w:val="0"/>
                    <w:jc w:val="center"/>
                    <w:rPr>
                      <w:rFonts w:hint="eastAsia"/>
                      <w:color w:val="auto"/>
                      <w:lang w:val="en-US" w:eastAsia="zh-CN"/>
                    </w:rPr>
                  </w:pPr>
                </w:p>
              </w:tc>
              <w:tc>
                <w:tcPr>
                  <w:tcW w:w="1582" w:type="dxa"/>
                  <w:vAlign w:val="center"/>
                </w:tcPr>
                <w:p>
                  <w:pPr>
                    <w:pStyle w:val="19"/>
                    <w:bidi w:val="0"/>
                    <w:jc w:val="center"/>
                    <w:rPr>
                      <w:rFonts w:hint="default"/>
                      <w:color w:val="auto"/>
                      <w:lang w:val="en-US" w:eastAsia="zh-CN"/>
                    </w:rPr>
                  </w:pPr>
                  <w:r>
                    <w:rPr>
                      <w:rFonts w:hint="eastAsia"/>
                      <w:color w:val="auto"/>
                      <w:lang w:val="en-US" w:eastAsia="zh-CN"/>
                    </w:rPr>
                    <w:t>生态保护</w:t>
                  </w:r>
                </w:p>
              </w:tc>
              <w:tc>
                <w:tcPr>
                  <w:tcW w:w="4936" w:type="dxa"/>
                  <w:vAlign w:val="center"/>
                </w:tcPr>
                <w:p>
                  <w:pPr>
                    <w:pStyle w:val="19"/>
                    <w:bidi w:val="0"/>
                    <w:jc w:val="center"/>
                    <w:rPr>
                      <w:rFonts w:hint="default"/>
                      <w:color w:val="auto"/>
                      <w:lang w:val="en-US" w:eastAsia="zh-CN"/>
                    </w:rPr>
                  </w:pPr>
                  <w:r>
                    <w:rPr>
                      <w:rFonts w:hint="eastAsia"/>
                      <w:color w:val="auto"/>
                      <w:lang w:val="en-US" w:eastAsia="zh-CN"/>
                    </w:rPr>
                    <w:t>绿化</w:t>
                  </w:r>
                </w:p>
              </w:tc>
              <w:tc>
                <w:tcPr>
                  <w:tcW w:w="1572" w:type="dxa"/>
                  <w:vAlign w:val="center"/>
                </w:tcPr>
                <w:p>
                  <w:pPr>
                    <w:pStyle w:val="19"/>
                    <w:bidi w:val="0"/>
                    <w:jc w:val="center"/>
                    <w:rPr>
                      <w:rFonts w:hint="default"/>
                      <w:color w:val="auto"/>
                      <w:lang w:val="en-US" w:eastAsia="zh-CN"/>
                    </w:rPr>
                  </w:pPr>
                  <w:r>
                    <w:rPr>
                      <w:rFonts w:hint="eastAsia"/>
                      <w:color w:val="auto"/>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9" w:type="dxa"/>
                  <w:vMerge w:val="continue"/>
                  <w:vAlign w:val="center"/>
                </w:tcPr>
                <w:p>
                  <w:pPr>
                    <w:pStyle w:val="19"/>
                    <w:bidi w:val="0"/>
                    <w:jc w:val="center"/>
                    <w:rPr>
                      <w:rFonts w:hint="eastAsia"/>
                      <w:color w:val="auto"/>
                      <w:lang w:val="en-US" w:eastAsia="zh-CN"/>
                    </w:rPr>
                  </w:pPr>
                </w:p>
              </w:tc>
              <w:tc>
                <w:tcPr>
                  <w:tcW w:w="6518" w:type="dxa"/>
                  <w:gridSpan w:val="2"/>
                  <w:vAlign w:val="center"/>
                </w:tcPr>
                <w:p>
                  <w:pPr>
                    <w:pStyle w:val="19"/>
                    <w:bidi w:val="0"/>
                    <w:jc w:val="center"/>
                    <w:rPr>
                      <w:rFonts w:hint="eastAsia"/>
                      <w:color w:val="auto"/>
                      <w:lang w:val="en-US" w:eastAsia="zh-CN"/>
                    </w:rPr>
                  </w:pPr>
                  <w:r>
                    <w:rPr>
                      <w:rFonts w:hint="eastAsia"/>
                      <w:color w:val="auto"/>
                      <w:lang w:val="en-US" w:eastAsia="zh-CN"/>
                    </w:rPr>
                    <w:t>合计</w:t>
                  </w:r>
                </w:p>
              </w:tc>
              <w:tc>
                <w:tcPr>
                  <w:tcW w:w="1572" w:type="dxa"/>
                  <w:vAlign w:val="center"/>
                </w:tcPr>
                <w:p>
                  <w:pPr>
                    <w:pStyle w:val="19"/>
                    <w:bidi w:val="0"/>
                    <w:jc w:val="center"/>
                    <w:rPr>
                      <w:rFonts w:hint="default"/>
                      <w:color w:val="auto"/>
                      <w:lang w:val="en-US" w:eastAsia="zh-CN"/>
                    </w:rPr>
                  </w:pPr>
                  <w:r>
                    <w:rPr>
                      <w:rFonts w:hint="eastAsia"/>
                      <w:color w:val="auto"/>
                      <w:lang w:val="en-US" w:eastAsia="zh-CN"/>
                    </w:rPr>
                    <w:t>2207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87" w:type="dxa"/>
                  <w:gridSpan w:val="3"/>
                  <w:vAlign w:val="center"/>
                </w:tcPr>
                <w:p>
                  <w:pPr>
                    <w:pStyle w:val="19"/>
                    <w:bidi w:val="0"/>
                    <w:jc w:val="center"/>
                    <w:rPr>
                      <w:rFonts w:hint="default"/>
                      <w:color w:val="auto"/>
                      <w:lang w:val="en-US" w:eastAsia="zh-CN"/>
                    </w:rPr>
                  </w:pPr>
                  <w:r>
                    <w:rPr>
                      <w:rFonts w:hint="eastAsia"/>
                      <w:color w:val="auto"/>
                      <w:lang w:val="en-US" w:eastAsia="zh-CN"/>
                    </w:rPr>
                    <w:t>总计</w:t>
                  </w:r>
                </w:p>
              </w:tc>
              <w:tc>
                <w:tcPr>
                  <w:tcW w:w="1572" w:type="dxa"/>
                  <w:vAlign w:val="center"/>
                </w:tcPr>
                <w:p>
                  <w:pPr>
                    <w:pStyle w:val="19"/>
                    <w:bidi w:val="0"/>
                    <w:jc w:val="center"/>
                    <w:rPr>
                      <w:rFonts w:hint="default"/>
                      <w:color w:val="auto"/>
                      <w:lang w:val="en-US" w:eastAsia="zh-CN"/>
                    </w:rPr>
                  </w:pPr>
                  <w:r>
                    <w:rPr>
                      <w:rFonts w:hint="eastAsia"/>
                      <w:color w:val="auto"/>
                      <w:lang w:val="en-US" w:eastAsia="zh-CN"/>
                    </w:rPr>
                    <w:t>2400</w:t>
                  </w:r>
                </w:p>
              </w:tc>
            </w:tr>
          </w:tbl>
          <w:p>
            <w:pPr>
              <w:bidi w:val="0"/>
              <w:ind w:left="0" w:leftChars="0" w:firstLine="0" w:firstLineChars="0"/>
              <w:jc w:val="both"/>
              <w:rPr>
                <w:rFonts w:hint="default"/>
                <w:lang w:val="en-US" w:eastAsia="zh-CN"/>
              </w:rPr>
            </w:pPr>
          </w:p>
        </w:tc>
      </w:tr>
    </w:tbl>
    <w:p>
      <w:pPr>
        <w:ind w:left="0" w:leftChars="0" w:firstLine="0" w:firstLineChars="0"/>
        <w:rPr>
          <w:rFonts w:hint="default"/>
          <w:lang w:val="en-US" w:eastAsia="zh-CN"/>
        </w:rPr>
        <w:sectPr>
          <w:pgSz w:w="11906" w:h="16838"/>
          <w:pgMar w:top="1417" w:right="1417" w:bottom="1417" w:left="1417" w:header="851" w:footer="567" w:gutter="0"/>
          <w:pgNumType w:fmt="decimal"/>
          <w:cols w:space="425" w:num="1"/>
          <w:docGrid w:type="lines" w:linePitch="312" w:charSpace="0"/>
        </w:sectPr>
      </w:pPr>
    </w:p>
    <w:p>
      <w:pPr>
        <w:pStyle w:val="4"/>
        <w:bidi w:val="0"/>
        <w:rPr>
          <w:rFonts w:hint="default"/>
          <w:color w:val="auto"/>
          <w:lang w:val="en-US" w:eastAsia="zh-CN"/>
        </w:rPr>
      </w:pPr>
      <w:bookmarkStart w:id="9" w:name="_Toc32486"/>
      <w:r>
        <w:rPr>
          <w:rFonts w:hint="eastAsia"/>
          <w:color w:val="auto"/>
          <w:lang w:val="en-US" w:eastAsia="zh-CN"/>
        </w:rPr>
        <w:t>六、生态环境保护措施监督检查清单</w:t>
      </w:r>
      <w:bookmarkEnd w:id="9"/>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8"/>
        <w:gridCol w:w="2412"/>
        <w:gridCol w:w="1217"/>
        <w:gridCol w:w="2117"/>
        <w:gridCol w:w="20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1448" w:type="dxa"/>
            <w:vMerge w:val="restart"/>
            <w:vAlign w:val="center"/>
            <mc:AlternateContent>
              <mc:Choice Requires="wpsCustomData">
                <wpsCustomData:diagonals>
                  <wpsCustomData:diagonal from="10000" to="30000">
                    <wpsCustomData:border w:val="single" w:color="auto" w:sz="4" w:space="0"/>
                  </wpsCustomData:diagonal>
                </wpsCustomData:diagonals>
              </mc:Choice>
            </mc:AlternateConten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lang w:val="en-US" w:eastAsia="zh-CN"/>
              </w:rPr>
            </w:pP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mc:AlternateContent>
                <mc:Choice Requires="wpsCustomData">
                  <wpsCustomData:diagonalParaType/>
                </mc:Choice>
              </mc:AlternateConten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要素</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内容</w:t>
            </w:r>
          </w:p>
        </w:tc>
        <w:tc>
          <w:tcPr>
            <w:tcW w:w="3629"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施工期</w:t>
            </w:r>
          </w:p>
        </w:tc>
        <w:tc>
          <w:tcPr>
            <w:tcW w:w="4211"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运营期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4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p>
        </w:tc>
        <w:tc>
          <w:tcPr>
            <w:tcW w:w="241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环境保护措施</w:t>
            </w:r>
          </w:p>
        </w:tc>
        <w:tc>
          <w:tcPr>
            <w:tcW w:w="12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验收要求</w:t>
            </w:r>
          </w:p>
        </w:tc>
        <w:tc>
          <w:tcPr>
            <w:tcW w:w="21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环境保护措施</w:t>
            </w:r>
          </w:p>
        </w:tc>
        <w:tc>
          <w:tcPr>
            <w:tcW w:w="209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验收要求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4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陆生生态</w:t>
            </w:r>
          </w:p>
        </w:tc>
        <w:tc>
          <w:tcPr>
            <w:tcW w:w="2412" w:type="dxa"/>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合理布置施工，减少施工中占压或损坏草皮树木；施工期间过程中设立防护网定期洒水防治；施工期间应剥离表土，表土临时堆放，施工结束后进行绿化覆盖</w:t>
            </w:r>
          </w:p>
        </w:tc>
        <w:tc>
          <w:tcPr>
            <w:tcW w:w="12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施工结束后清理平整场地</w:t>
            </w:r>
            <w:r>
              <w:rPr>
                <w:rFonts w:hint="eastAsia" w:cs="Times New Roman"/>
                <w:color w:val="auto"/>
                <w:lang w:val="en-US" w:eastAsia="zh-CN"/>
              </w:rPr>
              <w:t>并进行绿化覆盖</w:t>
            </w:r>
          </w:p>
        </w:tc>
        <w:tc>
          <w:tcPr>
            <w:tcW w:w="21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做好植被恢复措施</w:t>
            </w:r>
          </w:p>
        </w:tc>
        <w:tc>
          <w:tcPr>
            <w:tcW w:w="209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落实相关措施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4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水生生态</w:t>
            </w:r>
          </w:p>
        </w:tc>
        <w:tc>
          <w:tcPr>
            <w:tcW w:w="2412" w:type="dxa"/>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施工过程中尽量减少运行动力机械设备的数量，尽可能使动力机械设备均匀使用</w:t>
            </w:r>
          </w:p>
        </w:tc>
        <w:tc>
          <w:tcPr>
            <w:tcW w:w="12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落实相关措施</w:t>
            </w:r>
          </w:p>
        </w:tc>
        <w:tc>
          <w:tcPr>
            <w:tcW w:w="21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w:t>
            </w:r>
          </w:p>
        </w:tc>
        <w:tc>
          <w:tcPr>
            <w:tcW w:w="209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5" w:hRule="atLeast"/>
          <w:jc w:val="center"/>
        </w:trPr>
        <w:tc>
          <w:tcPr>
            <w:tcW w:w="144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地表水环境</w:t>
            </w:r>
          </w:p>
        </w:tc>
        <w:tc>
          <w:tcPr>
            <w:tcW w:w="241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生活污水经化粪池与处理后用作农肥；施工废水经隔油沉淀后回用于施工</w:t>
            </w:r>
          </w:p>
        </w:tc>
        <w:tc>
          <w:tcPr>
            <w:tcW w:w="12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落实相关措施，对周围水环境无影响</w:t>
            </w:r>
          </w:p>
        </w:tc>
        <w:tc>
          <w:tcPr>
            <w:tcW w:w="2117" w:type="dxa"/>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员工食堂废水、主题餐厅废水经</w:t>
            </w:r>
            <w:r>
              <w:rPr>
                <w:rFonts w:hint="eastAsia" w:cs="Times New Roman"/>
                <w:color w:val="auto"/>
                <w:lang w:val="en-US" w:eastAsia="zh-CN"/>
              </w:rPr>
              <w:t>隔油沉淀</w:t>
            </w:r>
            <w:r>
              <w:rPr>
                <w:rFonts w:hint="default" w:ascii="Times New Roman" w:hAnsi="Times New Roman" w:eastAsia="宋体" w:cs="Times New Roman"/>
                <w:color w:val="auto"/>
                <w:lang w:val="en-US" w:eastAsia="zh-CN"/>
              </w:rPr>
              <w:t>后，与员工生活污水、游客淋浴废水、公厕废水</w:t>
            </w:r>
            <w:r>
              <w:rPr>
                <w:rFonts w:hint="eastAsia" w:cs="Times New Roman"/>
                <w:color w:val="auto"/>
                <w:lang w:val="en-US" w:eastAsia="zh-CN"/>
              </w:rPr>
              <w:t>、水池娱乐废水</w:t>
            </w:r>
            <w:r>
              <w:rPr>
                <w:rFonts w:hint="default" w:ascii="Times New Roman" w:hAnsi="Times New Roman" w:eastAsia="宋体" w:cs="Times New Roman"/>
                <w:color w:val="auto"/>
                <w:lang w:val="en-US" w:eastAsia="zh-CN"/>
              </w:rPr>
              <w:t>一起进入化粪池，经化粪池处理达标后，通过市政污水管网排入松木生活污水处理厂</w:t>
            </w:r>
          </w:p>
        </w:tc>
        <w:tc>
          <w:tcPr>
            <w:tcW w:w="209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满足《污水综合排放标准》（GB8978-1996）表4中三级标准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4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地下水及土壤环境</w:t>
            </w:r>
          </w:p>
        </w:tc>
        <w:tc>
          <w:tcPr>
            <w:tcW w:w="241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12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21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209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4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声环境</w:t>
            </w:r>
          </w:p>
        </w:tc>
        <w:tc>
          <w:tcPr>
            <w:tcW w:w="241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合理安排施工计划和施工机械设备组合以及施工时间；尽量减少运行动力机械设备的数量，尽可能使动力机械设备均匀使用</w:t>
            </w:r>
          </w:p>
        </w:tc>
        <w:tc>
          <w:tcPr>
            <w:tcW w:w="1217" w:type="dxa"/>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bCs/>
                <w:color w:val="auto"/>
                <w:lang w:val="en-US" w:eastAsia="zh-CN"/>
              </w:rPr>
            </w:pPr>
            <w:r>
              <w:rPr>
                <w:rFonts w:hint="eastAsia" w:cs="Times New Roman"/>
                <w:color w:val="auto"/>
                <w:lang w:val="en-US" w:eastAsia="zh-CN"/>
              </w:rPr>
              <w:t>满足</w:t>
            </w:r>
            <w:r>
              <w:rPr>
                <w:rFonts w:hint="default" w:ascii="Times New Roman" w:hAnsi="Times New Roman" w:eastAsia="宋体" w:cs="Times New Roman"/>
                <w:color w:val="auto"/>
              </w:rPr>
              <w:t>《建筑施工场界环境噪声排放标准》（GB12523-2011）</w:t>
            </w:r>
          </w:p>
        </w:tc>
        <w:tc>
          <w:tcPr>
            <w:tcW w:w="21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设备采取减振措施；合理规划车流方向，车辆限速，禁止车辆鸣笛</w:t>
            </w:r>
          </w:p>
        </w:tc>
        <w:tc>
          <w:tcPr>
            <w:tcW w:w="209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满足《社会生活环境噪声排放标准》（GB22337-2008）2类标准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4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振动</w:t>
            </w:r>
          </w:p>
        </w:tc>
        <w:tc>
          <w:tcPr>
            <w:tcW w:w="241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12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21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209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4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大气环境</w:t>
            </w:r>
          </w:p>
        </w:tc>
        <w:tc>
          <w:tcPr>
            <w:tcW w:w="241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工地周围设置高度不低于1.8米的围挡；</w:t>
            </w:r>
            <w:r>
              <w:rPr>
                <w:rFonts w:hint="eastAsia"/>
                <w:color w:val="auto"/>
                <w:lang w:val="en-US" w:eastAsia="zh-CN"/>
              </w:rPr>
              <w:t>施工区洒水除尘，道路及时清扫；施工机械及运输车辆定期检修与保养；装修使用绿色原料并加强通风</w:t>
            </w:r>
          </w:p>
        </w:tc>
        <w:tc>
          <w:tcPr>
            <w:tcW w:w="12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满足</w:t>
            </w:r>
            <w:r>
              <w:rPr>
                <w:rFonts w:hint="default" w:ascii="Times New Roman" w:hAnsi="Times New Roman" w:eastAsia="宋体" w:cs="Times New Roman"/>
                <w:color w:val="auto"/>
                <w:lang w:val="en-US" w:eastAsia="zh-CN"/>
              </w:rPr>
              <w:t>《大气污染物综合排放标准》（GB16297-1996）</w:t>
            </w:r>
            <w:r>
              <w:rPr>
                <w:rFonts w:hint="eastAsia" w:cs="Times New Roman"/>
                <w:color w:val="auto"/>
                <w:lang w:val="en-US" w:eastAsia="zh-CN"/>
              </w:rPr>
              <w:t>表2中无组织排放监控浓度限值</w:t>
            </w:r>
          </w:p>
        </w:tc>
        <w:tc>
          <w:tcPr>
            <w:tcW w:w="21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食堂油烟和餐厅油烟通过油烟净化器处理后排放；备用发电机燃烧废气通过管道引至高空排放；车辆尾气采取自然通风；公厕恶臭加强管理，</w:t>
            </w:r>
            <w:r>
              <w:rPr>
                <w:rFonts w:hint="eastAsia"/>
                <w:color w:val="auto"/>
                <w:lang w:val="en-US" w:eastAsia="zh-CN"/>
              </w:rPr>
              <w:t>勤清洁</w:t>
            </w:r>
          </w:p>
        </w:tc>
        <w:tc>
          <w:tcPr>
            <w:tcW w:w="209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食堂油烟和餐厅油烟满足《饮食业油烟排放标准（试行）》（GB18483-2001）“大型”标准；公厕恶臭满足《恶臭污染物排放标准》（GB14554-93）表1标准；备用发电机燃烧废气满足</w:t>
            </w:r>
            <w:r>
              <w:rPr>
                <w:rFonts w:hint="default" w:ascii="Times New Roman" w:hAnsi="Times New Roman" w:eastAsia="宋体" w:cs="Times New Roman"/>
                <w:color w:val="auto"/>
                <w:lang w:val="en-US" w:eastAsia="zh-CN"/>
              </w:rPr>
              <w:t>《大气污染物综合排放标准》（GB16297-1996）</w:t>
            </w:r>
            <w:r>
              <w:rPr>
                <w:rFonts w:hint="eastAsia" w:cs="Times New Roman"/>
                <w:color w:val="auto"/>
                <w:lang w:val="en-US" w:eastAsia="zh-CN"/>
              </w:rPr>
              <w:t>表2中无组织排放监控浓度限值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4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固体废物</w:t>
            </w:r>
          </w:p>
        </w:tc>
        <w:tc>
          <w:tcPr>
            <w:tcW w:w="241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产生的建筑垃圾和施工人员的生活垃圾统一交给环卫部门清运处理</w:t>
            </w:r>
          </w:p>
        </w:tc>
        <w:tc>
          <w:tcPr>
            <w:tcW w:w="12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全部固废合理处置，无乱丢乱弃</w:t>
            </w:r>
            <w:r>
              <w:rPr>
                <w:rFonts w:hint="eastAsia" w:cs="Times New Roman"/>
                <w:color w:val="auto"/>
                <w:lang w:val="en-US" w:eastAsia="zh-CN"/>
              </w:rPr>
              <w:t>，保证项目周边良好卫生环境</w:t>
            </w:r>
          </w:p>
        </w:tc>
        <w:tc>
          <w:tcPr>
            <w:tcW w:w="21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生活垃圾和毛发过滤器收集的毛发经收集后由环卫部门统一清运</w:t>
            </w:r>
          </w:p>
        </w:tc>
        <w:tc>
          <w:tcPr>
            <w:tcW w:w="209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满足《生活垃圾填埋污染控制标准》（GB16889-2008）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4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电磁环境</w:t>
            </w:r>
          </w:p>
        </w:tc>
        <w:tc>
          <w:tcPr>
            <w:tcW w:w="241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12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21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209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4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环境风险</w:t>
            </w:r>
          </w:p>
        </w:tc>
        <w:tc>
          <w:tcPr>
            <w:tcW w:w="241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w:t>
            </w:r>
          </w:p>
        </w:tc>
        <w:tc>
          <w:tcPr>
            <w:tcW w:w="12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olor w:val="auto"/>
                <w:lang w:val="en-US" w:eastAsia="zh-CN"/>
              </w:rPr>
              <w:t>施工期未发生机油渗漏、水土流失情况等环境风险事故</w:t>
            </w:r>
          </w:p>
        </w:tc>
        <w:tc>
          <w:tcPr>
            <w:tcW w:w="21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加强对员工的培训；柴油、润滑油、次氯酸钠单独存放于仓库，加强管理</w:t>
            </w:r>
          </w:p>
        </w:tc>
        <w:tc>
          <w:tcPr>
            <w:tcW w:w="209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4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环境监测</w:t>
            </w:r>
          </w:p>
        </w:tc>
        <w:tc>
          <w:tcPr>
            <w:tcW w:w="241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w:t>
            </w:r>
          </w:p>
        </w:tc>
        <w:tc>
          <w:tcPr>
            <w:tcW w:w="12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w:t>
            </w:r>
          </w:p>
        </w:tc>
        <w:tc>
          <w:tcPr>
            <w:tcW w:w="21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olor w:val="auto"/>
                <w:lang w:val="en-US" w:eastAsia="zh-CN"/>
              </w:rPr>
              <w:t>水环境、大气环境、声环境监测</w:t>
            </w:r>
          </w:p>
        </w:tc>
        <w:tc>
          <w:tcPr>
            <w:tcW w:w="209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满足相应标准要求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4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其他</w:t>
            </w:r>
          </w:p>
        </w:tc>
        <w:tc>
          <w:tcPr>
            <w:tcW w:w="241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12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21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定期做好自行污染源监测</w:t>
            </w:r>
          </w:p>
        </w:tc>
        <w:tc>
          <w:tcPr>
            <w:tcW w:w="209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r>
    </w:tbl>
    <w:p>
      <w:pPr>
        <w:ind w:left="0" w:leftChars="0" w:firstLine="0" w:firstLineChars="0"/>
        <w:jc w:val="both"/>
        <w:rPr>
          <w:rFonts w:hint="default"/>
          <w:lang w:val="en-US" w:eastAsia="zh-CN"/>
        </w:rPr>
        <w:sectPr>
          <w:pgSz w:w="11906" w:h="16838"/>
          <w:pgMar w:top="1417" w:right="1417" w:bottom="1417" w:left="1417" w:header="851" w:footer="567" w:gutter="0"/>
          <w:pgNumType w:fmt="decimal"/>
          <w:cols w:space="425" w:num="1"/>
          <w:docGrid w:type="lines" w:linePitch="312" w:charSpace="0"/>
        </w:sectPr>
      </w:pPr>
    </w:p>
    <w:p>
      <w:pPr>
        <w:pStyle w:val="4"/>
        <w:bidi w:val="0"/>
        <w:rPr>
          <w:rFonts w:hint="default"/>
          <w:lang w:val="en-US" w:eastAsia="zh-CN"/>
        </w:rPr>
      </w:pPr>
      <w:bookmarkStart w:id="10" w:name="_Toc20215"/>
      <w:r>
        <w:rPr>
          <w:rFonts w:hint="eastAsia"/>
          <w:lang w:val="en-US" w:eastAsia="zh-CN"/>
        </w:rPr>
        <w:t>七、结论</w:t>
      </w:r>
      <w:bookmarkEnd w:id="10"/>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07" w:hRule="atLeast"/>
        </w:trPr>
        <w:tc>
          <w:tcPr>
            <w:tcW w:w="9288" w:type="dxa"/>
            <w:vAlign w:val="top"/>
          </w:tcPr>
          <w:p>
            <w:pPr>
              <w:bidi w:val="0"/>
              <w:jc w:val="both"/>
              <w:rPr>
                <w:rFonts w:hint="default"/>
                <w:vertAlign w:val="baseline"/>
                <w:lang w:val="en-US" w:eastAsia="zh-CN"/>
              </w:rPr>
            </w:pPr>
            <w:r>
              <w:rPr>
                <w:rFonts w:hint="eastAsia"/>
                <w:lang w:val="en-US" w:eastAsia="zh-CN"/>
              </w:rPr>
              <w:t>综上所述，本项目符合国家的产业政策和相关规划，选址合理。项目所在区域质量现状良好，在落实本评价提出的各项生态环境保护措施以及水保方案提出的水土保持措施的前提下，项目对周边环境影响不大，环境风险可防可控。从环境保护的角度分析，本项目建设是可行的。</w:t>
            </w:r>
          </w:p>
        </w:tc>
      </w:tr>
    </w:tbl>
    <w:p>
      <w:pPr>
        <w:ind w:left="0" w:leftChars="0" w:firstLine="0" w:firstLineChars="0"/>
        <w:rPr>
          <w:rFonts w:hint="default"/>
          <w:lang w:val="en-US" w:eastAsia="zh-CN"/>
        </w:rPr>
        <w:sectPr>
          <w:pgSz w:w="11906" w:h="16838"/>
          <w:pgMar w:top="1417" w:right="1417" w:bottom="1417" w:left="1417" w:header="851" w:footer="567" w:gutter="0"/>
          <w:pgNumType w:fmt="decimal"/>
          <w:cols w:space="425" w:num="1"/>
          <w:docGrid w:type="lines" w:linePitch="312" w:charSpace="0"/>
        </w:sectPr>
      </w:pPr>
    </w:p>
    <w:p>
      <w:pPr>
        <w:spacing w:line="240" w:lineRule="auto"/>
        <w:ind w:left="0" w:leftChars="0" w:firstLine="0" w:firstLineChars="0"/>
        <w:jc w:val="center"/>
        <w:rPr>
          <w:rFonts w:hint="default"/>
          <w:lang w:val="en-US" w:eastAsia="zh-CN"/>
        </w:rPr>
      </w:pPr>
      <w:r>
        <w:rPr>
          <w:rFonts w:hint="default"/>
          <w:lang w:val="en-US" w:eastAsia="zh-CN"/>
        </w:rPr>
        <w:drawing>
          <wp:inline distT="0" distB="0" distL="114300" distR="114300">
            <wp:extent cx="8884285" cy="5094605"/>
            <wp:effectExtent l="9525" t="9525" r="21590" b="20320"/>
            <wp:docPr id="16" name="图片 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
                    <pic:cNvPicPr>
                      <a:picLocks noChangeAspect="1"/>
                    </pic:cNvPicPr>
                  </pic:nvPicPr>
                  <pic:blipFill>
                    <a:blip r:embed="rId64"/>
                    <a:stretch>
                      <a:fillRect/>
                    </a:stretch>
                  </pic:blipFill>
                  <pic:spPr>
                    <a:xfrm>
                      <a:off x="0" y="0"/>
                      <a:ext cx="8884285" cy="5094605"/>
                    </a:xfrm>
                    <a:prstGeom prst="rect">
                      <a:avLst/>
                    </a:prstGeom>
                    <a:ln>
                      <a:solidFill>
                        <a:schemeClr val="tx1"/>
                      </a:solidFill>
                    </a:ln>
                  </pic:spPr>
                </pic:pic>
              </a:graphicData>
            </a:graphic>
          </wp:inline>
        </w:drawing>
      </w:r>
    </w:p>
    <w:p>
      <w:pPr>
        <w:pStyle w:val="21"/>
        <w:bidi w:val="0"/>
        <w:jc w:val="center"/>
        <w:rPr>
          <w:rFonts w:hint="eastAsia"/>
          <w:b/>
          <w:bCs w:val="0"/>
          <w:lang w:val="en-US" w:eastAsia="zh-CN"/>
        </w:rPr>
      </w:pPr>
      <w:bookmarkStart w:id="11" w:name="_Toc16342"/>
      <w:r>
        <w:rPr>
          <w:rFonts w:hint="eastAsia"/>
          <w:lang w:val="en-US" w:eastAsia="zh-CN"/>
        </w:rPr>
        <w:t>附图1 建设项目地理位置图</w:t>
      </w:r>
      <w:bookmarkEnd w:id="11"/>
    </w:p>
    <w:p>
      <w:pPr>
        <w:ind w:left="0" w:leftChars="0" w:firstLine="0" w:firstLineChars="0"/>
        <w:rPr>
          <w:rFonts w:hint="eastAsia"/>
          <w:b/>
          <w:bCs w:val="0"/>
          <w:lang w:val="en-US" w:eastAsia="zh-CN"/>
        </w:rPr>
        <w:sectPr>
          <w:pgSz w:w="16838" w:h="11906" w:orient="landscape"/>
          <w:pgMar w:top="1417" w:right="1417" w:bottom="1417" w:left="1417" w:header="851" w:footer="567" w:gutter="0"/>
          <w:pgNumType w:fmt="decimal"/>
          <w:cols w:space="425" w:num="1"/>
          <w:docGrid w:type="lines" w:linePitch="312" w:charSpace="0"/>
        </w:sectPr>
      </w:pPr>
    </w:p>
    <w:p>
      <w:pPr>
        <w:ind w:left="0" w:leftChars="0" w:firstLine="0" w:firstLineChars="0"/>
        <w:jc w:val="center"/>
        <w:rPr>
          <w:rFonts w:hint="eastAsia" w:eastAsia="宋体"/>
          <w:lang w:eastAsia="zh-CN"/>
        </w:rPr>
      </w:pPr>
      <w:r>
        <w:rPr>
          <w:rFonts w:hint="eastAsia" w:eastAsia="宋体"/>
          <w:lang w:eastAsia="zh-CN"/>
        </w:rPr>
        <w:drawing>
          <wp:inline distT="0" distB="0" distL="114300" distR="114300">
            <wp:extent cx="8211185" cy="5409565"/>
            <wp:effectExtent l="0" t="0" r="18415" b="635"/>
            <wp:docPr id="27" name="图片 27" descr="水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水系"/>
                    <pic:cNvPicPr>
                      <a:picLocks noChangeAspect="1"/>
                    </pic:cNvPicPr>
                  </pic:nvPicPr>
                  <pic:blipFill>
                    <a:blip r:embed="rId65"/>
                    <a:stretch>
                      <a:fillRect/>
                    </a:stretch>
                  </pic:blipFill>
                  <pic:spPr>
                    <a:xfrm>
                      <a:off x="0" y="0"/>
                      <a:ext cx="8211185" cy="5409565"/>
                    </a:xfrm>
                    <a:prstGeom prst="rect">
                      <a:avLst/>
                    </a:prstGeom>
                  </pic:spPr>
                </pic:pic>
              </a:graphicData>
            </a:graphic>
          </wp:inline>
        </w:drawing>
      </w:r>
    </w:p>
    <w:p>
      <w:pPr>
        <w:pStyle w:val="21"/>
        <w:bidi w:val="0"/>
        <w:jc w:val="center"/>
        <w:rPr>
          <w:rFonts w:hint="eastAsia"/>
          <w:lang w:val="en-US" w:eastAsia="zh-CN"/>
        </w:rPr>
      </w:pPr>
      <w:bookmarkStart w:id="12" w:name="_Toc12657"/>
      <w:r>
        <w:rPr>
          <w:rFonts w:hint="eastAsia"/>
          <w:lang w:val="en-US" w:eastAsia="zh-CN"/>
        </w:rPr>
        <w:t>附图2 项目所在流域水系图</w:t>
      </w:r>
      <w:bookmarkEnd w:id="12"/>
    </w:p>
    <w:p>
      <w:pPr>
        <w:ind w:left="0" w:leftChars="0" w:firstLine="0" w:firstLineChars="0"/>
        <w:rPr>
          <w:rFonts w:hint="eastAsia"/>
          <w:lang w:val="en-US" w:eastAsia="zh-CN"/>
        </w:rPr>
        <w:sectPr>
          <w:pgSz w:w="16838" w:h="11906" w:orient="landscape"/>
          <w:pgMar w:top="1417" w:right="1417" w:bottom="1417" w:left="1417" w:header="851" w:footer="567" w:gutter="0"/>
          <w:pgNumType w:fmt="decimal"/>
          <w:cols w:space="425" w:num="1"/>
          <w:docGrid w:type="lines" w:linePitch="312" w:charSpace="0"/>
        </w:sectPr>
      </w:pPr>
    </w:p>
    <w:p>
      <w:pPr>
        <w:ind w:left="0" w:leftChars="0" w:firstLine="0" w:firstLineChars="0"/>
        <w:jc w:val="center"/>
        <w:rPr>
          <w:rFonts w:hint="eastAsia"/>
          <w:lang w:val="en-US" w:eastAsia="zh-CN"/>
        </w:rPr>
      </w:pPr>
      <w:r>
        <w:rPr>
          <w:rFonts w:hint="eastAsia"/>
          <w:lang w:val="en-US" w:eastAsia="zh-CN"/>
        </w:rPr>
        <w:drawing>
          <wp:inline distT="0" distB="0" distL="114300" distR="114300">
            <wp:extent cx="6490970" cy="5403215"/>
            <wp:effectExtent l="0" t="0" r="5080" b="6985"/>
            <wp:docPr id="17" name="图片 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
                    <pic:cNvPicPr>
                      <a:picLocks noChangeAspect="1"/>
                    </pic:cNvPicPr>
                  </pic:nvPicPr>
                  <pic:blipFill>
                    <a:blip r:embed="rId66"/>
                    <a:stretch>
                      <a:fillRect/>
                    </a:stretch>
                  </pic:blipFill>
                  <pic:spPr>
                    <a:xfrm>
                      <a:off x="0" y="0"/>
                      <a:ext cx="6490970" cy="5403215"/>
                    </a:xfrm>
                    <a:prstGeom prst="rect">
                      <a:avLst/>
                    </a:prstGeom>
                    <a:ln>
                      <a:noFill/>
                    </a:ln>
                  </pic:spPr>
                </pic:pic>
              </a:graphicData>
            </a:graphic>
          </wp:inline>
        </w:drawing>
      </w:r>
    </w:p>
    <w:p>
      <w:pPr>
        <w:pStyle w:val="21"/>
        <w:bidi w:val="0"/>
        <w:jc w:val="center"/>
        <w:rPr>
          <w:rFonts w:hint="eastAsia"/>
          <w:lang w:val="en-US" w:eastAsia="zh-CN"/>
        </w:rPr>
      </w:pPr>
      <w:bookmarkStart w:id="13" w:name="_Toc6571"/>
      <w:r>
        <w:rPr>
          <w:rFonts w:hint="eastAsia"/>
          <w:lang w:val="en-US" w:eastAsia="zh-CN"/>
        </w:rPr>
        <w:t>附图3 衡阳市环境管控单元图</w:t>
      </w:r>
      <w:bookmarkEnd w:id="13"/>
    </w:p>
    <w:p>
      <w:pPr>
        <w:ind w:left="0" w:leftChars="0" w:firstLine="0" w:firstLineChars="0"/>
        <w:rPr>
          <w:rFonts w:hint="eastAsia"/>
          <w:sz w:val="28"/>
          <w:szCs w:val="28"/>
          <w:lang w:val="en-US" w:eastAsia="zh-CN"/>
        </w:rPr>
        <w:sectPr>
          <w:pgSz w:w="16838" w:h="11906" w:orient="landscape"/>
          <w:pgMar w:top="1417" w:right="1417" w:bottom="1417" w:left="1417" w:header="851" w:footer="567" w:gutter="0"/>
          <w:pgNumType w:fmt="decimal"/>
          <w:cols w:space="425" w:num="1"/>
          <w:docGrid w:type="lines" w:linePitch="312" w:charSpace="0"/>
        </w:sectPr>
      </w:pPr>
    </w:p>
    <w:p>
      <w:pPr>
        <w:bidi w:val="0"/>
        <w:ind w:left="0" w:leftChars="0" w:firstLine="0" w:firstLineChars="0"/>
      </w:pPr>
      <w:r>
        <w:drawing>
          <wp:inline distT="0" distB="0" distL="114300" distR="114300">
            <wp:extent cx="5756275" cy="7359650"/>
            <wp:effectExtent l="0" t="0" r="15875" b="12700"/>
            <wp:docPr id="3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6"/>
                    <pic:cNvPicPr>
                      <a:picLocks noChangeAspect="1"/>
                    </pic:cNvPicPr>
                  </pic:nvPicPr>
                  <pic:blipFill>
                    <a:blip r:embed="rId67"/>
                    <a:stretch>
                      <a:fillRect/>
                    </a:stretch>
                  </pic:blipFill>
                  <pic:spPr>
                    <a:xfrm>
                      <a:off x="0" y="0"/>
                      <a:ext cx="5756275" cy="7359650"/>
                    </a:xfrm>
                    <a:prstGeom prst="rect">
                      <a:avLst/>
                    </a:prstGeom>
                    <a:noFill/>
                    <a:ln>
                      <a:noFill/>
                    </a:ln>
                  </pic:spPr>
                </pic:pic>
              </a:graphicData>
            </a:graphic>
          </wp:inline>
        </w:drawing>
      </w:r>
    </w:p>
    <w:p>
      <w:pPr>
        <w:pStyle w:val="21"/>
        <w:bidi w:val="0"/>
        <w:jc w:val="center"/>
        <w:rPr>
          <w:rFonts w:hint="eastAsia"/>
          <w:color w:val="auto"/>
          <w:lang w:val="en-US" w:eastAsia="zh-CN"/>
        </w:rPr>
        <w:sectPr>
          <w:pgSz w:w="11906" w:h="16838"/>
          <w:pgMar w:top="1417" w:right="1417" w:bottom="1417" w:left="1417" w:header="851" w:footer="567" w:gutter="0"/>
          <w:pgNumType w:fmt="decimal"/>
          <w:cols w:space="425" w:num="1"/>
          <w:docGrid w:type="lines" w:linePitch="312" w:charSpace="0"/>
        </w:sectPr>
      </w:pPr>
      <w:bookmarkStart w:id="14" w:name="_Toc19658"/>
      <w:r>
        <w:rPr>
          <w:rFonts w:hint="eastAsia"/>
          <w:color w:val="auto"/>
          <w:lang w:val="en-US" w:eastAsia="zh-CN"/>
        </w:rPr>
        <w:t>附图4 石鼓区土地利用现状图</w:t>
      </w:r>
      <w:bookmarkEnd w:id="14"/>
    </w:p>
    <w:p>
      <w:pPr>
        <w:bidi w:val="0"/>
        <w:ind w:left="0" w:leftChars="0" w:firstLine="0" w:firstLineChars="0"/>
        <w:jc w:val="center"/>
        <w:rPr>
          <w:rFonts w:hint="eastAsia"/>
          <w:lang w:val="en-US" w:eastAsia="zh-CN"/>
        </w:rPr>
      </w:pPr>
      <w:r>
        <w:rPr>
          <w:rFonts w:hint="eastAsia"/>
          <w:lang w:val="en-US" w:eastAsia="zh-CN"/>
        </w:rPr>
        <w:drawing>
          <wp:inline distT="0" distB="0" distL="114300" distR="114300">
            <wp:extent cx="6127115" cy="5374640"/>
            <wp:effectExtent l="9525" t="9525" r="16510" b="26035"/>
            <wp:docPr id="15" name="图片 15" descr="石鼓区植被现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石鼓区植被现状图"/>
                    <pic:cNvPicPr>
                      <a:picLocks noChangeAspect="1"/>
                    </pic:cNvPicPr>
                  </pic:nvPicPr>
                  <pic:blipFill>
                    <a:blip r:embed="rId68"/>
                    <a:stretch>
                      <a:fillRect/>
                    </a:stretch>
                  </pic:blipFill>
                  <pic:spPr>
                    <a:xfrm>
                      <a:off x="0" y="0"/>
                      <a:ext cx="6127115" cy="5374640"/>
                    </a:xfrm>
                    <a:prstGeom prst="rect">
                      <a:avLst/>
                    </a:prstGeom>
                    <a:ln>
                      <a:solidFill>
                        <a:schemeClr val="tx1"/>
                      </a:solidFill>
                    </a:ln>
                  </pic:spPr>
                </pic:pic>
              </a:graphicData>
            </a:graphic>
          </wp:inline>
        </w:drawing>
      </w:r>
    </w:p>
    <w:p>
      <w:pPr>
        <w:pStyle w:val="21"/>
        <w:bidi w:val="0"/>
        <w:jc w:val="center"/>
        <w:rPr>
          <w:rFonts w:hint="default"/>
          <w:color w:val="auto"/>
          <w:lang w:val="en-US" w:eastAsia="zh-CN"/>
        </w:rPr>
        <w:sectPr>
          <w:pgSz w:w="16838" w:h="11906" w:orient="landscape"/>
          <w:pgMar w:top="1417" w:right="1417" w:bottom="1417" w:left="1417" w:header="851" w:footer="567" w:gutter="0"/>
          <w:pgNumType w:fmt="decimal"/>
          <w:cols w:space="425" w:num="1"/>
          <w:docGrid w:type="lines" w:linePitch="312" w:charSpace="0"/>
        </w:sectPr>
      </w:pPr>
      <w:bookmarkStart w:id="15" w:name="_Toc18232"/>
      <w:r>
        <w:rPr>
          <w:rFonts w:hint="eastAsia"/>
          <w:color w:val="auto"/>
          <w:lang w:val="en-US" w:eastAsia="zh-CN"/>
        </w:rPr>
        <w:t>附图5 石鼓区植被现状图</w:t>
      </w:r>
      <w:bookmarkEnd w:id="15"/>
    </w:p>
    <w:p>
      <w:pPr>
        <w:pStyle w:val="22"/>
        <w:bidi w:val="0"/>
        <w:ind w:left="0" w:leftChars="0" w:firstLine="0" w:firstLineChars="0"/>
        <w:jc w:val="center"/>
        <w:rPr>
          <w:rFonts w:hint="eastAsia"/>
          <w:lang w:val="en-US" w:eastAsia="zh-CN"/>
        </w:rPr>
      </w:pPr>
      <w:r>
        <w:rPr>
          <w:rFonts w:hint="eastAsia"/>
          <w:lang w:val="en-US" w:eastAsia="zh-CN"/>
        </w:rPr>
        <w:drawing>
          <wp:inline distT="0" distB="0" distL="114300" distR="114300">
            <wp:extent cx="7947660" cy="5520690"/>
            <wp:effectExtent l="0" t="0" r="15240" b="3810"/>
            <wp:docPr id="30" name="图片 30" descr="总体规划图(A2彩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总体规划图(A2彩色)"/>
                    <pic:cNvPicPr>
                      <a:picLocks noChangeAspect="1"/>
                    </pic:cNvPicPr>
                  </pic:nvPicPr>
                  <pic:blipFill>
                    <a:blip r:embed="rId69"/>
                    <a:stretch>
                      <a:fillRect/>
                    </a:stretch>
                  </pic:blipFill>
                  <pic:spPr>
                    <a:xfrm>
                      <a:off x="0" y="0"/>
                      <a:ext cx="7947660" cy="5520690"/>
                    </a:xfrm>
                    <a:prstGeom prst="rect">
                      <a:avLst/>
                    </a:prstGeom>
                    <a:ln>
                      <a:noFill/>
                    </a:ln>
                  </pic:spPr>
                </pic:pic>
              </a:graphicData>
            </a:graphic>
          </wp:inline>
        </w:drawing>
      </w:r>
    </w:p>
    <w:p>
      <w:pPr>
        <w:pStyle w:val="21"/>
        <w:bidi w:val="0"/>
        <w:jc w:val="center"/>
        <w:rPr>
          <w:rFonts w:hint="eastAsia"/>
          <w:lang w:val="en-US" w:eastAsia="zh-CN"/>
        </w:rPr>
      </w:pPr>
      <w:bookmarkStart w:id="16" w:name="_Toc22267"/>
      <w:r>
        <w:rPr>
          <w:rFonts w:hint="eastAsia"/>
          <w:lang w:val="en-US" w:eastAsia="zh-CN"/>
        </w:rPr>
        <w:t>附图6 项目总平面布置图</w:t>
      </w:r>
      <w:bookmarkEnd w:id="16"/>
    </w:p>
    <w:p>
      <w:pPr>
        <w:ind w:left="0" w:leftChars="0" w:firstLine="0" w:firstLineChars="0"/>
        <w:rPr>
          <w:rFonts w:hint="eastAsia"/>
          <w:lang w:val="en-US" w:eastAsia="zh-CN"/>
        </w:rPr>
        <w:sectPr>
          <w:pgSz w:w="16838" w:h="11906" w:orient="landscape"/>
          <w:pgMar w:top="1417" w:right="1417" w:bottom="1417" w:left="1417" w:header="851" w:footer="567" w:gutter="0"/>
          <w:pgNumType w:fmt="decimal"/>
          <w:cols w:space="425" w:num="1"/>
          <w:docGrid w:type="lines" w:linePitch="312" w:charSpace="0"/>
        </w:sectPr>
      </w:pPr>
    </w:p>
    <w:p>
      <w:pPr>
        <w:pStyle w:val="22"/>
        <w:bidi w:val="0"/>
        <w:ind w:left="0" w:leftChars="0" w:firstLine="0" w:firstLineChars="0"/>
        <w:jc w:val="center"/>
        <w:rPr>
          <w:rFonts w:hint="eastAsia"/>
          <w:lang w:val="en-US" w:eastAsia="zh-CN"/>
        </w:rPr>
      </w:pPr>
      <w:r>
        <w:rPr>
          <w:rFonts w:hint="eastAsia"/>
          <w:lang w:val="en-US" w:eastAsia="zh-CN"/>
        </w:rPr>
        <w:drawing>
          <wp:inline distT="0" distB="0" distL="114300" distR="114300">
            <wp:extent cx="7625080" cy="5403215"/>
            <wp:effectExtent l="0" t="0" r="13970" b="6985"/>
            <wp:docPr id="3" name="图片 3" descr="施工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施工布置图"/>
                    <pic:cNvPicPr>
                      <a:picLocks noChangeAspect="1"/>
                    </pic:cNvPicPr>
                  </pic:nvPicPr>
                  <pic:blipFill>
                    <a:blip r:embed="rId70"/>
                    <a:stretch>
                      <a:fillRect/>
                    </a:stretch>
                  </pic:blipFill>
                  <pic:spPr>
                    <a:xfrm>
                      <a:off x="0" y="0"/>
                      <a:ext cx="7625080" cy="5403215"/>
                    </a:xfrm>
                    <a:prstGeom prst="rect">
                      <a:avLst/>
                    </a:prstGeom>
                  </pic:spPr>
                </pic:pic>
              </a:graphicData>
            </a:graphic>
          </wp:inline>
        </w:drawing>
      </w:r>
    </w:p>
    <w:p>
      <w:pPr>
        <w:pStyle w:val="21"/>
        <w:bidi w:val="0"/>
        <w:jc w:val="center"/>
        <w:rPr>
          <w:rFonts w:hint="eastAsia"/>
          <w:sz w:val="28"/>
          <w:szCs w:val="28"/>
          <w:lang w:val="en-US" w:eastAsia="zh-CN"/>
        </w:rPr>
      </w:pPr>
      <w:bookmarkStart w:id="17" w:name="_Toc15164"/>
      <w:r>
        <w:rPr>
          <w:rFonts w:hint="eastAsia"/>
          <w:lang w:val="en-US" w:eastAsia="zh-CN"/>
        </w:rPr>
        <w:t>附图7 项目施工总布置图</w:t>
      </w:r>
      <w:bookmarkEnd w:id="17"/>
    </w:p>
    <w:p>
      <w:pPr>
        <w:ind w:left="0" w:leftChars="0" w:firstLine="0" w:firstLineChars="0"/>
        <w:rPr>
          <w:rFonts w:hint="eastAsia"/>
          <w:sz w:val="28"/>
          <w:szCs w:val="28"/>
          <w:lang w:val="en-US" w:eastAsia="zh-CN"/>
        </w:rPr>
        <w:sectPr>
          <w:pgSz w:w="16838" w:h="11906" w:orient="landscape"/>
          <w:pgMar w:top="1417" w:right="1417" w:bottom="1417" w:left="1417" w:header="851" w:footer="567" w:gutter="0"/>
          <w:pgNumType w:fmt="decimal"/>
          <w:cols w:space="425" w:num="1"/>
          <w:docGrid w:type="lines" w:linePitch="312" w:charSpace="0"/>
        </w:sectPr>
      </w:pPr>
    </w:p>
    <w:p>
      <w:pPr>
        <w:ind w:left="0" w:leftChars="0" w:firstLine="0" w:firstLineChars="0"/>
        <w:jc w:val="center"/>
        <w:rPr>
          <w:rFonts w:hint="eastAsia"/>
          <w:sz w:val="28"/>
          <w:szCs w:val="28"/>
          <w:lang w:val="en-US" w:eastAsia="zh-CN"/>
        </w:rPr>
      </w:pPr>
      <w:r>
        <w:rPr>
          <w:rFonts w:hint="eastAsia"/>
          <w:lang w:eastAsia="zh-CN"/>
        </w:rPr>
        <w:drawing>
          <wp:inline distT="0" distB="0" distL="114300" distR="114300">
            <wp:extent cx="8830310" cy="5318760"/>
            <wp:effectExtent l="9525" t="9525" r="18415" b="24765"/>
            <wp:docPr id="28" name="图片 28" descr="50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50米"/>
                    <pic:cNvPicPr>
                      <a:picLocks noChangeAspect="1"/>
                    </pic:cNvPicPr>
                  </pic:nvPicPr>
                  <pic:blipFill>
                    <a:blip r:embed="rId71"/>
                    <a:stretch>
                      <a:fillRect/>
                    </a:stretch>
                  </pic:blipFill>
                  <pic:spPr>
                    <a:xfrm>
                      <a:off x="0" y="0"/>
                      <a:ext cx="8830310" cy="5318760"/>
                    </a:xfrm>
                    <a:prstGeom prst="rect">
                      <a:avLst/>
                    </a:prstGeom>
                    <a:ln>
                      <a:solidFill>
                        <a:schemeClr val="tx1"/>
                      </a:solidFill>
                    </a:ln>
                  </pic:spPr>
                </pic:pic>
              </a:graphicData>
            </a:graphic>
          </wp:inline>
        </w:drawing>
      </w:r>
    </w:p>
    <w:p>
      <w:pPr>
        <w:pStyle w:val="21"/>
        <w:bidi w:val="0"/>
        <w:jc w:val="center"/>
        <w:rPr>
          <w:rFonts w:hint="eastAsia"/>
          <w:lang w:val="en-US" w:eastAsia="zh-CN"/>
        </w:rPr>
      </w:pPr>
      <w:bookmarkStart w:id="18" w:name="_Toc25035"/>
      <w:r>
        <w:rPr>
          <w:rFonts w:hint="eastAsia"/>
          <w:lang w:val="en-US" w:eastAsia="zh-CN"/>
        </w:rPr>
        <w:t>附图8 厂界外50米范围内环境保护目标分布</w:t>
      </w:r>
      <w:r>
        <w:rPr>
          <w:rFonts w:hint="default"/>
          <w:lang w:val="en-US" w:eastAsia="zh-CN"/>
        </w:rPr>
        <w:t>图</w:t>
      </w:r>
      <w:bookmarkEnd w:id="18"/>
    </w:p>
    <w:p>
      <w:pPr>
        <w:ind w:left="0" w:leftChars="0" w:firstLine="0" w:firstLineChars="0"/>
        <w:rPr>
          <w:rFonts w:hint="eastAsia"/>
          <w:sz w:val="28"/>
          <w:szCs w:val="28"/>
          <w:lang w:val="en-US" w:eastAsia="zh-CN"/>
        </w:rPr>
        <w:sectPr>
          <w:pgSz w:w="16838" w:h="11906" w:orient="landscape"/>
          <w:pgMar w:top="1417" w:right="1417" w:bottom="1417" w:left="1417" w:header="851" w:footer="567" w:gutter="0"/>
          <w:pgNumType w:fmt="decimal"/>
          <w:cols w:space="425" w:num="1"/>
          <w:docGrid w:type="lines" w:linePitch="312" w:charSpace="0"/>
        </w:sectPr>
      </w:pPr>
    </w:p>
    <w:p>
      <w:pPr>
        <w:ind w:left="0" w:leftChars="0" w:firstLine="0" w:firstLineChars="0"/>
        <w:jc w:val="center"/>
        <w:rPr>
          <w:rFonts w:hint="default"/>
          <w:lang w:val="en-US" w:eastAsia="zh-CN"/>
        </w:rPr>
      </w:pPr>
      <w:r>
        <w:rPr>
          <w:rFonts w:hint="default"/>
          <w:lang w:val="en-US" w:eastAsia="zh-CN"/>
        </w:rPr>
        <w:drawing>
          <wp:inline distT="0" distB="0" distL="114300" distR="114300">
            <wp:extent cx="8891270" cy="5323205"/>
            <wp:effectExtent l="9525" t="9525" r="14605" b="20320"/>
            <wp:docPr id="24" name="图片 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
                    <pic:cNvPicPr>
                      <a:picLocks noChangeAspect="1"/>
                    </pic:cNvPicPr>
                  </pic:nvPicPr>
                  <pic:blipFill>
                    <a:blip r:embed="rId72"/>
                    <a:stretch>
                      <a:fillRect/>
                    </a:stretch>
                  </pic:blipFill>
                  <pic:spPr>
                    <a:xfrm>
                      <a:off x="0" y="0"/>
                      <a:ext cx="8891270" cy="5323205"/>
                    </a:xfrm>
                    <a:prstGeom prst="rect">
                      <a:avLst/>
                    </a:prstGeom>
                    <a:ln>
                      <a:solidFill>
                        <a:schemeClr val="tx1"/>
                      </a:solidFill>
                    </a:ln>
                  </pic:spPr>
                </pic:pic>
              </a:graphicData>
            </a:graphic>
          </wp:inline>
        </w:drawing>
      </w:r>
    </w:p>
    <w:p>
      <w:pPr>
        <w:pStyle w:val="21"/>
        <w:bidi w:val="0"/>
        <w:jc w:val="center"/>
        <w:rPr>
          <w:rFonts w:hint="eastAsia"/>
          <w:lang w:val="en-US" w:eastAsia="zh-CN"/>
        </w:rPr>
      </w:pPr>
      <w:bookmarkStart w:id="19" w:name="_Toc2653"/>
      <w:r>
        <w:rPr>
          <w:rFonts w:hint="eastAsia"/>
          <w:lang w:val="en-US" w:eastAsia="zh-CN"/>
        </w:rPr>
        <w:t>附图9 厂界外500米范围内环境保护目标分布</w:t>
      </w:r>
      <w:r>
        <w:rPr>
          <w:rFonts w:hint="default"/>
          <w:lang w:val="en-US" w:eastAsia="zh-CN"/>
        </w:rPr>
        <w:t>图</w:t>
      </w:r>
      <w:bookmarkEnd w:id="19"/>
    </w:p>
    <w:p>
      <w:pPr>
        <w:ind w:left="0" w:leftChars="0" w:firstLine="0" w:firstLineChars="0"/>
        <w:jc w:val="center"/>
        <w:rPr>
          <w:rFonts w:hint="eastAsia"/>
          <w:sz w:val="28"/>
          <w:szCs w:val="28"/>
          <w:lang w:val="en-US" w:eastAsia="zh-CN"/>
        </w:rPr>
        <w:sectPr>
          <w:pgSz w:w="16838" w:h="11906" w:orient="landscape"/>
          <w:pgMar w:top="1417" w:right="1417" w:bottom="1417" w:left="1417" w:header="851" w:footer="567" w:gutter="0"/>
          <w:pgNumType w:fmt="decimal"/>
          <w:cols w:space="425" w:num="1"/>
          <w:docGrid w:type="lines" w:linePitch="312" w:charSpace="0"/>
        </w:sectPr>
      </w:pPr>
    </w:p>
    <w:p>
      <w:pPr>
        <w:pStyle w:val="22"/>
        <w:bidi w:val="0"/>
        <w:ind w:left="0" w:leftChars="0" w:firstLine="0" w:firstLineChars="0"/>
        <w:jc w:val="center"/>
        <w:rPr>
          <w:rFonts w:hint="eastAsia"/>
          <w:lang w:val="en-US" w:eastAsia="zh-CN"/>
        </w:rPr>
      </w:pPr>
      <w:r>
        <w:rPr>
          <w:rFonts w:hint="eastAsia"/>
          <w:lang w:val="en-US" w:eastAsia="zh-CN"/>
        </w:rPr>
        <w:drawing>
          <wp:inline distT="0" distB="0" distL="114300" distR="114300">
            <wp:extent cx="7715885" cy="5457190"/>
            <wp:effectExtent l="0" t="0" r="18415" b="10160"/>
            <wp:docPr id="32" name="图片 32" descr="生态环境保护措施平面布置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生态环境保护措施平面布置示意图"/>
                    <pic:cNvPicPr>
                      <a:picLocks noChangeAspect="1"/>
                    </pic:cNvPicPr>
                  </pic:nvPicPr>
                  <pic:blipFill>
                    <a:blip r:embed="rId73"/>
                    <a:stretch>
                      <a:fillRect/>
                    </a:stretch>
                  </pic:blipFill>
                  <pic:spPr>
                    <a:xfrm>
                      <a:off x="0" y="0"/>
                      <a:ext cx="7715885" cy="5457190"/>
                    </a:xfrm>
                    <a:prstGeom prst="rect">
                      <a:avLst/>
                    </a:prstGeom>
                    <a:ln>
                      <a:noFill/>
                    </a:ln>
                  </pic:spPr>
                </pic:pic>
              </a:graphicData>
            </a:graphic>
          </wp:inline>
        </w:drawing>
      </w:r>
    </w:p>
    <w:p>
      <w:pPr>
        <w:pStyle w:val="21"/>
        <w:bidi w:val="0"/>
        <w:jc w:val="center"/>
        <w:rPr>
          <w:rFonts w:hint="eastAsia"/>
          <w:sz w:val="28"/>
          <w:szCs w:val="28"/>
          <w:lang w:val="en-US" w:eastAsia="zh-CN"/>
        </w:rPr>
      </w:pPr>
      <w:bookmarkStart w:id="20" w:name="_Toc14677"/>
      <w:r>
        <w:rPr>
          <w:rFonts w:hint="eastAsia"/>
          <w:lang w:val="en-US" w:eastAsia="zh-CN"/>
        </w:rPr>
        <w:t>附图10 生态环境保护措施平面布置示意图</w:t>
      </w:r>
      <w:bookmarkEnd w:id="20"/>
    </w:p>
    <w:p>
      <w:pPr>
        <w:ind w:left="0" w:leftChars="0" w:firstLine="0" w:firstLineChars="0"/>
        <w:rPr>
          <w:rFonts w:hint="eastAsia"/>
          <w:sz w:val="28"/>
          <w:szCs w:val="28"/>
          <w:lang w:val="en-US" w:eastAsia="zh-CN"/>
        </w:rPr>
        <w:sectPr>
          <w:pgSz w:w="16838" w:h="11906" w:orient="landscape"/>
          <w:pgMar w:top="1417" w:right="1417" w:bottom="1417" w:left="1417" w:header="851" w:footer="567" w:gutter="0"/>
          <w:pgNumType w:fmt="decimal"/>
          <w:cols w:space="425" w:num="1"/>
          <w:docGrid w:type="lines" w:linePitch="312" w:charSpace="0"/>
        </w:sectPr>
      </w:pPr>
    </w:p>
    <w:p>
      <w:pPr>
        <w:ind w:left="0" w:leftChars="0" w:firstLine="0" w:firstLineChars="0"/>
        <w:jc w:val="center"/>
        <w:rPr>
          <w:rFonts w:hint="eastAsia" w:eastAsia="宋体"/>
          <w:lang w:eastAsia="zh-CN"/>
        </w:rPr>
      </w:pPr>
      <w:r>
        <w:rPr>
          <w:rFonts w:hint="eastAsia" w:eastAsia="宋体"/>
          <w:lang w:eastAsia="zh-CN"/>
        </w:rPr>
        <w:drawing>
          <wp:inline distT="0" distB="0" distL="114300" distR="114300">
            <wp:extent cx="8039100" cy="5685790"/>
            <wp:effectExtent l="0" t="0" r="0" b="10160"/>
            <wp:docPr id="40" name="图片 40" descr="附图12：排水沟设计图 Model (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附图12：排水沟设计图 Model (1)_00"/>
                    <pic:cNvPicPr>
                      <a:picLocks noChangeAspect="1"/>
                    </pic:cNvPicPr>
                  </pic:nvPicPr>
                  <pic:blipFill>
                    <a:blip r:embed="rId74"/>
                    <a:stretch>
                      <a:fillRect/>
                    </a:stretch>
                  </pic:blipFill>
                  <pic:spPr>
                    <a:xfrm>
                      <a:off x="0" y="0"/>
                      <a:ext cx="8039100" cy="5685790"/>
                    </a:xfrm>
                    <a:prstGeom prst="rect">
                      <a:avLst/>
                    </a:prstGeom>
                  </pic:spPr>
                </pic:pic>
              </a:graphicData>
            </a:graphic>
          </wp:inline>
        </w:drawing>
      </w:r>
    </w:p>
    <w:p>
      <w:pPr>
        <w:ind w:left="0" w:leftChars="0" w:firstLine="0" w:firstLineChars="0"/>
        <w:jc w:val="center"/>
        <w:rPr>
          <w:rFonts w:hint="eastAsia" w:eastAsia="宋体"/>
          <w:lang w:eastAsia="zh-CN"/>
        </w:rPr>
      </w:pPr>
      <w:r>
        <w:rPr>
          <w:rFonts w:hint="eastAsia" w:eastAsia="宋体"/>
          <w:lang w:eastAsia="zh-CN"/>
        </w:rPr>
        <w:drawing>
          <wp:inline distT="0" distB="0" distL="114300" distR="114300">
            <wp:extent cx="8134350" cy="5753100"/>
            <wp:effectExtent l="0" t="0" r="0" b="0"/>
            <wp:docPr id="45" name="图片 45" descr="附图13：沉砂池设计图 Model (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附图13：沉砂池设计图 Model (1)_00"/>
                    <pic:cNvPicPr>
                      <a:picLocks noChangeAspect="1"/>
                    </pic:cNvPicPr>
                  </pic:nvPicPr>
                  <pic:blipFill>
                    <a:blip r:embed="rId75"/>
                    <a:stretch>
                      <a:fillRect/>
                    </a:stretch>
                  </pic:blipFill>
                  <pic:spPr>
                    <a:xfrm>
                      <a:off x="0" y="0"/>
                      <a:ext cx="8134350" cy="5753100"/>
                    </a:xfrm>
                    <a:prstGeom prst="rect">
                      <a:avLst/>
                    </a:prstGeom>
                  </pic:spPr>
                </pic:pic>
              </a:graphicData>
            </a:graphic>
          </wp:inline>
        </w:drawing>
      </w:r>
      <w:r>
        <w:rPr>
          <w:rFonts w:hint="eastAsia" w:eastAsia="宋体"/>
          <w:lang w:eastAsia="zh-CN"/>
        </w:rPr>
        <w:drawing>
          <wp:inline distT="0" distB="0" distL="114300" distR="114300">
            <wp:extent cx="7780655" cy="5502910"/>
            <wp:effectExtent l="0" t="0" r="10795" b="2540"/>
            <wp:docPr id="44" name="图片 44" descr="附图14：临时堆土设计图 Model (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附图14：临时堆土设计图 Model (1)_00"/>
                    <pic:cNvPicPr>
                      <a:picLocks noChangeAspect="1"/>
                    </pic:cNvPicPr>
                  </pic:nvPicPr>
                  <pic:blipFill>
                    <a:blip r:embed="rId76"/>
                    <a:stretch>
                      <a:fillRect/>
                    </a:stretch>
                  </pic:blipFill>
                  <pic:spPr>
                    <a:xfrm>
                      <a:off x="0" y="0"/>
                      <a:ext cx="7780655" cy="5502910"/>
                    </a:xfrm>
                    <a:prstGeom prst="rect">
                      <a:avLst/>
                    </a:prstGeom>
                  </pic:spPr>
                </pic:pic>
              </a:graphicData>
            </a:graphic>
          </wp:inline>
        </w:drawing>
      </w:r>
    </w:p>
    <w:p>
      <w:pPr>
        <w:pStyle w:val="21"/>
        <w:bidi w:val="0"/>
        <w:jc w:val="center"/>
        <w:rPr>
          <w:rFonts w:hint="eastAsia"/>
          <w:lang w:val="en-US" w:eastAsia="zh-CN"/>
        </w:rPr>
      </w:pPr>
      <w:bookmarkStart w:id="21" w:name="_Toc31251"/>
      <w:r>
        <w:rPr>
          <w:rFonts w:hint="eastAsia"/>
          <w:lang w:val="en-US" w:eastAsia="zh-CN"/>
        </w:rPr>
        <w:t>附图11 生态环境保护典型措施设计图</w:t>
      </w:r>
      <w:bookmarkEnd w:id="21"/>
    </w:p>
    <w:p>
      <w:pPr>
        <w:ind w:left="0" w:leftChars="0" w:firstLine="0" w:firstLineChars="0"/>
        <w:jc w:val="center"/>
        <w:rPr>
          <w:rFonts w:hint="eastAsia"/>
          <w:sz w:val="28"/>
          <w:szCs w:val="28"/>
          <w:lang w:val="en-US" w:eastAsia="zh-CN"/>
        </w:rPr>
        <w:sectPr>
          <w:pgSz w:w="16838" w:h="11906" w:orient="landscape"/>
          <w:pgMar w:top="1417" w:right="1417" w:bottom="1417" w:left="1417" w:header="851" w:footer="567" w:gutter="0"/>
          <w:pgNumType w:fmt="decimal"/>
          <w:cols w:space="425" w:num="1"/>
          <w:docGrid w:type="lines" w:linePitch="312" w:charSpace="0"/>
        </w:sectPr>
      </w:pPr>
    </w:p>
    <w:p>
      <w:pPr>
        <w:pStyle w:val="21"/>
        <w:bidi w:val="0"/>
        <w:spacing w:line="360" w:lineRule="auto"/>
        <w:rPr>
          <w:rFonts w:hint="eastAsia" w:ascii="宋体" w:hAnsi="宋体" w:eastAsia="宋体" w:cs="宋体"/>
          <w:b/>
          <w:bCs/>
          <w:sz w:val="24"/>
          <w:szCs w:val="24"/>
          <w:lang w:val="en-US" w:eastAsia="zh-CN"/>
        </w:rPr>
      </w:pPr>
      <w:bookmarkStart w:id="22" w:name="_Toc21000"/>
      <w:bookmarkStart w:id="23" w:name="_Toc14297"/>
      <w:r>
        <w:rPr>
          <w:rFonts w:hint="eastAsia" w:ascii="宋体" w:hAnsi="宋体" w:eastAsia="宋体" w:cs="宋体"/>
          <w:b/>
          <w:bCs/>
          <w:sz w:val="24"/>
          <w:szCs w:val="24"/>
          <w:lang w:val="en-US" w:eastAsia="zh-CN"/>
        </w:rPr>
        <w:drawing>
          <wp:anchor distT="0" distB="0" distL="114300" distR="114300" simplePos="0" relativeHeight="251661312" behindDoc="0" locked="0" layoutInCell="1" allowOverlap="1">
            <wp:simplePos x="0" y="0"/>
            <wp:positionH relativeFrom="column">
              <wp:posOffset>7886065</wp:posOffset>
            </wp:positionH>
            <wp:positionV relativeFrom="paragraph">
              <wp:posOffset>60960</wp:posOffset>
            </wp:positionV>
            <wp:extent cx="927735" cy="1172845"/>
            <wp:effectExtent l="0" t="0" r="5715" b="8255"/>
            <wp:wrapNone/>
            <wp:docPr id="7" name="图片 311" descr="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11" descr="指北针"/>
                    <pic:cNvPicPr>
                      <a:picLocks noChangeAspect="1"/>
                    </pic:cNvPicPr>
                  </pic:nvPicPr>
                  <pic:blipFill>
                    <a:blip r:embed="rId77"/>
                    <a:stretch>
                      <a:fillRect/>
                    </a:stretch>
                  </pic:blipFill>
                  <pic:spPr>
                    <a:xfrm>
                      <a:off x="0" y="0"/>
                      <a:ext cx="927735" cy="1172845"/>
                    </a:xfrm>
                    <a:prstGeom prst="rect">
                      <a:avLst/>
                    </a:prstGeom>
                    <a:noFill/>
                    <a:ln>
                      <a:noFill/>
                    </a:ln>
                  </pic:spPr>
                </pic:pic>
              </a:graphicData>
            </a:graphic>
          </wp:anchor>
        </w:drawing>
      </w:r>
      <w:r>
        <w:rPr>
          <w:rFonts w:hint="eastAsia" w:ascii="宋体" w:hAnsi="宋体" w:eastAsia="宋体" w:cs="宋体"/>
          <w:b/>
          <w:bCs/>
          <w:sz w:val="24"/>
          <w:szCs w:val="24"/>
          <w:lang w:val="en-US" w:eastAsia="zh-CN"/>
        </w:rPr>
        <w:t>附件</w:t>
      </w:r>
      <w:r>
        <w:rPr>
          <w:rFonts w:hint="default" w:ascii="Times New Roman" w:hAnsi="Times New Roman" w:eastAsia="宋体" w:cs="Times New Roman"/>
          <w:b/>
          <w:bCs/>
          <w:sz w:val="24"/>
          <w:szCs w:val="24"/>
          <w:lang w:val="en-US" w:eastAsia="zh-CN"/>
        </w:rPr>
        <w:t>1</w:t>
      </w:r>
      <w:r>
        <w:rPr>
          <w:rFonts w:hint="eastAsia" w:ascii="宋体" w:hAnsi="宋体" w:eastAsia="宋体" w:cs="宋体"/>
          <w:b/>
          <w:bCs/>
          <w:sz w:val="24"/>
          <w:szCs w:val="24"/>
          <w:lang w:val="en-US" w:eastAsia="zh-CN"/>
        </w:rPr>
        <w:t xml:space="preserve"> 备案证明</w:t>
      </w:r>
      <w:bookmarkEnd w:id="22"/>
      <w:bookmarkEnd w:id="23"/>
    </w:p>
    <w:p>
      <w:pPr>
        <w:bidi w:val="0"/>
        <w:ind w:left="0" w:leftChars="0" w:firstLine="0" w:firstLineChars="0"/>
        <w:jc w:val="center"/>
        <w:rPr>
          <w:rFonts w:hint="default"/>
          <w:lang w:val="en-US"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inline distT="0" distB="0" distL="114300" distR="114300">
            <wp:extent cx="5710555" cy="8079740"/>
            <wp:effectExtent l="0" t="0" r="4445" b="16510"/>
            <wp:docPr id="22" name="图片 41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10" descr="图片1"/>
                    <pic:cNvPicPr>
                      <a:picLocks noChangeAspect="1"/>
                    </pic:cNvPicPr>
                  </pic:nvPicPr>
                  <pic:blipFill>
                    <a:blip r:embed="rId78"/>
                    <a:stretch>
                      <a:fillRect/>
                    </a:stretch>
                  </pic:blipFill>
                  <pic:spPr>
                    <a:xfrm>
                      <a:off x="0" y="0"/>
                      <a:ext cx="5710555" cy="8079740"/>
                    </a:xfrm>
                    <a:prstGeom prst="rect">
                      <a:avLst/>
                    </a:prstGeom>
                    <a:noFill/>
                    <a:ln>
                      <a:noFill/>
                    </a:ln>
                  </pic:spPr>
                </pic:pic>
              </a:graphicData>
            </a:graphic>
          </wp:inline>
        </w:drawing>
      </w:r>
    </w:p>
    <w:p>
      <w:pPr>
        <w:bidi w:val="0"/>
        <w:ind w:left="0" w:leftChars="0" w:firstLine="0" w:firstLineChars="0"/>
        <w:jc w:val="both"/>
        <w:rPr>
          <w:rFonts w:hint="default"/>
          <w:lang w:val="en-US"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inline distT="0" distB="0" distL="114300" distR="114300">
            <wp:extent cx="5760720" cy="8175625"/>
            <wp:effectExtent l="0" t="0" r="11430" b="15875"/>
            <wp:docPr id="37" name="图片 411"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11" descr="图片2"/>
                    <pic:cNvPicPr>
                      <a:picLocks noChangeAspect="1"/>
                    </pic:cNvPicPr>
                  </pic:nvPicPr>
                  <pic:blipFill>
                    <a:blip r:embed="rId79"/>
                    <a:stretch>
                      <a:fillRect/>
                    </a:stretch>
                  </pic:blipFill>
                  <pic:spPr>
                    <a:xfrm>
                      <a:off x="0" y="0"/>
                      <a:ext cx="5760720" cy="8175625"/>
                    </a:xfrm>
                    <a:prstGeom prst="rect">
                      <a:avLst/>
                    </a:prstGeom>
                    <a:noFill/>
                    <a:ln>
                      <a:noFill/>
                    </a:ln>
                  </pic:spPr>
                </pic:pic>
              </a:graphicData>
            </a:graphic>
          </wp:inline>
        </w:drawing>
      </w:r>
      <w:r>
        <w:rPr>
          <w:rFonts w:hint="default"/>
          <w:lang w:val="en-US" w:eastAsia="zh-CN"/>
        </w:rPr>
        <w:drawing>
          <wp:inline distT="0" distB="0" distL="114300" distR="114300">
            <wp:extent cx="5760085" cy="8143240"/>
            <wp:effectExtent l="0" t="0" r="12065" b="10160"/>
            <wp:docPr id="38" name="图片 413"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13" descr="图片3"/>
                    <pic:cNvPicPr>
                      <a:picLocks noChangeAspect="1"/>
                    </pic:cNvPicPr>
                  </pic:nvPicPr>
                  <pic:blipFill>
                    <a:blip r:embed="rId80"/>
                    <a:stretch>
                      <a:fillRect/>
                    </a:stretch>
                  </pic:blipFill>
                  <pic:spPr>
                    <a:xfrm>
                      <a:off x="0" y="0"/>
                      <a:ext cx="5760085" cy="8143240"/>
                    </a:xfrm>
                    <a:prstGeom prst="rect">
                      <a:avLst/>
                    </a:prstGeom>
                    <a:noFill/>
                    <a:ln>
                      <a:noFill/>
                    </a:ln>
                  </pic:spPr>
                </pic:pic>
              </a:graphicData>
            </a:graphic>
          </wp:inline>
        </w:drawing>
      </w:r>
      <w:r>
        <w:rPr>
          <w:rFonts w:hint="default"/>
          <w:lang w:val="en-US" w:eastAsia="zh-CN"/>
        </w:rPr>
        <w:drawing>
          <wp:inline distT="0" distB="0" distL="114300" distR="114300">
            <wp:extent cx="5756910" cy="8138795"/>
            <wp:effectExtent l="0" t="0" r="15240" b="14605"/>
            <wp:docPr id="39" name="图片 412"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12" descr="图片4"/>
                    <pic:cNvPicPr>
                      <a:picLocks noChangeAspect="1"/>
                    </pic:cNvPicPr>
                  </pic:nvPicPr>
                  <pic:blipFill>
                    <a:blip r:embed="rId81"/>
                    <a:stretch>
                      <a:fillRect/>
                    </a:stretch>
                  </pic:blipFill>
                  <pic:spPr>
                    <a:xfrm>
                      <a:off x="0" y="0"/>
                      <a:ext cx="5756910" cy="8138795"/>
                    </a:xfrm>
                    <a:prstGeom prst="rect">
                      <a:avLst/>
                    </a:prstGeom>
                    <a:noFill/>
                    <a:ln>
                      <a:noFill/>
                    </a:ln>
                  </pic:spPr>
                </pic:pic>
              </a:graphicData>
            </a:graphic>
          </wp:inline>
        </w:drawing>
      </w:r>
    </w:p>
    <w:p>
      <w:pPr>
        <w:pStyle w:val="21"/>
        <w:bidi w:val="0"/>
        <w:spacing w:line="360" w:lineRule="auto"/>
        <w:rPr>
          <w:rFonts w:hint="eastAsia"/>
          <w:color w:val="auto"/>
          <w:lang w:val="en-US" w:eastAsia="zh-CN"/>
        </w:rPr>
      </w:pPr>
      <w:bookmarkStart w:id="24" w:name="_Toc953"/>
      <w:bookmarkStart w:id="25" w:name="_Toc17148"/>
      <w:r>
        <w:rPr>
          <w:rFonts w:hint="default"/>
          <w:color w:val="auto"/>
          <w:lang w:val="en-US" w:eastAsia="zh-CN"/>
        </w:rPr>
        <w:t>附件</w:t>
      </w:r>
      <w:r>
        <w:rPr>
          <w:rFonts w:hint="eastAsia"/>
          <w:color w:val="auto"/>
          <w:lang w:val="en-US" w:eastAsia="zh-CN"/>
        </w:rPr>
        <w:t>2 营业执照</w:t>
      </w:r>
      <w:bookmarkEnd w:id="24"/>
      <w:bookmarkEnd w:id="25"/>
    </w:p>
    <w:p>
      <w:pPr>
        <w:pStyle w:val="22"/>
        <w:bidi w:val="0"/>
        <w:ind w:left="0" w:leftChars="0" w:firstLine="0" w:firstLineChars="0"/>
        <w:rPr>
          <w:rFonts w:hint="default"/>
          <w:lang w:val="en-US"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r>
        <w:drawing>
          <wp:inline distT="0" distB="0" distL="114300" distR="114300">
            <wp:extent cx="5685790" cy="7866380"/>
            <wp:effectExtent l="0" t="0" r="10160" b="1270"/>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82"/>
                    <a:stretch>
                      <a:fillRect/>
                    </a:stretch>
                  </pic:blipFill>
                  <pic:spPr>
                    <a:xfrm>
                      <a:off x="0" y="0"/>
                      <a:ext cx="5685790" cy="7866380"/>
                    </a:xfrm>
                    <a:prstGeom prst="rect">
                      <a:avLst/>
                    </a:prstGeom>
                    <a:noFill/>
                    <a:ln>
                      <a:noFill/>
                    </a:ln>
                  </pic:spPr>
                </pic:pic>
              </a:graphicData>
            </a:graphic>
          </wp:inline>
        </w:drawing>
      </w:r>
    </w:p>
    <w:p>
      <w:pPr>
        <w:pStyle w:val="21"/>
        <w:bidi w:val="0"/>
        <w:spacing w:line="360" w:lineRule="auto"/>
        <w:rPr>
          <w:rFonts w:hint="default"/>
          <w:color w:val="auto"/>
          <w:lang w:val="en-US" w:eastAsia="zh-CN"/>
        </w:rPr>
      </w:pPr>
      <w:bookmarkStart w:id="26" w:name="_Toc20662"/>
      <w:bookmarkStart w:id="27" w:name="_Toc16627"/>
      <w:r>
        <w:rPr>
          <w:rFonts w:hint="default"/>
          <w:color w:val="auto"/>
          <w:lang w:val="en-US" w:eastAsia="zh-CN"/>
        </w:rPr>
        <w:t>附件</w:t>
      </w:r>
      <w:r>
        <w:rPr>
          <w:rFonts w:hint="eastAsia"/>
          <w:color w:val="auto"/>
          <w:lang w:val="en-US" w:eastAsia="zh-CN"/>
        </w:rPr>
        <w:t>3 建设单位法人</w:t>
      </w:r>
      <w:bookmarkEnd w:id="26"/>
      <w:r>
        <w:rPr>
          <w:rFonts w:hint="eastAsia"/>
          <w:color w:val="auto"/>
          <w:lang w:val="en-US" w:eastAsia="zh-CN"/>
        </w:rPr>
        <w:t>代表</w:t>
      </w:r>
      <w:bookmarkEnd w:id="27"/>
    </w:p>
    <w:p>
      <w:pPr>
        <w:pStyle w:val="22"/>
        <w:bidi w:val="0"/>
        <w:ind w:left="0" w:leftChars="0" w:firstLine="0" w:firstLineChars="0"/>
        <w:jc w:val="center"/>
        <w:rPr>
          <w:rFonts w:hint="default"/>
          <w:lang w:val="en-US"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r>
        <w:drawing>
          <wp:inline distT="0" distB="0" distL="114300" distR="114300">
            <wp:extent cx="5581015" cy="7593330"/>
            <wp:effectExtent l="0" t="0" r="635" b="7620"/>
            <wp:docPr id="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83"/>
                    <a:stretch>
                      <a:fillRect/>
                    </a:stretch>
                  </pic:blipFill>
                  <pic:spPr>
                    <a:xfrm>
                      <a:off x="0" y="0"/>
                      <a:ext cx="5581015" cy="7593330"/>
                    </a:xfrm>
                    <a:prstGeom prst="rect">
                      <a:avLst/>
                    </a:prstGeom>
                    <a:noFill/>
                    <a:ln>
                      <a:noFill/>
                    </a:ln>
                  </pic:spPr>
                </pic:pic>
              </a:graphicData>
            </a:graphic>
          </wp:inline>
        </w:drawing>
      </w:r>
    </w:p>
    <w:p>
      <w:pPr>
        <w:pStyle w:val="21"/>
        <w:bidi w:val="0"/>
        <w:spacing w:line="360" w:lineRule="auto"/>
        <w:rPr>
          <w:rFonts w:hint="default"/>
          <w:color w:val="auto"/>
          <w:lang w:val="en-US" w:eastAsia="zh-CN"/>
        </w:rPr>
      </w:pPr>
      <w:bookmarkStart w:id="28" w:name="_Toc22648"/>
      <w:bookmarkStart w:id="29" w:name="_Toc21859"/>
      <w:r>
        <w:rPr>
          <w:rFonts w:hint="default"/>
          <w:color w:val="auto"/>
          <w:lang w:val="en-US" w:eastAsia="zh-CN"/>
        </w:rPr>
        <w:t>附件</w:t>
      </w:r>
      <w:r>
        <w:rPr>
          <w:rFonts w:hint="eastAsia"/>
          <w:color w:val="auto"/>
          <w:lang w:val="en-US" w:eastAsia="zh-CN"/>
        </w:rPr>
        <w:t xml:space="preserve">4 </w:t>
      </w:r>
      <w:r>
        <w:rPr>
          <w:rFonts w:hint="default"/>
          <w:color w:val="auto"/>
          <w:lang w:val="en-US" w:eastAsia="zh-CN"/>
        </w:rPr>
        <w:t>委托书</w:t>
      </w:r>
      <w:bookmarkEnd w:id="28"/>
      <w:bookmarkEnd w:id="29"/>
    </w:p>
    <w:p>
      <w:pPr>
        <w:pStyle w:val="21"/>
        <w:bidi w:val="0"/>
        <w:spacing w:line="360" w:lineRule="auto"/>
        <w:rPr>
          <w:rFonts w:hint="default"/>
          <w:color w:val="auto"/>
          <w:lang w:val="en-US"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bookmarkStart w:id="30" w:name="_Toc26543"/>
      <w:r>
        <w:rPr>
          <w:rFonts w:hint="default"/>
          <w:color w:val="auto"/>
          <w:lang w:val="en-US" w:eastAsia="zh-CN"/>
        </w:rPr>
        <w:drawing>
          <wp:inline distT="0" distB="0" distL="114300" distR="114300">
            <wp:extent cx="5755005" cy="7705090"/>
            <wp:effectExtent l="0" t="0" r="17145" b="10160"/>
            <wp:docPr id="20" name="图片 20" descr="a06bd40983488f1e2aef904f2a988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a06bd40983488f1e2aef904f2a9886f"/>
                    <pic:cNvPicPr>
                      <a:picLocks noChangeAspect="1"/>
                    </pic:cNvPicPr>
                  </pic:nvPicPr>
                  <pic:blipFill>
                    <a:blip r:embed="rId84"/>
                    <a:stretch>
                      <a:fillRect/>
                    </a:stretch>
                  </pic:blipFill>
                  <pic:spPr>
                    <a:xfrm>
                      <a:off x="0" y="0"/>
                      <a:ext cx="5755005" cy="7705090"/>
                    </a:xfrm>
                    <a:prstGeom prst="rect">
                      <a:avLst/>
                    </a:prstGeom>
                  </pic:spPr>
                </pic:pic>
              </a:graphicData>
            </a:graphic>
          </wp:inline>
        </w:drawing>
      </w:r>
    </w:p>
    <w:p>
      <w:pPr>
        <w:pStyle w:val="21"/>
        <w:bidi w:val="0"/>
        <w:spacing w:line="360" w:lineRule="auto"/>
        <w:rPr>
          <w:rFonts w:hint="default"/>
          <w:color w:val="auto"/>
          <w:lang w:val="en-US" w:eastAsia="zh-CN"/>
        </w:rPr>
      </w:pPr>
      <w:r>
        <w:rPr>
          <w:rFonts w:hint="default"/>
          <w:color w:val="auto"/>
          <w:lang w:val="en-US" w:eastAsia="zh-CN"/>
        </w:rPr>
        <w:t>附件</w:t>
      </w:r>
      <w:r>
        <w:rPr>
          <w:rFonts w:hint="eastAsia"/>
          <w:color w:val="auto"/>
          <w:lang w:val="en-US" w:eastAsia="zh-CN"/>
        </w:rPr>
        <w:t>5 规划条件通知书</w:t>
      </w:r>
      <w:bookmarkEnd w:id="30"/>
    </w:p>
    <w:p>
      <w:pPr>
        <w:pStyle w:val="22"/>
        <w:bidi w:val="0"/>
        <w:ind w:left="0" w:leftChars="0" w:firstLine="0" w:firstLineChars="0"/>
        <w:rPr>
          <w:rFonts w:hint="default"/>
          <w:lang w:val="en-US"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inline distT="0" distB="0" distL="114300" distR="114300">
            <wp:extent cx="5755005" cy="8141335"/>
            <wp:effectExtent l="0" t="0" r="17145" b="12065"/>
            <wp:docPr id="79" name="图片 79" descr="水公园规划条件通知书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水公园规划条件通知书_00"/>
                    <pic:cNvPicPr>
                      <a:picLocks noChangeAspect="1"/>
                    </pic:cNvPicPr>
                  </pic:nvPicPr>
                  <pic:blipFill>
                    <a:blip r:embed="rId85"/>
                    <a:stretch>
                      <a:fillRect/>
                    </a:stretch>
                  </pic:blipFill>
                  <pic:spPr>
                    <a:xfrm>
                      <a:off x="0" y="0"/>
                      <a:ext cx="5755005" cy="8141335"/>
                    </a:xfrm>
                    <a:prstGeom prst="rect">
                      <a:avLst/>
                    </a:prstGeom>
                  </pic:spPr>
                </pic:pic>
              </a:graphicData>
            </a:graphic>
          </wp:inline>
        </w:drawing>
      </w:r>
    </w:p>
    <w:p>
      <w:pPr>
        <w:ind w:left="0" w:leftChars="0" w:firstLine="0" w:firstLineChars="0"/>
        <w:rPr>
          <w:rFonts w:hint="eastAsia" w:eastAsia="宋体"/>
          <w:lang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eastAsia="宋体"/>
          <w:lang w:eastAsia="zh-CN"/>
        </w:rPr>
        <w:drawing>
          <wp:inline distT="0" distB="0" distL="114300" distR="114300">
            <wp:extent cx="5755005" cy="8141335"/>
            <wp:effectExtent l="0" t="0" r="17145" b="12065"/>
            <wp:docPr id="80" name="图片 80" descr="水公园规划条件通知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水公园规划条件通知书_01"/>
                    <pic:cNvPicPr>
                      <a:picLocks noChangeAspect="1"/>
                    </pic:cNvPicPr>
                  </pic:nvPicPr>
                  <pic:blipFill>
                    <a:blip r:embed="rId86"/>
                    <a:stretch>
                      <a:fillRect/>
                    </a:stretch>
                  </pic:blipFill>
                  <pic:spPr>
                    <a:xfrm>
                      <a:off x="0" y="0"/>
                      <a:ext cx="5755005" cy="8141335"/>
                    </a:xfrm>
                    <a:prstGeom prst="rect">
                      <a:avLst/>
                    </a:prstGeom>
                  </pic:spPr>
                </pic:pic>
              </a:graphicData>
            </a:graphic>
          </wp:inline>
        </w:drawing>
      </w:r>
      <w:r>
        <w:rPr>
          <w:rFonts w:hint="eastAsia" w:eastAsia="宋体"/>
          <w:lang w:eastAsia="zh-CN"/>
        </w:rPr>
        <w:drawing>
          <wp:inline distT="0" distB="0" distL="114300" distR="114300">
            <wp:extent cx="5755005" cy="8141335"/>
            <wp:effectExtent l="0" t="0" r="17145" b="12065"/>
            <wp:docPr id="81" name="图片 81" descr="水公园规划条件通知书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水公园规划条件通知书_02"/>
                    <pic:cNvPicPr>
                      <a:picLocks noChangeAspect="1"/>
                    </pic:cNvPicPr>
                  </pic:nvPicPr>
                  <pic:blipFill>
                    <a:blip r:embed="rId87"/>
                    <a:stretch>
                      <a:fillRect/>
                    </a:stretch>
                  </pic:blipFill>
                  <pic:spPr>
                    <a:xfrm>
                      <a:off x="0" y="0"/>
                      <a:ext cx="5755005" cy="8141335"/>
                    </a:xfrm>
                    <a:prstGeom prst="rect">
                      <a:avLst/>
                    </a:prstGeom>
                  </pic:spPr>
                </pic:pic>
              </a:graphicData>
            </a:graphic>
          </wp:inline>
        </w:drawing>
      </w:r>
      <w:r>
        <w:rPr>
          <w:rFonts w:hint="eastAsia" w:eastAsia="宋体"/>
          <w:lang w:eastAsia="zh-CN"/>
        </w:rPr>
        <w:drawing>
          <wp:inline distT="0" distB="0" distL="114300" distR="114300">
            <wp:extent cx="5755005" cy="8141335"/>
            <wp:effectExtent l="0" t="0" r="17145" b="12065"/>
            <wp:docPr id="82" name="图片 82" descr="水公园规划条件通知书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水公园规划条件通知书_03"/>
                    <pic:cNvPicPr>
                      <a:picLocks noChangeAspect="1"/>
                    </pic:cNvPicPr>
                  </pic:nvPicPr>
                  <pic:blipFill>
                    <a:blip r:embed="rId88"/>
                    <a:stretch>
                      <a:fillRect/>
                    </a:stretch>
                  </pic:blipFill>
                  <pic:spPr>
                    <a:xfrm>
                      <a:off x="0" y="0"/>
                      <a:ext cx="5755005" cy="8141335"/>
                    </a:xfrm>
                    <a:prstGeom prst="rect">
                      <a:avLst/>
                    </a:prstGeom>
                  </pic:spPr>
                </pic:pic>
              </a:graphicData>
            </a:graphic>
          </wp:inline>
        </w:drawing>
      </w:r>
    </w:p>
    <w:p>
      <w:pPr>
        <w:pStyle w:val="21"/>
        <w:bidi w:val="0"/>
        <w:rPr>
          <w:rFonts w:hint="eastAsia"/>
          <w:color w:val="auto"/>
          <w:lang w:val="en-US" w:eastAsia="zh-CN"/>
        </w:rPr>
      </w:pPr>
      <w:bookmarkStart w:id="31" w:name="_Toc26152"/>
      <w:r>
        <w:rPr>
          <w:rFonts w:hint="eastAsia"/>
          <w:color w:val="auto"/>
          <w:lang w:val="en-US" w:eastAsia="zh-CN"/>
        </w:rPr>
        <w:t>附件6 衡阳市石鼓区第八片“来雁新城”（华侨城）控制性详细规划</w:t>
      </w:r>
      <w:bookmarkEnd w:id="31"/>
    </w:p>
    <w:p>
      <w:pPr>
        <w:pStyle w:val="22"/>
        <w:bidi w:val="0"/>
        <w:ind w:left="0" w:leftChars="0" w:firstLine="0" w:firstLineChars="0"/>
        <w:rPr>
          <w:rFonts w:hint="default"/>
          <w:lang w:val="en-US"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inline distT="0" distB="0" distL="114300" distR="114300">
            <wp:extent cx="5734685" cy="4057015"/>
            <wp:effectExtent l="0" t="0" r="18415" b="635"/>
            <wp:docPr id="29" name="图片 29" descr="20220516--07土地利用规划图112，2000坐标（改生源）带北扩-模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0220516--07土地利用规划图112，2000坐标（改生源）带北扩-模型_00"/>
                    <pic:cNvPicPr>
                      <a:picLocks noChangeAspect="1"/>
                    </pic:cNvPicPr>
                  </pic:nvPicPr>
                  <pic:blipFill>
                    <a:blip r:embed="rId89"/>
                    <a:stretch>
                      <a:fillRect/>
                    </a:stretch>
                  </pic:blipFill>
                  <pic:spPr>
                    <a:xfrm>
                      <a:off x="0" y="0"/>
                      <a:ext cx="5734685" cy="4057015"/>
                    </a:xfrm>
                    <a:prstGeom prst="rect">
                      <a:avLst/>
                    </a:prstGeom>
                  </pic:spPr>
                </pic:pic>
              </a:graphicData>
            </a:graphic>
          </wp:inline>
        </w:drawing>
      </w:r>
    </w:p>
    <w:p>
      <w:pPr>
        <w:pStyle w:val="21"/>
        <w:bidi w:val="0"/>
        <w:spacing w:line="360" w:lineRule="auto"/>
        <w:rPr>
          <w:rFonts w:hint="default"/>
          <w:color w:val="auto"/>
          <w:lang w:val="en-US" w:eastAsia="zh-CN"/>
        </w:rPr>
      </w:pPr>
      <w:bookmarkStart w:id="32" w:name="_Toc7697"/>
      <w:bookmarkStart w:id="33" w:name="_Toc30288"/>
      <w:r>
        <w:rPr>
          <w:rFonts w:hint="default"/>
          <w:color w:val="auto"/>
          <w:lang w:val="en-US" w:eastAsia="zh-CN"/>
        </w:rPr>
        <w:t>附件</w:t>
      </w:r>
      <w:r>
        <w:rPr>
          <w:rFonts w:hint="eastAsia"/>
          <w:color w:val="auto"/>
          <w:lang w:val="en-US" w:eastAsia="zh-CN"/>
        </w:rPr>
        <w:t>7 建设用地规划许可证</w:t>
      </w:r>
      <w:bookmarkEnd w:id="32"/>
      <w:bookmarkEnd w:id="33"/>
    </w:p>
    <w:p>
      <w:pPr>
        <w:bidi w:val="0"/>
        <w:ind w:left="0" w:leftChars="0" w:firstLine="0" w:firstLineChars="0"/>
        <w:jc w:val="center"/>
        <w:rPr>
          <w:rFonts w:hint="eastAsia"/>
          <w:color w:val="auto"/>
          <w:lang w:val="en-US" w:eastAsia="zh-CN"/>
        </w:rPr>
      </w:pPr>
      <w:r>
        <w:rPr>
          <w:rFonts w:hint="eastAsia"/>
          <w:color w:val="auto"/>
          <w:lang w:val="en-US" w:eastAsia="zh-CN"/>
        </w:rPr>
        <w:drawing>
          <wp:inline distT="0" distB="0" distL="114300" distR="114300">
            <wp:extent cx="8169275" cy="5772785"/>
            <wp:effectExtent l="0" t="0" r="18415" b="3175"/>
            <wp:docPr id="43" name="图片 41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16" descr="图片1"/>
                    <pic:cNvPicPr>
                      <a:picLocks noChangeAspect="1"/>
                    </pic:cNvPicPr>
                  </pic:nvPicPr>
                  <pic:blipFill>
                    <a:blip r:embed="rId90"/>
                    <a:stretch>
                      <a:fillRect/>
                    </a:stretch>
                  </pic:blipFill>
                  <pic:spPr>
                    <a:xfrm rot="16200000">
                      <a:off x="0" y="0"/>
                      <a:ext cx="8169275" cy="5772785"/>
                    </a:xfrm>
                    <a:prstGeom prst="rect">
                      <a:avLst/>
                    </a:prstGeom>
                    <a:noFill/>
                    <a:ln>
                      <a:noFill/>
                    </a:ln>
                  </pic:spPr>
                </pic:pic>
              </a:graphicData>
            </a:graphic>
          </wp:inline>
        </w:drawing>
      </w:r>
    </w:p>
    <w:p>
      <w:pPr>
        <w:bidi w:val="0"/>
        <w:rPr>
          <w:rFonts w:hint="eastAsia"/>
          <w:color w:val="auto"/>
          <w:lang w:val="en-US"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8"/>
        <w:ind w:left="0" w:leftChars="0" w:firstLine="0" w:firstLineChars="0"/>
        <w:rPr>
          <w:rFonts w:hint="eastAsia"/>
          <w:lang w:val="en-US"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lang w:val="en-US" w:eastAsia="zh-CN"/>
        </w:rPr>
        <w:drawing>
          <wp:inline distT="0" distB="0" distL="114300" distR="114300">
            <wp:extent cx="5758815" cy="8148955"/>
            <wp:effectExtent l="0" t="0" r="13335" b="4445"/>
            <wp:docPr id="56" name="图片 56" descr="公园-用地规划许可证-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公园-用地规划许可证-1_00"/>
                    <pic:cNvPicPr>
                      <a:picLocks noChangeAspect="1"/>
                    </pic:cNvPicPr>
                  </pic:nvPicPr>
                  <pic:blipFill>
                    <a:blip r:embed="rId91"/>
                    <a:stretch>
                      <a:fillRect/>
                    </a:stretch>
                  </pic:blipFill>
                  <pic:spPr>
                    <a:xfrm rot="10800000">
                      <a:off x="0" y="0"/>
                      <a:ext cx="5758815" cy="8148955"/>
                    </a:xfrm>
                    <a:prstGeom prst="rect">
                      <a:avLst/>
                    </a:prstGeom>
                  </pic:spPr>
                </pic:pic>
              </a:graphicData>
            </a:graphic>
          </wp:inline>
        </w:drawing>
      </w:r>
    </w:p>
    <w:p>
      <w:pPr>
        <w:pStyle w:val="21"/>
        <w:bidi w:val="0"/>
        <w:spacing w:line="360" w:lineRule="auto"/>
        <w:rPr>
          <w:rFonts w:hint="eastAsia"/>
          <w:lang w:val="en-US" w:eastAsia="zh-CN"/>
        </w:rPr>
      </w:pPr>
      <w:bookmarkStart w:id="34" w:name="_Toc8710"/>
      <w:bookmarkStart w:id="35" w:name="_Toc26017"/>
      <w:r>
        <w:rPr>
          <w:rFonts w:hint="default"/>
          <w:color w:val="auto"/>
          <w:lang w:val="en-US" w:eastAsia="zh-CN"/>
        </w:rPr>
        <w:t>附件</w:t>
      </w:r>
      <w:r>
        <w:rPr>
          <w:rFonts w:hint="eastAsia"/>
          <w:color w:val="auto"/>
          <w:lang w:val="en-US" w:eastAsia="zh-CN"/>
        </w:rPr>
        <w:t>8 建设用地规划审批单</w:t>
      </w:r>
      <w:bookmarkEnd w:id="34"/>
      <w:bookmarkEnd w:id="35"/>
    </w:p>
    <w:p>
      <w:pPr>
        <w:pStyle w:val="8"/>
        <w:ind w:left="0" w:leftChars="0" w:firstLine="0" w:firstLineChars="0"/>
        <w:rPr>
          <w:rFonts w:hint="eastAsia"/>
          <w:lang w:val="en-US"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lang w:val="en-US" w:eastAsia="zh-CN"/>
        </w:rPr>
        <w:drawing>
          <wp:inline distT="0" distB="0" distL="114300" distR="114300">
            <wp:extent cx="5758815" cy="8148955"/>
            <wp:effectExtent l="0" t="0" r="13335" b="4445"/>
            <wp:docPr id="66" name="图片 66" descr="4.公园用地规划许可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4.公园用地规划许可证_01"/>
                    <pic:cNvPicPr>
                      <a:picLocks noChangeAspect="1"/>
                    </pic:cNvPicPr>
                  </pic:nvPicPr>
                  <pic:blipFill>
                    <a:blip r:embed="rId92"/>
                    <a:stretch>
                      <a:fillRect/>
                    </a:stretch>
                  </pic:blipFill>
                  <pic:spPr>
                    <a:xfrm>
                      <a:off x="0" y="0"/>
                      <a:ext cx="5758815" cy="8148955"/>
                    </a:xfrm>
                    <a:prstGeom prst="rect">
                      <a:avLst/>
                    </a:prstGeom>
                  </pic:spPr>
                </pic:pic>
              </a:graphicData>
            </a:graphic>
          </wp:inline>
        </w:drawing>
      </w:r>
      <w:r>
        <w:rPr>
          <w:rFonts w:hint="eastAsia"/>
          <w:lang w:val="en-US" w:eastAsia="zh-CN"/>
        </w:rPr>
        <w:drawing>
          <wp:inline distT="0" distB="0" distL="114300" distR="114300">
            <wp:extent cx="5758815" cy="8148955"/>
            <wp:effectExtent l="0" t="0" r="13335" b="4445"/>
            <wp:docPr id="67" name="图片 67" descr="公园-用地规划许可证-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公园-用地规划许可证-1_01"/>
                    <pic:cNvPicPr>
                      <a:picLocks noChangeAspect="1"/>
                    </pic:cNvPicPr>
                  </pic:nvPicPr>
                  <pic:blipFill>
                    <a:blip r:embed="rId93"/>
                    <a:stretch>
                      <a:fillRect/>
                    </a:stretch>
                  </pic:blipFill>
                  <pic:spPr>
                    <a:xfrm>
                      <a:off x="0" y="0"/>
                      <a:ext cx="5758815" cy="8148955"/>
                    </a:xfrm>
                    <a:prstGeom prst="rect">
                      <a:avLst/>
                    </a:prstGeom>
                  </pic:spPr>
                </pic:pic>
              </a:graphicData>
            </a:graphic>
          </wp:inline>
        </w:drawing>
      </w:r>
    </w:p>
    <w:p>
      <w:pPr>
        <w:pStyle w:val="21"/>
        <w:bidi w:val="0"/>
        <w:spacing w:line="360" w:lineRule="auto"/>
        <w:rPr>
          <w:rFonts w:hint="default"/>
          <w:lang w:val="en-US" w:eastAsia="zh-CN"/>
        </w:rPr>
      </w:pPr>
      <w:bookmarkStart w:id="36" w:name="_Toc523"/>
      <w:bookmarkStart w:id="37" w:name="_Toc17550"/>
      <w:r>
        <w:rPr>
          <w:rFonts w:hint="default"/>
          <w:color w:val="auto"/>
          <w:lang w:val="en-US" w:eastAsia="zh-CN"/>
        </w:rPr>
        <w:t>附件</w:t>
      </w:r>
      <w:r>
        <w:rPr>
          <w:rFonts w:hint="eastAsia"/>
          <w:color w:val="auto"/>
          <w:lang w:val="en-US" w:eastAsia="zh-CN"/>
        </w:rPr>
        <w:t>9 建设用地规划红线图</w:t>
      </w:r>
      <w:bookmarkEnd w:id="36"/>
      <w:bookmarkEnd w:id="37"/>
    </w:p>
    <w:p>
      <w:pPr>
        <w:ind w:left="0" w:leftChars="0" w:firstLine="0" w:firstLineChars="0"/>
        <w:jc w:val="center"/>
        <w:rPr>
          <w:rFonts w:hint="eastAsia"/>
          <w:sz w:val="28"/>
          <w:szCs w:val="28"/>
          <w:lang w:val="en-US" w:eastAsia="zh-CN"/>
        </w:rPr>
      </w:pPr>
      <w:r>
        <w:rPr>
          <w:rFonts w:hint="eastAsia"/>
          <w:lang w:val="en-US" w:eastAsia="zh-CN"/>
        </w:rPr>
        <w:drawing>
          <wp:inline distT="0" distB="0" distL="114300" distR="114300">
            <wp:extent cx="8041005" cy="5683250"/>
            <wp:effectExtent l="0" t="0" r="12700" b="17145"/>
            <wp:docPr id="68" name="图片 68" descr="4.公园用地规划许可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4.公园用地规划许可证_02"/>
                    <pic:cNvPicPr>
                      <a:picLocks noChangeAspect="1"/>
                    </pic:cNvPicPr>
                  </pic:nvPicPr>
                  <pic:blipFill>
                    <a:blip r:embed="rId94"/>
                    <a:stretch>
                      <a:fillRect/>
                    </a:stretch>
                  </pic:blipFill>
                  <pic:spPr>
                    <a:xfrm rot="16200000">
                      <a:off x="0" y="0"/>
                      <a:ext cx="8041005" cy="5683250"/>
                    </a:xfrm>
                    <a:prstGeom prst="rect">
                      <a:avLst/>
                    </a:prstGeom>
                  </pic:spPr>
                </pic:pic>
              </a:graphicData>
            </a:graphic>
          </wp:inline>
        </w:drawing>
      </w:r>
    </w:p>
    <w:p>
      <w:pPr>
        <w:ind w:left="0" w:leftChars="0" w:firstLine="0" w:firstLineChars="0"/>
        <w:rPr>
          <w:rFonts w:hint="eastAsia"/>
          <w:sz w:val="28"/>
          <w:szCs w:val="28"/>
          <w:lang w:val="en-US" w:eastAsia="zh-CN"/>
        </w:rPr>
        <w:sectPr>
          <w:pgSz w:w="11906" w:h="16838"/>
          <w:pgMar w:top="1417" w:right="1417" w:bottom="1417" w:left="1417" w:header="851" w:footer="567" w:gutter="0"/>
          <w:pgNumType w:fmt="decimal"/>
          <w:cols w:space="425" w:num="1"/>
          <w:docGrid w:type="lines" w:linePitch="312" w:charSpace="0"/>
        </w:sectPr>
      </w:pPr>
    </w:p>
    <w:p>
      <w:pPr>
        <w:pStyle w:val="22"/>
        <w:bidi w:val="0"/>
        <w:ind w:left="0" w:leftChars="0" w:firstLine="0" w:firstLineChars="0"/>
        <w:rPr>
          <w:rFonts w:hint="eastAsia"/>
          <w:lang w:val="en-US"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lang w:val="en-US" w:eastAsia="zh-CN"/>
        </w:rPr>
        <w:drawing>
          <wp:inline distT="0" distB="0" distL="114300" distR="114300">
            <wp:extent cx="5758815" cy="8148955"/>
            <wp:effectExtent l="0" t="0" r="13335" b="4445"/>
            <wp:docPr id="69" name="图片 69" descr="公园-用地规划许可证-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公园-用地规划许可证-1_02"/>
                    <pic:cNvPicPr>
                      <a:picLocks noChangeAspect="1"/>
                    </pic:cNvPicPr>
                  </pic:nvPicPr>
                  <pic:blipFill>
                    <a:blip r:embed="rId95"/>
                    <a:stretch>
                      <a:fillRect/>
                    </a:stretch>
                  </pic:blipFill>
                  <pic:spPr>
                    <a:xfrm rot="10800000">
                      <a:off x="0" y="0"/>
                      <a:ext cx="5758815" cy="8148955"/>
                    </a:xfrm>
                    <a:prstGeom prst="rect">
                      <a:avLst/>
                    </a:prstGeom>
                  </pic:spPr>
                </pic:pic>
              </a:graphicData>
            </a:graphic>
          </wp:inline>
        </w:drawing>
      </w:r>
    </w:p>
    <w:p>
      <w:pPr>
        <w:pStyle w:val="21"/>
        <w:bidi w:val="0"/>
        <w:spacing w:line="360" w:lineRule="auto"/>
        <w:rPr>
          <w:rFonts w:hint="eastAsia"/>
          <w:color w:val="auto"/>
          <w:lang w:val="en-US" w:eastAsia="zh-CN"/>
        </w:rPr>
      </w:pPr>
      <w:bookmarkStart w:id="38" w:name="_Toc19162"/>
      <w:bookmarkStart w:id="39" w:name="_Toc4482"/>
      <w:r>
        <w:rPr>
          <w:rFonts w:hint="default"/>
          <w:color w:val="auto"/>
          <w:lang w:val="en-US" w:eastAsia="zh-CN"/>
        </w:rPr>
        <w:t>附件</w:t>
      </w:r>
      <w:r>
        <w:rPr>
          <w:rFonts w:hint="eastAsia"/>
          <w:color w:val="auto"/>
          <w:lang w:val="en-US" w:eastAsia="zh-CN"/>
        </w:rPr>
        <w:t>10 建设工程规划许可证</w:t>
      </w:r>
      <w:bookmarkEnd w:id="38"/>
      <w:bookmarkEnd w:id="39"/>
    </w:p>
    <w:p>
      <w:pPr>
        <w:pStyle w:val="22"/>
        <w:bidi w:val="0"/>
        <w:ind w:left="0" w:leftChars="0" w:firstLine="0" w:firstLineChars="0"/>
        <w:jc w:val="center"/>
        <w:rPr>
          <w:rFonts w:hint="default"/>
          <w:lang w:val="en-US" w:eastAsia="zh-CN"/>
        </w:rPr>
      </w:pPr>
      <w:r>
        <w:rPr>
          <w:rFonts w:hint="default"/>
          <w:lang w:val="en-US" w:eastAsia="zh-CN"/>
        </w:rPr>
        <w:drawing>
          <wp:inline distT="0" distB="0" distL="114300" distR="114300">
            <wp:extent cx="5838190" cy="4128135"/>
            <wp:effectExtent l="0" t="0" r="10160" b="5715"/>
            <wp:docPr id="70" name="图片 70" descr="公园工程规划许可证(地块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公园工程规划许可证(地块1)_00"/>
                    <pic:cNvPicPr>
                      <a:picLocks noChangeAspect="1"/>
                    </pic:cNvPicPr>
                  </pic:nvPicPr>
                  <pic:blipFill>
                    <a:blip r:embed="rId96"/>
                    <a:stretch>
                      <a:fillRect/>
                    </a:stretch>
                  </pic:blipFill>
                  <pic:spPr>
                    <a:xfrm>
                      <a:off x="0" y="0"/>
                      <a:ext cx="5838190" cy="4128135"/>
                    </a:xfrm>
                    <a:prstGeom prst="rect">
                      <a:avLst/>
                    </a:prstGeom>
                  </pic:spPr>
                </pic:pic>
              </a:graphicData>
            </a:graphic>
          </wp:inline>
        </w:drawing>
      </w:r>
    </w:p>
    <w:p>
      <w:pPr>
        <w:pStyle w:val="22"/>
        <w:bidi w:val="0"/>
        <w:ind w:left="0" w:leftChars="0" w:firstLine="0" w:firstLineChars="0"/>
        <w:jc w:val="center"/>
        <w:rPr>
          <w:rFonts w:hint="default"/>
          <w:lang w:val="en-US" w:eastAsia="zh-CN"/>
        </w:rPr>
      </w:pPr>
    </w:p>
    <w:p>
      <w:pPr>
        <w:pStyle w:val="22"/>
        <w:bidi w:val="0"/>
        <w:ind w:left="0" w:leftChars="0" w:firstLine="0" w:firstLineChars="0"/>
        <w:jc w:val="center"/>
        <w:rPr>
          <w:rFonts w:hint="default"/>
          <w:color w:val="auto"/>
          <w:lang w:val="en-US"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inline distT="0" distB="0" distL="114300" distR="114300">
            <wp:extent cx="5786755" cy="4093210"/>
            <wp:effectExtent l="0" t="0" r="4445" b="2540"/>
            <wp:docPr id="71" name="图片 71" descr="工程规划许可证（造浪池）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工程规划许可证（造浪池）_00"/>
                    <pic:cNvPicPr>
                      <a:picLocks noChangeAspect="1"/>
                    </pic:cNvPicPr>
                  </pic:nvPicPr>
                  <pic:blipFill>
                    <a:blip r:embed="rId97"/>
                    <a:stretch>
                      <a:fillRect/>
                    </a:stretch>
                  </pic:blipFill>
                  <pic:spPr>
                    <a:xfrm>
                      <a:off x="0" y="0"/>
                      <a:ext cx="5786755" cy="4093210"/>
                    </a:xfrm>
                    <a:prstGeom prst="rect">
                      <a:avLst/>
                    </a:prstGeom>
                  </pic:spPr>
                </pic:pic>
              </a:graphicData>
            </a:graphic>
          </wp:inline>
        </w:drawing>
      </w:r>
      <w:r>
        <w:rPr>
          <w:rFonts w:hint="default"/>
          <w:color w:val="auto"/>
          <w:lang w:val="en-US" w:eastAsia="zh-CN"/>
        </w:rPr>
        <w:drawing>
          <wp:inline distT="0" distB="0" distL="114300" distR="114300">
            <wp:extent cx="5732145" cy="4053840"/>
            <wp:effectExtent l="0" t="0" r="1905" b="3810"/>
            <wp:docPr id="72" name="图片 72" descr="工程规划许可证（配套用房）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工程规划许可证（配套用房）_00"/>
                    <pic:cNvPicPr>
                      <a:picLocks noChangeAspect="1"/>
                    </pic:cNvPicPr>
                  </pic:nvPicPr>
                  <pic:blipFill>
                    <a:blip r:embed="rId98"/>
                    <a:stretch>
                      <a:fillRect/>
                    </a:stretch>
                  </pic:blipFill>
                  <pic:spPr>
                    <a:xfrm>
                      <a:off x="0" y="0"/>
                      <a:ext cx="5732145" cy="4053840"/>
                    </a:xfrm>
                    <a:prstGeom prst="rect">
                      <a:avLst/>
                    </a:prstGeom>
                  </pic:spPr>
                </pic:pic>
              </a:graphicData>
            </a:graphic>
          </wp:inline>
        </w:drawing>
      </w:r>
    </w:p>
    <w:p>
      <w:pPr>
        <w:pStyle w:val="21"/>
        <w:bidi w:val="0"/>
        <w:spacing w:line="360" w:lineRule="auto"/>
        <w:rPr>
          <w:rFonts w:hint="eastAsia"/>
          <w:color w:val="auto"/>
          <w:lang w:val="en-US" w:eastAsia="zh-CN"/>
        </w:rPr>
      </w:pPr>
      <w:bookmarkStart w:id="40" w:name="_Toc4522"/>
      <w:bookmarkStart w:id="41" w:name="_Toc15095"/>
      <w:r>
        <w:rPr>
          <w:rFonts w:hint="default"/>
          <w:color w:val="auto"/>
          <w:lang w:val="en-US" w:eastAsia="zh-CN"/>
        </w:rPr>
        <w:t>附件</w:t>
      </w:r>
      <w:r>
        <w:rPr>
          <w:rFonts w:hint="eastAsia"/>
          <w:color w:val="auto"/>
          <w:lang w:val="en-US" w:eastAsia="zh-CN"/>
        </w:rPr>
        <w:t>11 工程规划许可审批单</w:t>
      </w:r>
      <w:bookmarkEnd w:id="40"/>
      <w:bookmarkEnd w:id="41"/>
    </w:p>
    <w:p>
      <w:pPr>
        <w:pStyle w:val="22"/>
        <w:bidi w:val="0"/>
        <w:ind w:left="0" w:leftChars="0" w:firstLine="0" w:firstLineChars="0"/>
        <w:rPr>
          <w:rFonts w:hint="default"/>
          <w:lang w:val="en-US" w:eastAsia="zh-CN"/>
        </w:rPr>
      </w:pPr>
      <w:r>
        <w:rPr>
          <w:rFonts w:hint="default"/>
          <w:lang w:val="en-US" w:eastAsia="zh-CN"/>
        </w:rPr>
        <w:drawing>
          <wp:inline distT="0" distB="0" distL="114300" distR="114300">
            <wp:extent cx="5758815" cy="8145780"/>
            <wp:effectExtent l="0" t="0" r="13335" b="7620"/>
            <wp:docPr id="73" name="图片 73" descr="公园工程规划许可证(地块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公园工程规划许可证(地块1)_02"/>
                    <pic:cNvPicPr>
                      <a:picLocks noChangeAspect="1"/>
                    </pic:cNvPicPr>
                  </pic:nvPicPr>
                  <pic:blipFill>
                    <a:blip r:embed="rId99"/>
                    <a:stretch>
                      <a:fillRect/>
                    </a:stretch>
                  </pic:blipFill>
                  <pic:spPr>
                    <a:xfrm>
                      <a:off x="0" y="0"/>
                      <a:ext cx="5758815" cy="8145780"/>
                    </a:xfrm>
                    <a:prstGeom prst="rect">
                      <a:avLst/>
                    </a:prstGeom>
                  </pic:spPr>
                </pic:pic>
              </a:graphicData>
            </a:graphic>
          </wp:inline>
        </w:drawing>
      </w:r>
    </w:p>
    <w:p>
      <w:pPr>
        <w:pStyle w:val="22"/>
        <w:bidi w:val="0"/>
        <w:ind w:left="0" w:leftChars="0" w:firstLine="0" w:firstLineChars="0"/>
        <w:rPr>
          <w:rFonts w:hint="default"/>
          <w:lang w:val="en-US"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inline distT="0" distB="0" distL="114300" distR="114300">
            <wp:extent cx="5755005" cy="8138160"/>
            <wp:effectExtent l="0" t="0" r="17145" b="15240"/>
            <wp:docPr id="74" name="图片 74" descr="工程规划许可证（造浪池）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工程规划许可证（造浪池）_01"/>
                    <pic:cNvPicPr>
                      <a:picLocks noChangeAspect="1"/>
                    </pic:cNvPicPr>
                  </pic:nvPicPr>
                  <pic:blipFill>
                    <a:blip r:embed="rId100"/>
                    <a:stretch>
                      <a:fillRect/>
                    </a:stretch>
                  </pic:blipFill>
                  <pic:spPr>
                    <a:xfrm>
                      <a:off x="0" y="0"/>
                      <a:ext cx="5755005" cy="8138160"/>
                    </a:xfrm>
                    <a:prstGeom prst="rect">
                      <a:avLst/>
                    </a:prstGeom>
                  </pic:spPr>
                </pic:pic>
              </a:graphicData>
            </a:graphic>
          </wp:inline>
        </w:drawing>
      </w:r>
      <w:r>
        <w:rPr>
          <w:rFonts w:hint="default"/>
          <w:lang w:val="en-US" w:eastAsia="zh-CN"/>
        </w:rPr>
        <w:drawing>
          <wp:inline distT="0" distB="0" distL="114300" distR="114300">
            <wp:extent cx="5755005" cy="8138160"/>
            <wp:effectExtent l="0" t="0" r="17145" b="15240"/>
            <wp:docPr id="75" name="图片 75" descr="工程规划许可证（配套用房）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工程规划许可证（配套用房）_01"/>
                    <pic:cNvPicPr>
                      <a:picLocks noChangeAspect="1"/>
                    </pic:cNvPicPr>
                  </pic:nvPicPr>
                  <pic:blipFill>
                    <a:blip r:embed="rId101"/>
                    <a:stretch>
                      <a:fillRect/>
                    </a:stretch>
                  </pic:blipFill>
                  <pic:spPr>
                    <a:xfrm>
                      <a:off x="0" y="0"/>
                      <a:ext cx="5755005" cy="8138160"/>
                    </a:xfrm>
                    <a:prstGeom prst="rect">
                      <a:avLst/>
                    </a:prstGeom>
                  </pic:spPr>
                </pic:pic>
              </a:graphicData>
            </a:graphic>
          </wp:inline>
        </w:drawing>
      </w:r>
    </w:p>
    <w:p>
      <w:pPr>
        <w:pStyle w:val="21"/>
        <w:bidi w:val="0"/>
        <w:spacing w:line="360" w:lineRule="auto"/>
        <w:rPr>
          <w:rFonts w:hint="eastAsia"/>
          <w:color w:val="auto"/>
          <w:lang w:val="en-US" w:eastAsia="zh-CN"/>
        </w:rPr>
      </w:pPr>
      <w:bookmarkStart w:id="42" w:name="_Toc17334"/>
      <w:bookmarkStart w:id="43" w:name="_Toc10061"/>
      <w:r>
        <w:rPr>
          <w:rFonts w:hint="default"/>
          <w:color w:val="auto"/>
          <w:lang w:val="en-US" w:eastAsia="zh-CN"/>
        </w:rPr>
        <w:t>附件</w:t>
      </w:r>
      <w:r>
        <w:rPr>
          <w:rFonts w:hint="eastAsia"/>
          <w:color w:val="auto"/>
          <w:lang w:val="en-US" w:eastAsia="zh-CN"/>
        </w:rPr>
        <w:t>12 工程红线图</w:t>
      </w:r>
      <w:bookmarkEnd w:id="42"/>
      <w:bookmarkEnd w:id="43"/>
    </w:p>
    <w:p>
      <w:pPr>
        <w:pStyle w:val="22"/>
        <w:bidi w:val="0"/>
        <w:ind w:left="0" w:leftChars="0" w:firstLine="0" w:firstLineChars="0"/>
        <w:jc w:val="center"/>
        <w:rPr>
          <w:rFonts w:hint="eastAsia"/>
          <w:lang w:val="en-US" w:eastAsia="zh-CN"/>
        </w:rPr>
      </w:pPr>
      <w:r>
        <w:rPr>
          <w:rFonts w:hint="eastAsia"/>
          <w:lang w:val="en-US" w:eastAsia="zh-CN"/>
        </w:rPr>
        <w:drawing>
          <wp:inline distT="0" distB="0" distL="114300" distR="114300">
            <wp:extent cx="7983220" cy="5644515"/>
            <wp:effectExtent l="0" t="0" r="13335" b="17780"/>
            <wp:docPr id="76" name="图片 76" descr="公园工程规划许可证(地块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公园工程规划许可证(地块1)_01"/>
                    <pic:cNvPicPr>
                      <a:picLocks noChangeAspect="1"/>
                    </pic:cNvPicPr>
                  </pic:nvPicPr>
                  <pic:blipFill>
                    <a:blip r:embed="rId102"/>
                    <a:stretch>
                      <a:fillRect/>
                    </a:stretch>
                  </pic:blipFill>
                  <pic:spPr>
                    <a:xfrm rot="16200000">
                      <a:off x="0" y="0"/>
                      <a:ext cx="7983220" cy="5644515"/>
                    </a:xfrm>
                    <a:prstGeom prst="rect">
                      <a:avLst/>
                    </a:prstGeom>
                  </pic:spPr>
                </pic:pic>
              </a:graphicData>
            </a:graphic>
          </wp:inline>
        </w:drawing>
      </w:r>
    </w:p>
    <w:p>
      <w:pPr>
        <w:pStyle w:val="21"/>
        <w:bidi w:val="0"/>
        <w:spacing w:line="360" w:lineRule="auto"/>
        <w:rPr>
          <w:rFonts w:hint="default"/>
          <w:color w:val="auto"/>
          <w:lang w:val="en-US"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2"/>
        <w:bidi w:val="0"/>
        <w:ind w:left="0" w:leftChars="0" w:firstLine="0" w:firstLineChars="0"/>
        <w:rPr>
          <w:rFonts w:hint="default"/>
          <w:lang w:val="en-US"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inline distT="0" distB="0" distL="114300" distR="114300">
            <wp:extent cx="8129905" cy="5749925"/>
            <wp:effectExtent l="0" t="0" r="3175" b="4445"/>
            <wp:docPr id="77" name="图片 77" descr="工程规划许可证（造浪池）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工程规划许可证（造浪池）_02"/>
                    <pic:cNvPicPr>
                      <a:picLocks noChangeAspect="1"/>
                    </pic:cNvPicPr>
                  </pic:nvPicPr>
                  <pic:blipFill>
                    <a:blip r:embed="rId103"/>
                    <a:stretch>
                      <a:fillRect/>
                    </a:stretch>
                  </pic:blipFill>
                  <pic:spPr>
                    <a:xfrm rot="16200000">
                      <a:off x="0" y="0"/>
                      <a:ext cx="8129905" cy="5749925"/>
                    </a:xfrm>
                    <a:prstGeom prst="rect">
                      <a:avLst/>
                    </a:prstGeom>
                  </pic:spPr>
                </pic:pic>
              </a:graphicData>
            </a:graphic>
          </wp:inline>
        </w:drawing>
      </w:r>
    </w:p>
    <w:p>
      <w:pPr>
        <w:pStyle w:val="22"/>
        <w:bidi w:val="0"/>
        <w:ind w:left="0" w:leftChars="0" w:firstLine="0" w:firstLineChars="0"/>
        <w:rPr>
          <w:rFonts w:hint="default"/>
          <w:lang w:val="en-US"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inline distT="0" distB="0" distL="114300" distR="114300">
            <wp:extent cx="5758815" cy="8148955"/>
            <wp:effectExtent l="0" t="0" r="13335" b="4445"/>
            <wp:docPr id="78" name="图片 78" descr="工程规划许可证（配套用房）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工程规划许可证（配套用房）_02"/>
                    <pic:cNvPicPr>
                      <a:picLocks noChangeAspect="1"/>
                    </pic:cNvPicPr>
                  </pic:nvPicPr>
                  <pic:blipFill>
                    <a:blip r:embed="rId104"/>
                    <a:stretch>
                      <a:fillRect/>
                    </a:stretch>
                  </pic:blipFill>
                  <pic:spPr>
                    <a:xfrm rot="10800000">
                      <a:off x="0" y="0"/>
                      <a:ext cx="5758815" cy="8148955"/>
                    </a:xfrm>
                    <a:prstGeom prst="rect">
                      <a:avLst/>
                    </a:prstGeom>
                  </pic:spPr>
                </pic:pic>
              </a:graphicData>
            </a:graphic>
          </wp:inline>
        </w:drawing>
      </w:r>
    </w:p>
    <w:p>
      <w:pPr>
        <w:pStyle w:val="21"/>
        <w:bidi w:val="0"/>
        <w:rPr>
          <w:rFonts w:hint="eastAsia"/>
          <w:lang w:val="en-US" w:eastAsia="zh-CN"/>
        </w:rPr>
      </w:pPr>
      <w:bookmarkStart w:id="44" w:name="_Toc13328"/>
      <w:r>
        <w:rPr>
          <w:rFonts w:hint="eastAsia"/>
          <w:lang w:val="en-US" w:eastAsia="zh-CN"/>
        </w:rPr>
        <w:t>附件13 专家签到表</w:t>
      </w:r>
      <w:bookmarkEnd w:id="44"/>
    </w:p>
    <w:p>
      <w:pPr>
        <w:bidi w:val="0"/>
        <w:ind w:left="0" w:leftChars="0" w:firstLine="0" w:firstLineChars="0"/>
        <w:rPr>
          <w:rFonts w:hint="eastAsia"/>
          <w:lang w:val="en-US"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lang w:val="en-US" w:eastAsia="zh-CN"/>
        </w:rPr>
        <w:drawing>
          <wp:inline distT="0" distB="0" distL="114300" distR="114300">
            <wp:extent cx="5745480" cy="7752715"/>
            <wp:effectExtent l="0" t="0" r="7620" b="635"/>
            <wp:docPr id="19" name="图片 19" descr="f21efca5d874bed4ce01b605cd686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f21efca5d874bed4ce01b605cd686b8"/>
                    <pic:cNvPicPr>
                      <a:picLocks noChangeAspect="1"/>
                    </pic:cNvPicPr>
                  </pic:nvPicPr>
                  <pic:blipFill>
                    <a:blip r:embed="rId105"/>
                    <a:stretch>
                      <a:fillRect/>
                    </a:stretch>
                  </pic:blipFill>
                  <pic:spPr>
                    <a:xfrm rot="10800000">
                      <a:off x="0" y="0"/>
                      <a:ext cx="5745480" cy="7752715"/>
                    </a:xfrm>
                    <a:prstGeom prst="rect">
                      <a:avLst/>
                    </a:prstGeom>
                  </pic:spPr>
                </pic:pic>
              </a:graphicData>
            </a:graphic>
          </wp:inline>
        </w:drawing>
      </w:r>
    </w:p>
    <w:p>
      <w:pPr>
        <w:pStyle w:val="21"/>
        <w:bidi w:val="0"/>
        <w:rPr>
          <w:rFonts w:hint="eastAsia"/>
          <w:lang w:val="en-US" w:eastAsia="zh-CN"/>
        </w:rPr>
      </w:pPr>
      <w:bookmarkStart w:id="45" w:name="_Toc13680"/>
      <w:r>
        <w:rPr>
          <w:rFonts w:hint="eastAsia"/>
          <w:lang w:val="en-US" w:eastAsia="zh-CN"/>
        </w:rPr>
        <w:t>附件14 专家意见表</w:t>
      </w:r>
      <w:bookmarkEnd w:id="45"/>
    </w:p>
    <w:p>
      <w:pPr>
        <w:bidi w:val="0"/>
        <w:ind w:left="0" w:leftChars="0" w:firstLine="0" w:firstLineChars="0"/>
        <w:rPr>
          <w:rFonts w:hint="default"/>
          <w:lang w:val="en-US"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inline distT="0" distB="0" distL="114300" distR="114300">
            <wp:extent cx="5756275" cy="8213090"/>
            <wp:effectExtent l="0" t="0" r="15875" b="16510"/>
            <wp:docPr id="48" name="图片 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1"/>
                    <pic:cNvPicPr>
                      <a:picLocks noChangeAspect="1"/>
                    </pic:cNvPicPr>
                  </pic:nvPicPr>
                  <pic:blipFill>
                    <a:blip r:embed="rId106"/>
                    <a:stretch>
                      <a:fillRect/>
                    </a:stretch>
                  </pic:blipFill>
                  <pic:spPr>
                    <a:xfrm>
                      <a:off x="0" y="0"/>
                      <a:ext cx="5756275" cy="8213090"/>
                    </a:xfrm>
                    <a:prstGeom prst="rect">
                      <a:avLst/>
                    </a:prstGeom>
                  </pic:spPr>
                </pic:pic>
              </a:graphicData>
            </a:graphic>
          </wp:inline>
        </w:drawing>
      </w:r>
    </w:p>
    <w:p>
      <w:pPr>
        <w:pStyle w:val="8"/>
        <w:ind w:left="0" w:leftChars="0" w:firstLine="0" w:firstLineChars="0"/>
        <w:rPr>
          <w:rFonts w:hint="default"/>
          <w:lang w:val="en-US"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inline distT="0" distB="0" distL="114300" distR="114300">
            <wp:extent cx="5756275" cy="8213090"/>
            <wp:effectExtent l="0" t="0" r="15875" b="16510"/>
            <wp:docPr id="47" name="图片 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2"/>
                    <pic:cNvPicPr>
                      <a:picLocks noChangeAspect="1"/>
                    </pic:cNvPicPr>
                  </pic:nvPicPr>
                  <pic:blipFill>
                    <a:blip r:embed="rId107"/>
                    <a:stretch>
                      <a:fillRect/>
                    </a:stretch>
                  </pic:blipFill>
                  <pic:spPr>
                    <a:xfrm>
                      <a:off x="0" y="0"/>
                      <a:ext cx="5756275" cy="8213090"/>
                    </a:xfrm>
                    <a:prstGeom prst="rect">
                      <a:avLst/>
                    </a:prstGeom>
                  </pic:spPr>
                </pic:pic>
              </a:graphicData>
            </a:graphic>
          </wp:inline>
        </w:drawing>
      </w:r>
    </w:p>
    <w:p>
      <w:pPr>
        <w:pStyle w:val="21"/>
        <w:bidi w:val="0"/>
        <w:rPr>
          <w:rFonts w:hint="default"/>
          <w:lang w:val="en-US" w:eastAsia="zh-CN"/>
        </w:rPr>
      </w:pPr>
      <w:bookmarkStart w:id="46" w:name="_Toc9084"/>
      <w:r>
        <w:rPr>
          <w:rFonts w:hint="eastAsia"/>
          <w:lang w:val="en-US" w:eastAsia="zh-CN"/>
        </w:rPr>
        <w:t>附件15 日常考核专家意见表</w:t>
      </w:r>
      <w:bookmarkEnd w:id="46"/>
    </w:p>
    <w:p>
      <w:pPr>
        <w:bidi w:val="0"/>
        <w:ind w:left="0" w:leftChars="0" w:firstLine="0" w:firstLineChars="0"/>
        <w:rPr>
          <w:rFonts w:hint="default"/>
          <w:lang w:val="en-US" w:eastAsia="zh-CN"/>
        </w:rPr>
      </w:pPr>
      <w:r>
        <w:rPr>
          <w:rFonts w:hint="default"/>
          <w:lang w:val="en-US" w:eastAsia="zh-CN"/>
        </w:rPr>
        <w:drawing>
          <wp:inline distT="0" distB="0" distL="114300" distR="114300">
            <wp:extent cx="5756275" cy="8213090"/>
            <wp:effectExtent l="0" t="0" r="15875" b="16510"/>
            <wp:docPr id="51" name="图片 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1"/>
                    <pic:cNvPicPr>
                      <a:picLocks noChangeAspect="1"/>
                    </pic:cNvPicPr>
                  </pic:nvPicPr>
                  <pic:blipFill>
                    <a:blip r:embed="rId108"/>
                    <a:stretch>
                      <a:fillRect/>
                    </a:stretch>
                  </pic:blipFill>
                  <pic:spPr>
                    <a:xfrm>
                      <a:off x="0" y="0"/>
                      <a:ext cx="5756275" cy="8213090"/>
                    </a:xfrm>
                    <a:prstGeom prst="rect">
                      <a:avLst/>
                    </a:prstGeom>
                  </pic:spPr>
                </pic:pic>
              </a:graphicData>
            </a:graphic>
          </wp:inline>
        </w:drawing>
      </w:r>
      <w:r>
        <w:rPr>
          <w:rFonts w:hint="default"/>
          <w:lang w:val="en-US" w:eastAsia="zh-CN"/>
        </w:rPr>
        <w:drawing>
          <wp:inline distT="0" distB="0" distL="114300" distR="114300">
            <wp:extent cx="5756275" cy="8213090"/>
            <wp:effectExtent l="0" t="0" r="15875" b="16510"/>
            <wp:docPr id="50" name="图片 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2"/>
                    <pic:cNvPicPr>
                      <a:picLocks noChangeAspect="1"/>
                    </pic:cNvPicPr>
                  </pic:nvPicPr>
                  <pic:blipFill>
                    <a:blip r:embed="rId109"/>
                    <a:stretch>
                      <a:fillRect/>
                    </a:stretch>
                  </pic:blipFill>
                  <pic:spPr>
                    <a:xfrm>
                      <a:off x="0" y="0"/>
                      <a:ext cx="5756275" cy="8213090"/>
                    </a:xfrm>
                    <a:prstGeom prst="rect">
                      <a:avLst/>
                    </a:prstGeom>
                  </pic:spPr>
                </pic:pic>
              </a:graphicData>
            </a:graphic>
          </wp:inline>
        </w:drawing>
      </w:r>
      <w:r>
        <w:rPr>
          <w:rFonts w:hint="default"/>
          <w:lang w:val="en-US" w:eastAsia="zh-CN"/>
        </w:rPr>
        <w:drawing>
          <wp:inline distT="0" distB="0" distL="114300" distR="114300">
            <wp:extent cx="5756275" cy="8213090"/>
            <wp:effectExtent l="0" t="0" r="15875" b="16510"/>
            <wp:docPr id="49" name="图片 4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3"/>
                    <pic:cNvPicPr>
                      <a:picLocks noChangeAspect="1"/>
                    </pic:cNvPicPr>
                  </pic:nvPicPr>
                  <pic:blipFill>
                    <a:blip r:embed="rId110"/>
                    <a:stretch>
                      <a:fillRect/>
                    </a:stretch>
                  </pic:blipFill>
                  <pic:spPr>
                    <a:xfrm>
                      <a:off x="0" y="0"/>
                      <a:ext cx="5756275" cy="8213090"/>
                    </a:xfrm>
                    <a:prstGeom prst="rect">
                      <a:avLst/>
                    </a:prstGeom>
                  </pic:spPr>
                </pic:pic>
              </a:graphicData>
            </a:graphic>
          </wp:inline>
        </w:drawing>
      </w:r>
    </w:p>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方正小标宋_GBK">
    <w:altName w:val="微软雅黑"/>
    <w:panose1 w:val="03000509000000000000"/>
    <w:charset w:val="86"/>
    <w:family w:val="script"/>
    <w:pitch w:val="default"/>
    <w:sig w:usb0="00000000" w:usb1="00000000" w:usb2="00000010" w:usb3="00000000" w:csb0="00040000" w:csb1="00000000"/>
  </w:font>
  <w:font w:name="楷体_GB2312">
    <w:altName w:val="楷体"/>
    <w:panose1 w:val="02010609030101010101"/>
    <w:charset w:val="86"/>
    <w:family w:val="modern"/>
    <w:pitch w:val="default"/>
    <w:sig w:usb0="00000000" w:usb1="00000000" w:usb2="0000001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Wingdings 2">
    <w:altName w:val="Wingdings"/>
    <w:panose1 w:val="05020102010507070707"/>
    <w:charset w:val="02"/>
    <w:family w:val="roman"/>
    <w:pitch w:val="default"/>
    <w:sig w:usb0="00000000" w:usb1="00000000" w:usb2="00000000" w:usb3="00000000" w:csb0="8000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 w:name="Cambria Math">
    <w:panose1 w:val="02040503050406030204"/>
    <w:charset w:val="00"/>
    <w:family w:val="auto"/>
    <w:pitch w:val="default"/>
    <w:sig w:usb0="E00002FF" w:usb1="420024FF" w:usb2="00000000" w:usb3="00000000" w:csb0="2000019F" w:csb1="00000000"/>
  </w:font>
  <w:font w:name="楷体">
    <w:panose1 w:val="02010609060101010101"/>
    <w:charset w:val="86"/>
    <w:family w:val="auto"/>
    <w:pitch w:val="default"/>
    <w:sig w:usb0="800002BF" w:usb1="38CF7CFA" w:usb2="00000016" w:usb3="00000000" w:csb0="00040001" w:csb1="00000000"/>
  </w:font>
  <w:font w:name="Wingdings">
    <w:panose1 w:val="05000000000000000000"/>
    <w:charset w:val="00"/>
    <w:family w:val="auto"/>
    <w:pitch w:val="default"/>
    <w:sig w:usb0="00000000" w:usb1="00000000" w:usb2="00000000" w:usb3="00000000" w:csb0="80000000" w:csb1="00000000"/>
  </w:font>
  <w:font w:name="Kingsoft Symbol">
    <w:altName w:val="Symbol"/>
    <w:panose1 w:val="00000000000000000000"/>
    <w:charset w:val="00"/>
    <w:family w:val="auto"/>
    <w:pitch w:val="default"/>
    <w:sig w:usb0="00000000" w:usb1="00000000" w:usb2="00000000" w:usb3="00000000" w:csb0="00000000" w:csb1="00000000"/>
  </w:font>
  <w:font w:name="Symbol">
    <w:panose1 w:val="05050102010706020507"/>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firstLine="360"/>
      <w:jc w:val="center"/>
    </w:pPr>
  </w:p>
  <w:p>
    <w:pPr>
      <w:tabs>
        <w:tab w:val="center" w:pos="4153"/>
        <w:tab w:val="right" w:pos="8306"/>
      </w:tabs>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framePr w:wrap="around" w:vAnchor="text" w:hAnchor="margin" w:xAlign="outside" w:y="1"/>
      <w:tabs>
        <w:tab w:val="center" w:pos="4153"/>
        <w:tab w:val="right" w:pos="8306"/>
      </w:tabs>
      <w:ind w:firstLine="360"/>
    </w:pPr>
    <w:r>
      <w:fldChar w:fldCharType="begin"/>
    </w:r>
    <w:r>
      <w:instrText xml:space="preserve">PAGE  </w:instrText>
    </w:r>
    <w:r>
      <w:fldChar w:fldCharType="end"/>
    </w:r>
  </w:p>
  <w:p>
    <w:pPr>
      <w:tabs>
        <w:tab w:val="center" w:pos="4153"/>
        <w:tab w:val="right" w:pos="8306"/>
      </w:tabs>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firstLine="360"/>
      <w:jc w:val="center"/>
    </w:pPr>
    <w:r>
      <w:rPr>
        <w:sz w:val="24"/>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tabs>
                              <w:tab w:val="center" w:pos="4153"/>
                              <w:tab w:val="right" w:pos="8306"/>
                            </w:tabs>
                            <w:ind w:left="0" w:leftChars="0" w:firstLine="0" w:firstLineChars="0"/>
                          </w:pPr>
                          <w:r>
                            <w:fldChar w:fldCharType="begin"/>
                          </w:r>
                          <w:r>
                            <w:instrText xml:space="preserve"> PAGE  \* MERGEFORMAT </w:instrText>
                          </w:r>
                          <w:r>
                            <w:fldChar w:fldCharType="separate"/>
                          </w:r>
                          <w:r>
                            <w:t>26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tabs>
                        <w:tab w:val="center" w:pos="4153"/>
                        <w:tab w:val="right" w:pos="8306"/>
                      </w:tabs>
                      <w:ind w:left="0" w:leftChars="0" w:firstLine="0" w:firstLineChars="0"/>
                    </w:pPr>
                    <w:r>
                      <w:fldChar w:fldCharType="begin"/>
                    </w:r>
                    <w:r>
                      <w:instrText xml:space="preserve"> PAGE  \* MERGEFORMAT </w:instrText>
                    </w:r>
                    <w:r>
                      <w:fldChar w:fldCharType="separate"/>
                    </w:r>
                    <w:r>
                      <w:t>26</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none" w:color="auto" w:sz="0" w:space="0"/>
      </w:pBdr>
      <w:tabs>
        <w:tab w:val="center" w:pos="4153"/>
        <w:tab w:val="right" w:pos="8306"/>
      </w:tabs>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C701D0"/>
    <w:multiLevelType w:val="singleLevel"/>
    <w:tmpl w:val="82C701D0"/>
    <w:lvl w:ilvl="0" w:tentative="0">
      <w:start w:val="1"/>
      <w:numFmt w:val="decimal"/>
      <w:suff w:val="nothing"/>
      <w:lvlText w:val="（%1）"/>
      <w:lvlJc w:val="left"/>
    </w:lvl>
  </w:abstractNum>
  <w:abstractNum w:abstractNumId="1">
    <w:nsid w:val="887650E3"/>
    <w:multiLevelType w:val="singleLevel"/>
    <w:tmpl w:val="887650E3"/>
    <w:lvl w:ilvl="0" w:tentative="0">
      <w:start w:val="6"/>
      <w:numFmt w:val="decimal"/>
      <w:suff w:val="nothing"/>
      <w:lvlText w:val="%1）"/>
      <w:lvlJc w:val="left"/>
    </w:lvl>
  </w:abstractNum>
  <w:abstractNum w:abstractNumId="2">
    <w:nsid w:val="909F0447"/>
    <w:multiLevelType w:val="singleLevel"/>
    <w:tmpl w:val="909F0447"/>
    <w:lvl w:ilvl="0" w:tentative="0">
      <w:start w:val="2"/>
      <w:numFmt w:val="decimal"/>
      <w:suff w:val="nothing"/>
      <w:lvlText w:val="%1、"/>
      <w:lvlJc w:val="left"/>
    </w:lvl>
  </w:abstractNum>
  <w:abstractNum w:abstractNumId="3">
    <w:nsid w:val="A5B47E18"/>
    <w:multiLevelType w:val="singleLevel"/>
    <w:tmpl w:val="A5B47E18"/>
    <w:lvl w:ilvl="0" w:tentative="0">
      <w:start w:val="2"/>
      <w:numFmt w:val="decimal"/>
      <w:suff w:val="nothing"/>
      <w:lvlText w:val="%1）"/>
      <w:lvlJc w:val="left"/>
    </w:lvl>
  </w:abstractNum>
  <w:abstractNum w:abstractNumId="4">
    <w:nsid w:val="BAA39732"/>
    <w:multiLevelType w:val="singleLevel"/>
    <w:tmpl w:val="BAA39732"/>
    <w:lvl w:ilvl="0" w:tentative="0">
      <w:start w:val="1"/>
      <w:numFmt w:val="decimal"/>
      <w:suff w:val="nothing"/>
      <w:lvlText w:val="%1、"/>
      <w:lvlJc w:val="left"/>
    </w:lvl>
  </w:abstractNum>
  <w:abstractNum w:abstractNumId="5">
    <w:nsid w:val="E3CBF551"/>
    <w:multiLevelType w:val="singleLevel"/>
    <w:tmpl w:val="E3CBF551"/>
    <w:lvl w:ilvl="0" w:tentative="0">
      <w:start w:val="1"/>
      <w:numFmt w:val="decimal"/>
      <w:suff w:val="nothing"/>
      <w:lvlText w:val="（%1）"/>
      <w:lvlJc w:val="left"/>
    </w:lvl>
  </w:abstractNum>
  <w:abstractNum w:abstractNumId="6">
    <w:nsid w:val="E7BD19B2"/>
    <w:multiLevelType w:val="singleLevel"/>
    <w:tmpl w:val="E7BD19B2"/>
    <w:lvl w:ilvl="0" w:tentative="0">
      <w:start w:val="1"/>
      <w:numFmt w:val="decimal"/>
      <w:suff w:val="nothing"/>
      <w:lvlText w:val="（%1）"/>
      <w:lvlJc w:val="left"/>
      <w:pPr>
        <w:ind w:left="480" w:firstLine="0"/>
      </w:pPr>
    </w:lvl>
  </w:abstractNum>
  <w:abstractNum w:abstractNumId="7">
    <w:nsid w:val="ED71A4C8"/>
    <w:multiLevelType w:val="multilevel"/>
    <w:tmpl w:val="ED71A4C8"/>
    <w:lvl w:ilvl="0" w:tentative="0">
      <w:start w:val="1"/>
      <w:numFmt w:val="decimal"/>
      <w:suff w:val="nothing"/>
      <w:lvlText w:val="%1、"/>
      <w:lvlJc w:val="left"/>
      <w:pPr>
        <w:ind w:left="0" w:leftChars="0" w:firstLine="0" w:firstLineChars="0"/>
      </w:pPr>
      <w:rPr>
        <w:rFonts w:hint="default"/>
      </w:rPr>
    </w:lvl>
    <w:lvl w:ilvl="1" w:tentative="0">
      <w:start w:val="1"/>
      <w:numFmt w:val="decimal"/>
      <w:suff w:val="nothing"/>
      <w:lvlText w:val="%1.%2、"/>
      <w:lvlJc w:val="left"/>
      <w:pPr>
        <w:ind w:left="0" w:leftChars="0" w:firstLine="0" w:firstLineChars="0"/>
      </w:pPr>
      <w:rPr>
        <w:rFonts w:hint="default"/>
      </w:rPr>
    </w:lvl>
    <w:lvl w:ilvl="2" w:tentative="0">
      <w:start w:val="1"/>
      <w:numFmt w:val="decimal"/>
      <w:suff w:val="nothing"/>
      <w:lvlText w:val="%1.%2.%3、"/>
      <w:lvlJc w:val="left"/>
      <w:pPr>
        <w:ind w:left="0" w:leftChars="0" w:firstLine="0" w:firstLineChars="0"/>
      </w:pPr>
      <w:rPr>
        <w:rFonts w:hint="default"/>
      </w:rPr>
    </w:lvl>
    <w:lvl w:ilvl="3" w:tentative="0">
      <w:start w:val="1"/>
      <w:numFmt w:val="decimal"/>
      <w:suff w:val="nothing"/>
      <w:lvlText w:val="%1.%2.%3.%4、"/>
      <w:lvlJc w:val="left"/>
      <w:pPr>
        <w:ind w:left="0" w:leftChars="0" w:firstLine="0" w:firstLineChars="0"/>
      </w:pPr>
      <w:rPr>
        <w:rFonts w:hint="default"/>
      </w:rPr>
    </w:lvl>
    <w:lvl w:ilvl="4" w:tentative="0">
      <w:start w:val="1"/>
      <w:numFmt w:val="decimal"/>
      <w:suff w:val="nothing"/>
      <w:lvlText w:val="%1.%2.%3.%4.%5、"/>
      <w:lvlJc w:val="left"/>
      <w:pPr>
        <w:ind w:left="0" w:leftChars="0" w:firstLine="0" w:firstLineChars="0"/>
      </w:pPr>
      <w:rPr>
        <w:rFonts w:hint="default"/>
      </w:rPr>
    </w:lvl>
    <w:lvl w:ilvl="5" w:tentative="0">
      <w:start w:val="1"/>
      <w:numFmt w:val="decimal"/>
      <w:suff w:val="nothing"/>
      <w:lvlText w:val="%1.%2.%3.%4.%5.%6、"/>
      <w:lvlJc w:val="left"/>
      <w:pPr>
        <w:ind w:left="0" w:leftChars="0" w:firstLine="0" w:firstLineChars="0"/>
      </w:pPr>
      <w:rPr>
        <w:rFonts w:hint="default"/>
      </w:rPr>
    </w:lvl>
    <w:lvl w:ilvl="6" w:tentative="0">
      <w:start w:val="1"/>
      <w:numFmt w:val="decimal"/>
      <w:suff w:val="nothing"/>
      <w:lvlText w:val="%1.%2.%3.%4.%5.%6.%7、"/>
      <w:lvlJc w:val="left"/>
      <w:pPr>
        <w:ind w:left="0" w:leftChars="0" w:firstLine="0" w:firstLineChars="0"/>
      </w:pPr>
      <w:rPr>
        <w:rFonts w:hint="default"/>
      </w:rPr>
    </w:lvl>
    <w:lvl w:ilvl="7" w:tentative="0">
      <w:start w:val="1"/>
      <w:numFmt w:val="decimal"/>
      <w:suff w:val="nothing"/>
      <w:lvlText w:val="%1.%2.%3.%4.%5.%6.%7.%8、"/>
      <w:lvlJc w:val="left"/>
      <w:pPr>
        <w:ind w:left="0" w:leftChars="0" w:firstLine="0" w:firstLineChars="0"/>
      </w:pPr>
      <w:rPr>
        <w:rFonts w:hint="default"/>
      </w:rPr>
    </w:lvl>
    <w:lvl w:ilvl="8" w:tentative="0">
      <w:start w:val="1"/>
      <w:numFmt w:val="decimal"/>
      <w:suff w:val="nothing"/>
      <w:lvlText w:val="%1.%2.%3.%4.%5.%6.%7.%8.%9、"/>
      <w:lvlJc w:val="left"/>
      <w:pPr>
        <w:ind w:left="0" w:leftChars="0" w:firstLine="0" w:firstLineChars="0"/>
      </w:pPr>
      <w:rPr>
        <w:rFonts w:hint="default"/>
      </w:rPr>
    </w:lvl>
  </w:abstractNum>
  <w:abstractNum w:abstractNumId="8">
    <w:nsid w:val="175A73FF"/>
    <w:multiLevelType w:val="singleLevel"/>
    <w:tmpl w:val="175A73FF"/>
    <w:lvl w:ilvl="0" w:tentative="0">
      <w:start w:val="1"/>
      <w:numFmt w:val="decimal"/>
      <w:suff w:val="nothing"/>
      <w:lvlText w:val="%1、"/>
      <w:lvlJc w:val="left"/>
    </w:lvl>
  </w:abstractNum>
  <w:abstractNum w:abstractNumId="9">
    <w:nsid w:val="341B3E6D"/>
    <w:multiLevelType w:val="singleLevel"/>
    <w:tmpl w:val="341B3E6D"/>
    <w:lvl w:ilvl="0" w:tentative="0">
      <w:start w:val="2"/>
      <w:numFmt w:val="decimal"/>
      <w:suff w:val="nothing"/>
      <w:lvlText w:val="%1、"/>
      <w:lvlJc w:val="left"/>
    </w:lvl>
  </w:abstractNum>
  <w:abstractNum w:abstractNumId="10">
    <w:nsid w:val="3785599D"/>
    <w:multiLevelType w:val="singleLevel"/>
    <w:tmpl w:val="3785599D"/>
    <w:lvl w:ilvl="0" w:tentative="0">
      <w:start w:val="1"/>
      <w:numFmt w:val="upperLetter"/>
      <w:suff w:val="space"/>
      <w:lvlText w:val="%1."/>
      <w:lvlJc w:val="left"/>
    </w:lvl>
  </w:abstractNum>
  <w:abstractNum w:abstractNumId="11">
    <w:nsid w:val="3FCA2DB5"/>
    <w:multiLevelType w:val="singleLevel"/>
    <w:tmpl w:val="3FCA2DB5"/>
    <w:lvl w:ilvl="0" w:tentative="0">
      <w:start w:val="1"/>
      <w:numFmt w:val="decimal"/>
      <w:suff w:val="nothing"/>
      <w:lvlText w:val="（%1）"/>
      <w:lvlJc w:val="left"/>
    </w:lvl>
  </w:abstractNum>
  <w:abstractNum w:abstractNumId="12">
    <w:nsid w:val="442E4401"/>
    <w:multiLevelType w:val="singleLevel"/>
    <w:tmpl w:val="442E4401"/>
    <w:lvl w:ilvl="0" w:tentative="0">
      <w:start w:val="1"/>
      <w:numFmt w:val="decimal"/>
      <w:suff w:val="nothing"/>
      <w:lvlText w:val="（%1）"/>
      <w:lvlJc w:val="left"/>
    </w:lvl>
  </w:abstractNum>
  <w:abstractNum w:abstractNumId="13">
    <w:nsid w:val="48F17CFD"/>
    <w:multiLevelType w:val="singleLevel"/>
    <w:tmpl w:val="48F17CFD"/>
    <w:lvl w:ilvl="0" w:tentative="0">
      <w:start w:val="1"/>
      <w:numFmt w:val="decimal"/>
      <w:suff w:val="nothing"/>
      <w:lvlText w:val="（%1）"/>
      <w:lvlJc w:val="left"/>
    </w:lvl>
  </w:abstractNum>
  <w:abstractNum w:abstractNumId="14">
    <w:nsid w:val="54D75B8C"/>
    <w:multiLevelType w:val="singleLevel"/>
    <w:tmpl w:val="54D75B8C"/>
    <w:lvl w:ilvl="0" w:tentative="0">
      <w:start w:val="7"/>
      <w:numFmt w:val="decimal"/>
      <w:suff w:val="nothing"/>
      <w:lvlText w:val="%1、"/>
      <w:lvlJc w:val="left"/>
    </w:lvl>
  </w:abstractNum>
  <w:abstractNum w:abstractNumId="15">
    <w:nsid w:val="60A1FA4F"/>
    <w:multiLevelType w:val="singleLevel"/>
    <w:tmpl w:val="60A1FA4F"/>
    <w:lvl w:ilvl="0" w:tentative="0">
      <w:start w:val="1"/>
      <w:numFmt w:val="decimal"/>
      <w:suff w:val="nothing"/>
      <w:lvlText w:val="（%1）"/>
      <w:lvlJc w:val="left"/>
    </w:lvl>
  </w:abstractNum>
  <w:abstractNum w:abstractNumId="16">
    <w:nsid w:val="6582C256"/>
    <w:multiLevelType w:val="singleLevel"/>
    <w:tmpl w:val="6582C256"/>
    <w:lvl w:ilvl="0" w:tentative="0">
      <w:start w:val="1"/>
      <w:numFmt w:val="decimal"/>
      <w:suff w:val="nothing"/>
      <w:lvlText w:val="%1、"/>
      <w:lvlJc w:val="left"/>
    </w:lvl>
  </w:abstractNum>
  <w:abstractNum w:abstractNumId="17">
    <w:nsid w:val="6DDA744B"/>
    <w:multiLevelType w:val="singleLevel"/>
    <w:tmpl w:val="6DDA744B"/>
    <w:lvl w:ilvl="0" w:tentative="0">
      <w:start w:val="1"/>
      <w:numFmt w:val="decimal"/>
      <w:suff w:val="nothing"/>
      <w:lvlText w:val="%1、"/>
      <w:lvlJc w:val="left"/>
    </w:lvl>
  </w:abstractNum>
  <w:num w:numId="1">
    <w:abstractNumId w:val="17"/>
  </w:num>
  <w:num w:numId="2">
    <w:abstractNumId w:val="2"/>
  </w:num>
  <w:num w:numId="3">
    <w:abstractNumId w:val="6"/>
  </w:num>
  <w:num w:numId="4">
    <w:abstractNumId w:val="14"/>
  </w:num>
  <w:num w:numId="5">
    <w:abstractNumId w:val="16"/>
  </w:num>
  <w:num w:numId="6">
    <w:abstractNumId w:val="7"/>
  </w:num>
  <w:num w:numId="7">
    <w:abstractNumId w:val="12"/>
  </w:num>
  <w:num w:numId="8">
    <w:abstractNumId w:val="5"/>
  </w:num>
  <w:num w:numId="9">
    <w:abstractNumId w:val="0"/>
  </w:num>
  <w:num w:numId="10">
    <w:abstractNumId w:val="9"/>
  </w:num>
  <w:num w:numId="11">
    <w:abstractNumId w:val="11"/>
  </w:num>
  <w:num w:numId="12">
    <w:abstractNumId w:val="13"/>
  </w:num>
  <w:num w:numId="13">
    <w:abstractNumId w:val="10"/>
  </w:num>
  <w:num w:numId="14">
    <w:abstractNumId w:val="4"/>
  </w:num>
  <w:num w:numId="15">
    <w:abstractNumId w:val="3"/>
  </w:num>
  <w:num w:numId="16">
    <w:abstractNumId w:val="1"/>
  </w:num>
  <w:num w:numId="17">
    <w:abstractNumId w:val="15"/>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FjNmUyMWViMTdkYjlmYzNjNDU1ZDY5NDMxYTY4NmYifQ=="/>
  </w:docVars>
  <w:rsids>
    <w:rsidRoot w:val="47053173"/>
    <w:rsid w:val="001315D9"/>
    <w:rsid w:val="00165A52"/>
    <w:rsid w:val="00385310"/>
    <w:rsid w:val="004245A6"/>
    <w:rsid w:val="00830EAE"/>
    <w:rsid w:val="009118D0"/>
    <w:rsid w:val="00DC40A9"/>
    <w:rsid w:val="00FF7704"/>
    <w:rsid w:val="011110D1"/>
    <w:rsid w:val="011A30A0"/>
    <w:rsid w:val="012408A7"/>
    <w:rsid w:val="013E201E"/>
    <w:rsid w:val="01B16C90"/>
    <w:rsid w:val="025E0D89"/>
    <w:rsid w:val="02A9449A"/>
    <w:rsid w:val="032B218D"/>
    <w:rsid w:val="032B6890"/>
    <w:rsid w:val="03E8058D"/>
    <w:rsid w:val="043013E0"/>
    <w:rsid w:val="044F5A8C"/>
    <w:rsid w:val="045532DC"/>
    <w:rsid w:val="0482050F"/>
    <w:rsid w:val="050067FE"/>
    <w:rsid w:val="05B26F8C"/>
    <w:rsid w:val="060F4B1E"/>
    <w:rsid w:val="06290FF2"/>
    <w:rsid w:val="063E0030"/>
    <w:rsid w:val="066F5090"/>
    <w:rsid w:val="067F457F"/>
    <w:rsid w:val="069A340F"/>
    <w:rsid w:val="06A613AE"/>
    <w:rsid w:val="06EE1B44"/>
    <w:rsid w:val="073C0184"/>
    <w:rsid w:val="07EF395F"/>
    <w:rsid w:val="08AA56EC"/>
    <w:rsid w:val="091F0FEF"/>
    <w:rsid w:val="09D83C22"/>
    <w:rsid w:val="09F77876"/>
    <w:rsid w:val="0A1C3084"/>
    <w:rsid w:val="0A7F5E5B"/>
    <w:rsid w:val="0AD62182"/>
    <w:rsid w:val="0B1B004E"/>
    <w:rsid w:val="0B5C62F7"/>
    <w:rsid w:val="0B8249A4"/>
    <w:rsid w:val="0BC670F4"/>
    <w:rsid w:val="0C0D5F60"/>
    <w:rsid w:val="0C3500D2"/>
    <w:rsid w:val="0C807FF6"/>
    <w:rsid w:val="0C9225F0"/>
    <w:rsid w:val="0D370484"/>
    <w:rsid w:val="0D551E2B"/>
    <w:rsid w:val="0D6C21DC"/>
    <w:rsid w:val="0DB0141C"/>
    <w:rsid w:val="0E240DC0"/>
    <w:rsid w:val="0E881C03"/>
    <w:rsid w:val="0EAF4908"/>
    <w:rsid w:val="0EED0A31"/>
    <w:rsid w:val="0F82029A"/>
    <w:rsid w:val="0F972180"/>
    <w:rsid w:val="0FFB6DC3"/>
    <w:rsid w:val="100A1780"/>
    <w:rsid w:val="104738BC"/>
    <w:rsid w:val="10BA7379"/>
    <w:rsid w:val="10CB41CE"/>
    <w:rsid w:val="11823A57"/>
    <w:rsid w:val="11DB728C"/>
    <w:rsid w:val="11FC4D83"/>
    <w:rsid w:val="120E7E53"/>
    <w:rsid w:val="12664571"/>
    <w:rsid w:val="12751FBA"/>
    <w:rsid w:val="128500F9"/>
    <w:rsid w:val="129513D3"/>
    <w:rsid w:val="12B83BBB"/>
    <w:rsid w:val="12CF73D3"/>
    <w:rsid w:val="13287B5E"/>
    <w:rsid w:val="13793A5A"/>
    <w:rsid w:val="13D425FF"/>
    <w:rsid w:val="14213E6D"/>
    <w:rsid w:val="143C379A"/>
    <w:rsid w:val="14472AFD"/>
    <w:rsid w:val="14685455"/>
    <w:rsid w:val="157447A7"/>
    <w:rsid w:val="1594241D"/>
    <w:rsid w:val="15B45BDB"/>
    <w:rsid w:val="15FF3D3A"/>
    <w:rsid w:val="16391213"/>
    <w:rsid w:val="16897AA8"/>
    <w:rsid w:val="16F071FF"/>
    <w:rsid w:val="16F50709"/>
    <w:rsid w:val="16FB2B2C"/>
    <w:rsid w:val="17C214C3"/>
    <w:rsid w:val="17FE7DB3"/>
    <w:rsid w:val="18954400"/>
    <w:rsid w:val="18955D8E"/>
    <w:rsid w:val="18A803D1"/>
    <w:rsid w:val="18AD2173"/>
    <w:rsid w:val="18CD7907"/>
    <w:rsid w:val="192E06A4"/>
    <w:rsid w:val="19BF2A78"/>
    <w:rsid w:val="19CE7274"/>
    <w:rsid w:val="1A0F5B19"/>
    <w:rsid w:val="1AE23B9D"/>
    <w:rsid w:val="1AE43F48"/>
    <w:rsid w:val="1B0F3992"/>
    <w:rsid w:val="1B162563"/>
    <w:rsid w:val="1B3E3FFA"/>
    <w:rsid w:val="1B551BE2"/>
    <w:rsid w:val="1B6249A5"/>
    <w:rsid w:val="1B9A7A50"/>
    <w:rsid w:val="1BA15EFF"/>
    <w:rsid w:val="1BA4628B"/>
    <w:rsid w:val="1BB750B7"/>
    <w:rsid w:val="1C7A61E7"/>
    <w:rsid w:val="1CA13D9D"/>
    <w:rsid w:val="1CB17D58"/>
    <w:rsid w:val="1CEA3A0A"/>
    <w:rsid w:val="1CFC69E7"/>
    <w:rsid w:val="1D2D469A"/>
    <w:rsid w:val="1DD147E4"/>
    <w:rsid w:val="1DE57CB9"/>
    <w:rsid w:val="1E345170"/>
    <w:rsid w:val="1E5124DA"/>
    <w:rsid w:val="1ECD1525"/>
    <w:rsid w:val="1F1749C7"/>
    <w:rsid w:val="1F8F370F"/>
    <w:rsid w:val="1F9C4138"/>
    <w:rsid w:val="1FA6791C"/>
    <w:rsid w:val="1FAA76E8"/>
    <w:rsid w:val="1FE852AF"/>
    <w:rsid w:val="2010218D"/>
    <w:rsid w:val="20353013"/>
    <w:rsid w:val="20BF1705"/>
    <w:rsid w:val="21273FD3"/>
    <w:rsid w:val="213C560E"/>
    <w:rsid w:val="21551C8E"/>
    <w:rsid w:val="216C53BD"/>
    <w:rsid w:val="221C2118"/>
    <w:rsid w:val="224D422F"/>
    <w:rsid w:val="225A71AC"/>
    <w:rsid w:val="2261722A"/>
    <w:rsid w:val="23284A00"/>
    <w:rsid w:val="237D41D3"/>
    <w:rsid w:val="24702649"/>
    <w:rsid w:val="249064A5"/>
    <w:rsid w:val="24A25493"/>
    <w:rsid w:val="24B43F24"/>
    <w:rsid w:val="24B94ECC"/>
    <w:rsid w:val="24D757B6"/>
    <w:rsid w:val="254E4396"/>
    <w:rsid w:val="25796751"/>
    <w:rsid w:val="25900E53"/>
    <w:rsid w:val="25C56588"/>
    <w:rsid w:val="25CA0DDB"/>
    <w:rsid w:val="25CF4922"/>
    <w:rsid w:val="262E41C8"/>
    <w:rsid w:val="26462E73"/>
    <w:rsid w:val="26643AA4"/>
    <w:rsid w:val="27554102"/>
    <w:rsid w:val="27A42993"/>
    <w:rsid w:val="27C51EAE"/>
    <w:rsid w:val="280D7146"/>
    <w:rsid w:val="281849E7"/>
    <w:rsid w:val="28751E4A"/>
    <w:rsid w:val="28A241A2"/>
    <w:rsid w:val="291A167B"/>
    <w:rsid w:val="29622B06"/>
    <w:rsid w:val="296E036D"/>
    <w:rsid w:val="29B67B1F"/>
    <w:rsid w:val="29BA4FEB"/>
    <w:rsid w:val="29C275A9"/>
    <w:rsid w:val="2A4B359A"/>
    <w:rsid w:val="2A6D3510"/>
    <w:rsid w:val="2AE960B5"/>
    <w:rsid w:val="2B5E10AB"/>
    <w:rsid w:val="2B9B30E3"/>
    <w:rsid w:val="2C116070"/>
    <w:rsid w:val="2C2D64AC"/>
    <w:rsid w:val="2C3857BC"/>
    <w:rsid w:val="2C3E345B"/>
    <w:rsid w:val="2C4A6722"/>
    <w:rsid w:val="2C602B58"/>
    <w:rsid w:val="2C7E7C57"/>
    <w:rsid w:val="2CAB6572"/>
    <w:rsid w:val="2CBE2DC2"/>
    <w:rsid w:val="2CC0642F"/>
    <w:rsid w:val="2CF33A75"/>
    <w:rsid w:val="2D1759B5"/>
    <w:rsid w:val="2D69103B"/>
    <w:rsid w:val="2D77596B"/>
    <w:rsid w:val="2E283EF2"/>
    <w:rsid w:val="2E5C1736"/>
    <w:rsid w:val="2EC92CDF"/>
    <w:rsid w:val="2F5A5B31"/>
    <w:rsid w:val="2F966CF6"/>
    <w:rsid w:val="2F976672"/>
    <w:rsid w:val="2FCE2CA3"/>
    <w:rsid w:val="30085A89"/>
    <w:rsid w:val="30306A4E"/>
    <w:rsid w:val="305F2971"/>
    <w:rsid w:val="306A22A0"/>
    <w:rsid w:val="307A1F74"/>
    <w:rsid w:val="30DE6E18"/>
    <w:rsid w:val="30E15E23"/>
    <w:rsid w:val="30F65107"/>
    <w:rsid w:val="30F71D86"/>
    <w:rsid w:val="3119669A"/>
    <w:rsid w:val="31211C6B"/>
    <w:rsid w:val="314E0AC9"/>
    <w:rsid w:val="315F449F"/>
    <w:rsid w:val="316B62D0"/>
    <w:rsid w:val="31714E79"/>
    <w:rsid w:val="317258B0"/>
    <w:rsid w:val="31A12B66"/>
    <w:rsid w:val="31A32590"/>
    <w:rsid w:val="31ED4F37"/>
    <w:rsid w:val="328E04C8"/>
    <w:rsid w:val="33092244"/>
    <w:rsid w:val="334F3A78"/>
    <w:rsid w:val="335D42AC"/>
    <w:rsid w:val="33E235BD"/>
    <w:rsid w:val="34496D9C"/>
    <w:rsid w:val="34656552"/>
    <w:rsid w:val="34ED65FD"/>
    <w:rsid w:val="34FC740F"/>
    <w:rsid w:val="350031D3"/>
    <w:rsid w:val="35287720"/>
    <w:rsid w:val="35305866"/>
    <w:rsid w:val="36214578"/>
    <w:rsid w:val="365821EB"/>
    <w:rsid w:val="36684FA0"/>
    <w:rsid w:val="368B7A65"/>
    <w:rsid w:val="36957204"/>
    <w:rsid w:val="369E5C9F"/>
    <w:rsid w:val="36A94964"/>
    <w:rsid w:val="36C76585"/>
    <w:rsid w:val="37AD3E74"/>
    <w:rsid w:val="388A181B"/>
    <w:rsid w:val="389418DC"/>
    <w:rsid w:val="38B144A1"/>
    <w:rsid w:val="38B844F1"/>
    <w:rsid w:val="38E558A5"/>
    <w:rsid w:val="393B7072"/>
    <w:rsid w:val="394A4815"/>
    <w:rsid w:val="396928F7"/>
    <w:rsid w:val="3974347B"/>
    <w:rsid w:val="39987658"/>
    <w:rsid w:val="3A5A5133"/>
    <w:rsid w:val="3AFB79C9"/>
    <w:rsid w:val="3B443F85"/>
    <w:rsid w:val="3B5F0E63"/>
    <w:rsid w:val="3B765A19"/>
    <w:rsid w:val="3B7E6B50"/>
    <w:rsid w:val="3BBB2595"/>
    <w:rsid w:val="3C193CB7"/>
    <w:rsid w:val="3C48463B"/>
    <w:rsid w:val="3CD76F0F"/>
    <w:rsid w:val="3CEF67DE"/>
    <w:rsid w:val="3D09633C"/>
    <w:rsid w:val="3D154E97"/>
    <w:rsid w:val="3DCB4A5E"/>
    <w:rsid w:val="3DE10046"/>
    <w:rsid w:val="3DE24C6F"/>
    <w:rsid w:val="3DF748FE"/>
    <w:rsid w:val="3E2D6640"/>
    <w:rsid w:val="3E932F81"/>
    <w:rsid w:val="3EA846BF"/>
    <w:rsid w:val="3F7828C0"/>
    <w:rsid w:val="3FD75B91"/>
    <w:rsid w:val="40134D99"/>
    <w:rsid w:val="40152228"/>
    <w:rsid w:val="40427D9A"/>
    <w:rsid w:val="4061546E"/>
    <w:rsid w:val="406E53A2"/>
    <w:rsid w:val="4085030C"/>
    <w:rsid w:val="40A05B7D"/>
    <w:rsid w:val="40B17B33"/>
    <w:rsid w:val="4192131F"/>
    <w:rsid w:val="41D16B08"/>
    <w:rsid w:val="41F70CE1"/>
    <w:rsid w:val="4220527B"/>
    <w:rsid w:val="426E1B86"/>
    <w:rsid w:val="42AA573A"/>
    <w:rsid w:val="42FF4ACA"/>
    <w:rsid w:val="43242558"/>
    <w:rsid w:val="43924A18"/>
    <w:rsid w:val="44965297"/>
    <w:rsid w:val="44A2324C"/>
    <w:rsid w:val="44F80080"/>
    <w:rsid w:val="45382904"/>
    <w:rsid w:val="453C2005"/>
    <w:rsid w:val="45414B3A"/>
    <w:rsid w:val="454B049A"/>
    <w:rsid w:val="456B4699"/>
    <w:rsid w:val="45723C79"/>
    <w:rsid w:val="457242F0"/>
    <w:rsid w:val="45967968"/>
    <w:rsid w:val="46363FA1"/>
    <w:rsid w:val="46920416"/>
    <w:rsid w:val="47053173"/>
    <w:rsid w:val="476615BC"/>
    <w:rsid w:val="47B87954"/>
    <w:rsid w:val="47E5631D"/>
    <w:rsid w:val="47FE6991"/>
    <w:rsid w:val="482711E5"/>
    <w:rsid w:val="4827655D"/>
    <w:rsid w:val="483F4329"/>
    <w:rsid w:val="486D5314"/>
    <w:rsid w:val="486F48C2"/>
    <w:rsid w:val="486F624E"/>
    <w:rsid w:val="487944BC"/>
    <w:rsid w:val="48853CC3"/>
    <w:rsid w:val="48B67A3B"/>
    <w:rsid w:val="48FE104F"/>
    <w:rsid w:val="4922098C"/>
    <w:rsid w:val="497349D4"/>
    <w:rsid w:val="498666D4"/>
    <w:rsid w:val="49D7054F"/>
    <w:rsid w:val="4A066B62"/>
    <w:rsid w:val="4A253F1B"/>
    <w:rsid w:val="4A463AC2"/>
    <w:rsid w:val="4A5E5147"/>
    <w:rsid w:val="4A673C05"/>
    <w:rsid w:val="4A6E2C61"/>
    <w:rsid w:val="4AC72371"/>
    <w:rsid w:val="4AED4E6E"/>
    <w:rsid w:val="4B024833"/>
    <w:rsid w:val="4B0916CC"/>
    <w:rsid w:val="4B2C214A"/>
    <w:rsid w:val="4BDD7D6C"/>
    <w:rsid w:val="4CA20751"/>
    <w:rsid w:val="4CAD1F12"/>
    <w:rsid w:val="4CD60481"/>
    <w:rsid w:val="4CFD466D"/>
    <w:rsid w:val="4D1E1B0E"/>
    <w:rsid w:val="4D6451F3"/>
    <w:rsid w:val="4D93478D"/>
    <w:rsid w:val="4DA66461"/>
    <w:rsid w:val="4DDF13BD"/>
    <w:rsid w:val="4DF25957"/>
    <w:rsid w:val="4E067654"/>
    <w:rsid w:val="4E1F7FBC"/>
    <w:rsid w:val="4E2272BB"/>
    <w:rsid w:val="4E274047"/>
    <w:rsid w:val="4EDF2AC7"/>
    <w:rsid w:val="4EE96D5A"/>
    <w:rsid w:val="4EF67259"/>
    <w:rsid w:val="4F847D34"/>
    <w:rsid w:val="4FD32844"/>
    <w:rsid w:val="4FD663A2"/>
    <w:rsid w:val="4FF22ADE"/>
    <w:rsid w:val="505878DB"/>
    <w:rsid w:val="50AB080A"/>
    <w:rsid w:val="50CF7937"/>
    <w:rsid w:val="50FA074F"/>
    <w:rsid w:val="51343DEC"/>
    <w:rsid w:val="519C60CD"/>
    <w:rsid w:val="52615BDB"/>
    <w:rsid w:val="52B413FF"/>
    <w:rsid w:val="52E14193"/>
    <w:rsid w:val="52F6622B"/>
    <w:rsid w:val="530C5AE0"/>
    <w:rsid w:val="53471191"/>
    <w:rsid w:val="53755522"/>
    <w:rsid w:val="53E977FC"/>
    <w:rsid w:val="54032E65"/>
    <w:rsid w:val="54286227"/>
    <w:rsid w:val="54591F54"/>
    <w:rsid w:val="546225B7"/>
    <w:rsid w:val="5494602E"/>
    <w:rsid w:val="54E862CA"/>
    <w:rsid w:val="54F202CB"/>
    <w:rsid w:val="552C2EC0"/>
    <w:rsid w:val="555265AB"/>
    <w:rsid w:val="559D4B69"/>
    <w:rsid w:val="55A87086"/>
    <w:rsid w:val="55B21658"/>
    <w:rsid w:val="55F84E2D"/>
    <w:rsid w:val="561D14EF"/>
    <w:rsid w:val="561F2D79"/>
    <w:rsid w:val="562E2BB0"/>
    <w:rsid w:val="56AB69D0"/>
    <w:rsid w:val="56E242AE"/>
    <w:rsid w:val="57CE11E3"/>
    <w:rsid w:val="58641ED1"/>
    <w:rsid w:val="586E6522"/>
    <w:rsid w:val="589A0571"/>
    <w:rsid w:val="58DF20B1"/>
    <w:rsid w:val="58F57085"/>
    <w:rsid w:val="594774F8"/>
    <w:rsid w:val="5966544B"/>
    <w:rsid w:val="59695163"/>
    <w:rsid w:val="59CE33BF"/>
    <w:rsid w:val="59DA2457"/>
    <w:rsid w:val="5A461504"/>
    <w:rsid w:val="5A49556B"/>
    <w:rsid w:val="5A9A35FE"/>
    <w:rsid w:val="5AC15B84"/>
    <w:rsid w:val="5AFA4EC0"/>
    <w:rsid w:val="5B1A45EB"/>
    <w:rsid w:val="5B653C0C"/>
    <w:rsid w:val="5B6800B4"/>
    <w:rsid w:val="5CE24DE9"/>
    <w:rsid w:val="5D064F7B"/>
    <w:rsid w:val="5D2418A5"/>
    <w:rsid w:val="5D85540E"/>
    <w:rsid w:val="5DF05DE5"/>
    <w:rsid w:val="5DF520B5"/>
    <w:rsid w:val="5E2C27BF"/>
    <w:rsid w:val="5E502D0D"/>
    <w:rsid w:val="5E9F11E3"/>
    <w:rsid w:val="5EC0115A"/>
    <w:rsid w:val="5EDA221B"/>
    <w:rsid w:val="5EF808F3"/>
    <w:rsid w:val="5F326B0D"/>
    <w:rsid w:val="5F4E6765"/>
    <w:rsid w:val="5F5C16FB"/>
    <w:rsid w:val="5FA228DA"/>
    <w:rsid w:val="5FCB4F59"/>
    <w:rsid w:val="600C79A0"/>
    <w:rsid w:val="60132DB5"/>
    <w:rsid w:val="6045514E"/>
    <w:rsid w:val="60B251CF"/>
    <w:rsid w:val="614535BE"/>
    <w:rsid w:val="61A862DB"/>
    <w:rsid w:val="61AE5BE1"/>
    <w:rsid w:val="61C07EFE"/>
    <w:rsid w:val="61F7494E"/>
    <w:rsid w:val="62176EB0"/>
    <w:rsid w:val="621B633A"/>
    <w:rsid w:val="627616ED"/>
    <w:rsid w:val="627961F7"/>
    <w:rsid w:val="627D61AC"/>
    <w:rsid w:val="62A82630"/>
    <w:rsid w:val="62C06F85"/>
    <w:rsid w:val="62F90B52"/>
    <w:rsid w:val="63494116"/>
    <w:rsid w:val="63497970"/>
    <w:rsid w:val="63732C3E"/>
    <w:rsid w:val="63915694"/>
    <w:rsid w:val="63A763D8"/>
    <w:rsid w:val="63A921DA"/>
    <w:rsid w:val="642829A6"/>
    <w:rsid w:val="650158E1"/>
    <w:rsid w:val="6515190C"/>
    <w:rsid w:val="65B04FA9"/>
    <w:rsid w:val="65E816C2"/>
    <w:rsid w:val="662326FA"/>
    <w:rsid w:val="668E66C1"/>
    <w:rsid w:val="6695111E"/>
    <w:rsid w:val="66990C0E"/>
    <w:rsid w:val="66B83497"/>
    <w:rsid w:val="66C537B1"/>
    <w:rsid w:val="66D659BE"/>
    <w:rsid w:val="66D93700"/>
    <w:rsid w:val="671062AF"/>
    <w:rsid w:val="67616BD8"/>
    <w:rsid w:val="67726ABA"/>
    <w:rsid w:val="677718E6"/>
    <w:rsid w:val="67982C74"/>
    <w:rsid w:val="679F4A2F"/>
    <w:rsid w:val="67B55127"/>
    <w:rsid w:val="67B74A0C"/>
    <w:rsid w:val="67D55C76"/>
    <w:rsid w:val="67EC4321"/>
    <w:rsid w:val="67FA1F52"/>
    <w:rsid w:val="68774F7F"/>
    <w:rsid w:val="6888474E"/>
    <w:rsid w:val="68A02082"/>
    <w:rsid w:val="68A550EB"/>
    <w:rsid w:val="68C27941"/>
    <w:rsid w:val="68E36170"/>
    <w:rsid w:val="69802285"/>
    <w:rsid w:val="69C77253"/>
    <w:rsid w:val="69D65C6C"/>
    <w:rsid w:val="69F83D7A"/>
    <w:rsid w:val="6A003897"/>
    <w:rsid w:val="6A0D537E"/>
    <w:rsid w:val="6A4C5F97"/>
    <w:rsid w:val="6A7506A4"/>
    <w:rsid w:val="6A75293C"/>
    <w:rsid w:val="6B293018"/>
    <w:rsid w:val="6B2C3BC9"/>
    <w:rsid w:val="6B40511C"/>
    <w:rsid w:val="6B7E7ACD"/>
    <w:rsid w:val="6B811C71"/>
    <w:rsid w:val="6B8D102E"/>
    <w:rsid w:val="6BE26BB3"/>
    <w:rsid w:val="6C0F75E3"/>
    <w:rsid w:val="6C131266"/>
    <w:rsid w:val="6C313697"/>
    <w:rsid w:val="6C5A22AD"/>
    <w:rsid w:val="6C783074"/>
    <w:rsid w:val="6CC8224D"/>
    <w:rsid w:val="6D346605"/>
    <w:rsid w:val="6D350EF8"/>
    <w:rsid w:val="6DB4457F"/>
    <w:rsid w:val="6DB81A4B"/>
    <w:rsid w:val="6E076DA5"/>
    <w:rsid w:val="6E0E1EE1"/>
    <w:rsid w:val="6E855E96"/>
    <w:rsid w:val="6EB365E5"/>
    <w:rsid w:val="6ECC4A08"/>
    <w:rsid w:val="6FAD223C"/>
    <w:rsid w:val="6FFE7D34"/>
    <w:rsid w:val="702C2AF3"/>
    <w:rsid w:val="70313054"/>
    <w:rsid w:val="707276CF"/>
    <w:rsid w:val="707E3F08"/>
    <w:rsid w:val="708E4A9F"/>
    <w:rsid w:val="70B96BF1"/>
    <w:rsid w:val="70CA1E6C"/>
    <w:rsid w:val="71152AE8"/>
    <w:rsid w:val="71A8735C"/>
    <w:rsid w:val="72350E44"/>
    <w:rsid w:val="72377683"/>
    <w:rsid w:val="7240504F"/>
    <w:rsid w:val="7252506E"/>
    <w:rsid w:val="725418F8"/>
    <w:rsid w:val="729E1E51"/>
    <w:rsid w:val="72B8066E"/>
    <w:rsid w:val="72DA6836"/>
    <w:rsid w:val="73C05C8C"/>
    <w:rsid w:val="74343D24"/>
    <w:rsid w:val="74D61E3C"/>
    <w:rsid w:val="74E20FCC"/>
    <w:rsid w:val="75705230"/>
    <w:rsid w:val="758F6774"/>
    <w:rsid w:val="75E23569"/>
    <w:rsid w:val="75FA634C"/>
    <w:rsid w:val="761E2EDE"/>
    <w:rsid w:val="763747D2"/>
    <w:rsid w:val="767002F3"/>
    <w:rsid w:val="767C1543"/>
    <w:rsid w:val="7682346D"/>
    <w:rsid w:val="7709516F"/>
    <w:rsid w:val="770D3D5C"/>
    <w:rsid w:val="77187BD4"/>
    <w:rsid w:val="77591BD5"/>
    <w:rsid w:val="775A7E43"/>
    <w:rsid w:val="7763043E"/>
    <w:rsid w:val="777C2514"/>
    <w:rsid w:val="7785316E"/>
    <w:rsid w:val="77CA11BC"/>
    <w:rsid w:val="77D5243B"/>
    <w:rsid w:val="78505492"/>
    <w:rsid w:val="786662C8"/>
    <w:rsid w:val="78715BED"/>
    <w:rsid w:val="795843CD"/>
    <w:rsid w:val="79BD47BC"/>
    <w:rsid w:val="79C254CC"/>
    <w:rsid w:val="79F6563D"/>
    <w:rsid w:val="79FF2F27"/>
    <w:rsid w:val="7A295218"/>
    <w:rsid w:val="7A38059A"/>
    <w:rsid w:val="7A6D21C7"/>
    <w:rsid w:val="7AB21E46"/>
    <w:rsid w:val="7B3665D4"/>
    <w:rsid w:val="7B6475E5"/>
    <w:rsid w:val="7BB21888"/>
    <w:rsid w:val="7BC2430B"/>
    <w:rsid w:val="7BE0270E"/>
    <w:rsid w:val="7BE1707A"/>
    <w:rsid w:val="7C004FA5"/>
    <w:rsid w:val="7C320365"/>
    <w:rsid w:val="7C4A634F"/>
    <w:rsid w:val="7CED30CD"/>
    <w:rsid w:val="7D0B583E"/>
    <w:rsid w:val="7D5372A9"/>
    <w:rsid w:val="7D7A4E9D"/>
    <w:rsid w:val="7D9359C6"/>
    <w:rsid w:val="7DA74026"/>
    <w:rsid w:val="7DC35DA7"/>
    <w:rsid w:val="7E0562E1"/>
    <w:rsid w:val="7E5C13BC"/>
    <w:rsid w:val="7EC35CD5"/>
    <w:rsid w:val="7EC47895"/>
    <w:rsid w:val="7ECF746B"/>
    <w:rsid w:val="7F17671C"/>
    <w:rsid w:val="7F323556"/>
    <w:rsid w:val="7F45772D"/>
    <w:rsid w:val="7F7678E7"/>
    <w:rsid w:val="7F794CDA"/>
    <w:rsid w:val="7F8924E5"/>
    <w:rsid w:val="7FA801D8"/>
    <w:rsid w:val="7FE50BC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nhideWhenUsed="0" w:uiPriority="9" w:semiHidden="0" w:name="heading 3"/>
    <w:lsdException w:qFormat="1"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99"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720" w:firstLineChars="200"/>
      <w:jc w:val="both"/>
    </w:pPr>
    <w:rPr>
      <w:rFonts w:ascii="Times New Roman" w:hAnsi="Times New Roman" w:eastAsia="宋体" w:cs="Times New Roman"/>
      <w:kern w:val="2"/>
      <w:sz w:val="24"/>
      <w:szCs w:val="24"/>
      <w:lang w:val="en-US" w:eastAsia="zh-CN" w:bidi="ar-SA"/>
    </w:rPr>
  </w:style>
  <w:style w:type="paragraph" w:styleId="4">
    <w:name w:val="heading 1"/>
    <w:basedOn w:val="1"/>
    <w:next w:val="1"/>
    <w:qFormat/>
    <w:uiPriority w:val="0"/>
    <w:pPr>
      <w:keepNext/>
      <w:keepLines/>
      <w:spacing w:beforeLines="0" w:beforeAutospacing="0" w:afterLines="0" w:afterAutospacing="0" w:line="240" w:lineRule="auto"/>
      <w:ind w:firstLine="0" w:firstLineChars="0"/>
      <w:jc w:val="center"/>
      <w:outlineLvl w:val="0"/>
    </w:pPr>
    <w:rPr>
      <w:rFonts w:ascii="Times New Roman" w:hAnsi="Times New Roman" w:eastAsia="宋体"/>
      <w:b/>
      <w:kern w:val="44"/>
      <w:sz w:val="30"/>
    </w:rPr>
  </w:style>
  <w:style w:type="paragraph" w:styleId="5">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6">
    <w:name w:val="heading 3"/>
    <w:basedOn w:val="1"/>
    <w:next w:val="1"/>
    <w:qFormat/>
    <w:uiPriority w:val="9"/>
    <w:pPr>
      <w:keepNext/>
      <w:keepLines/>
      <w:tabs>
        <w:tab w:val="left" w:pos="425"/>
      </w:tabs>
      <w:adjustRightInd w:val="0"/>
      <w:spacing w:before="260" w:after="260" w:line="416" w:lineRule="atLeast"/>
      <w:ind w:left="425" w:hanging="425"/>
      <w:textAlignment w:val="baseline"/>
      <w:outlineLvl w:val="2"/>
    </w:pPr>
    <w:rPr>
      <w:rFonts w:ascii="宋体"/>
      <w:b/>
      <w:kern w:val="24"/>
      <w:sz w:val="32"/>
    </w:rPr>
  </w:style>
  <w:style w:type="paragraph" w:styleId="7">
    <w:name w:val="heading 4"/>
    <w:basedOn w:val="1"/>
    <w:next w:val="1"/>
    <w:unhideWhenUsed/>
    <w:qFormat/>
    <w:uiPriority w:val="9"/>
    <w:pPr>
      <w:keepNext/>
      <w:keepLines/>
      <w:spacing w:before="280" w:after="290" w:line="376" w:lineRule="auto"/>
      <w:outlineLvl w:val="3"/>
    </w:pPr>
    <w:rPr>
      <w:rFonts w:ascii="Cambria" w:hAnsi="Cambria" w:eastAsia="宋体" w:cs="Times New Roman"/>
      <w:b/>
      <w:bCs/>
      <w:sz w:val="28"/>
      <w:szCs w:val="28"/>
    </w:rPr>
  </w:style>
  <w:style w:type="character" w:default="1" w:styleId="17">
    <w:name w:val="Default Paragraph Font"/>
    <w:semiHidden/>
    <w:qFormat/>
    <w:uiPriority w:val="0"/>
  </w:style>
  <w:style w:type="table" w:default="1" w:styleId="15">
    <w:name w:val="Normal Table"/>
    <w:semiHidden/>
    <w:qFormat/>
    <w:uiPriority w:val="0"/>
    <w:tblPr>
      <w:tblCellMar>
        <w:top w:w="0" w:type="dxa"/>
        <w:left w:w="108" w:type="dxa"/>
        <w:bottom w:w="0" w:type="dxa"/>
        <w:right w:w="108" w:type="dxa"/>
      </w:tblCellMar>
    </w:tblPr>
  </w:style>
  <w:style w:type="paragraph" w:customStyle="1" w:styleId="2">
    <w:name w:val="Default"/>
    <w:basedOn w:val="3"/>
    <w:next w:val="1"/>
    <w:unhideWhenUsed/>
    <w:qFormat/>
    <w:uiPriority w:val="99"/>
    <w:pPr>
      <w:widowControl w:val="0"/>
      <w:autoSpaceDE w:val="0"/>
      <w:autoSpaceDN w:val="0"/>
      <w:adjustRightInd w:val="0"/>
      <w:jc w:val="center"/>
    </w:pPr>
    <w:rPr>
      <w:color w:val="000000"/>
      <w:sz w:val="21"/>
      <w:szCs w:val="24"/>
      <w:lang w:val="en-US" w:eastAsia="zh-CN" w:bidi="ar-SA"/>
    </w:rPr>
  </w:style>
  <w:style w:type="paragraph" w:customStyle="1" w:styleId="3">
    <w:name w:val="纯文本1"/>
    <w:basedOn w:val="1"/>
    <w:qFormat/>
    <w:uiPriority w:val="0"/>
    <w:pPr>
      <w:adjustRightInd w:val="0"/>
    </w:pPr>
    <w:rPr>
      <w:rFonts w:ascii="宋体" w:hAnsi="Courier New"/>
      <w:szCs w:val="20"/>
    </w:rPr>
  </w:style>
  <w:style w:type="paragraph" w:styleId="8">
    <w:name w:val="Normal Indent"/>
    <w:basedOn w:val="1"/>
    <w:qFormat/>
    <w:uiPriority w:val="0"/>
    <w:pPr>
      <w:spacing w:line="360" w:lineRule="auto"/>
      <w:ind w:firstLine="0" w:firstLineChars="0"/>
    </w:pPr>
    <w:rPr>
      <w:rFonts w:ascii="Times New Roman" w:hAnsi="Times New Roman" w:eastAsia="宋体"/>
      <w:b/>
    </w:rPr>
  </w:style>
  <w:style w:type="paragraph" w:styleId="9">
    <w:name w:val="caption"/>
    <w:basedOn w:val="1"/>
    <w:next w:val="1"/>
    <w:unhideWhenUsed/>
    <w:qFormat/>
    <w:uiPriority w:val="0"/>
    <w:pPr>
      <w:jc w:val="center"/>
      <w:outlineLvl w:val="9"/>
    </w:pPr>
    <w:rPr>
      <w:rFonts w:ascii="Times New Roman" w:hAnsi="Times New Roman" w:eastAsia="宋体" w:cs="Times New Roman"/>
      <w:b/>
      <w:szCs w:val="21"/>
    </w:rPr>
  </w:style>
  <w:style w:type="paragraph" w:styleId="10">
    <w:name w:val="Body Text"/>
    <w:basedOn w:val="1"/>
    <w:qFormat/>
    <w:uiPriority w:val="0"/>
    <w:pPr>
      <w:spacing w:after="120" w:afterLines="0" w:afterAutospacing="0"/>
    </w:pPr>
  </w:style>
  <w:style w:type="paragraph" w:styleId="11">
    <w:name w:val="Body Text Indent"/>
    <w:basedOn w:val="1"/>
    <w:qFormat/>
    <w:uiPriority w:val="0"/>
    <w:pPr>
      <w:spacing w:after="120"/>
      <w:ind w:left="420" w:leftChars="200"/>
    </w:pPr>
    <w:rPr>
      <w:sz w:val="21"/>
    </w:rPr>
  </w:style>
  <w:style w:type="paragraph" w:styleId="12">
    <w:name w:val="footer"/>
    <w:basedOn w:val="1"/>
    <w:qFormat/>
    <w:uiPriority w:val="99"/>
    <w:pPr>
      <w:tabs>
        <w:tab w:val="center" w:pos="4153"/>
        <w:tab w:val="right" w:pos="8306"/>
      </w:tabs>
      <w:snapToGrid w:val="0"/>
      <w:jc w:val="left"/>
    </w:pPr>
    <w:rPr>
      <w:rFonts w:ascii="Times New Roman" w:hAnsi="Times New Roman"/>
      <w:kern w:val="0"/>
      <w:sz w:val="21"/>
      <w:szCs w:val="20"/>
    </w:rPr>
  </w:style>
  <w:style w:type="paragraph" w:styleId="13">
    <w:name w:val="toc 1"/>
    <w:basedOn w:val="1"/>
    <w:next w:val="1"/>
    <w:qFormat/>
    <w:uiPriority w:val="0"/>
    <w:pPr>
      <w:spacing w:line="360" w:lineRule="auto"/>
      <w:ind w:firstLine="0" w:firstLineChars="0"/>
      <w:jc w:val="both"/>
    </w:pPr>
    <w:rPr>
      <w:rFonts w:ascii="Times New Roman" w:hAnsi="Times New Roman" w:eastAsia="宋体"/>
    </w:rPr>
  </w:style>
  <w:style w:type="paragraph" w:styleId="14">
    <w:name w:val="Body Text First Indent"/>
    <w:basedOn w:val="10"/>
    <w:next w:val="1"/>
    <w:qFormat/>
    <w:uiPriority w:val="0"/>
    <w:pPr>
      <w:ind w:firstLine="420" w:firstLineChars="100"/>
    </w:pPr>
  </w:style>
  <w:style w:type="table" w:styleId="16">
    <w:name w:val="Table Grid"/>
    <w:basedOn w:val="1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8">
    <w:name w:val="表头"/>
    <w:basedOn w:val="1"/>
    <w:qFormat/>
    <w:uiPriority w:val="0"/>
    <w:pPr>
      <w:spacing w:line="240" w:lineRule="auto"/>
      <w:ind w:firstLine="0" w:firstLineChars="0"/>
      <w:jc w:val="center"/>
    </w:pPr>
    <w:rPr>
      <w:rFonts w:hint="eastAsia" w:ascii="Times New Roman" w:hAnsi="Times New Roman" w:eastAsia="宋体"/>
      <w:b/>
      <w:sz w:val="21"/>
    </w:rPr>
  </w:style>
  <w:style w:type="paragraph" w:customStyle="1" w:styleId="19">
    <w:name w:val="表格"/>
    <w:basedOn w:val="1"/>
    <w:qFormat/>
    <w:uiPriority w:val="0"/>
    <w:pPr>
      <w:spacing w:line="240" w:lineRule="auto"/>
      <w:ind w:firstLine="0" w:firstLineChars="0"/>
      <w:jc w:val="center"/>
    </w:pPr>
    <w:rPr>
      <w:rFonts w:hint="eastAsia" w:ascii="Times New Roman" w:hAnsi="Times New Roman" w:eastAsia="宋体"/>
      <w:sz w:val="21"/>
    </w:rPr>
  </w:style>
  <w:style w:type="table" w:customStyle="1" w:styleId="20">
    <w:name w:val="Table Normal"/>
    <w:unhideWhenUsed/>
    <w:qFormat/>
    <w:uiPriority w:val="2"/>
    <w:pPr>
      <w:widowControl w:val="0"/>
    </w:pPr>
    <w:rPr>
      <w:sz w:val="22"/>
      <w:lang w:eastAsia="en-US"/>
    </w:rPr>
    <w:tblPr>
      <w:tblCellMar>
        <w:top w:w="0" w:type="dxa"/>
        <w:left w:w="0" w:type="dxa"/>
        <w:bottom w:w="0" w:type="dxa"/>
        <w:right w:w="0" w:type="dxa"/>
      </w:tblCellMar>
    </w:tblPr>
  </w:style>
  <w:style w:type="paragraph" w:customStyle="1" w:styleId="21">
    <w:name w:val="附件"/>
    <w:qFormat/>
    <w:uiPriority w:val="0"/>
    <w:pPr>
      <w:jc w:val="both"/>
      <w:outlineLvl w:val="0"/>
    </w:pPr>
    <w:rPr>
      <w:rFonts w:ascii="Times New Roman" w:hAnsi="Times New Roman" w:eastAsia="宋体" w:cs="Times New Roman"/>
      <w:b/>
      <w:bCs/>
      <w:sz w:val="24"/>
    </w:rPr>
  </w:style>
  <w:style w:type="paragraph" w:customStyle="1" w:styleId="22">
    <w:name w:val="报告正文"/>
    <w:basedOn w:val="1"/>
    <w:qFormat/>
    <w:uiPriority w:val="0"/>
    <w:pPr>
      <w:spacing w:line="360" w:lineRule="auto"/>
      <w:ind w:firstLine="720" w:firstLineChars="200"/>
    </w:pPr>
    <w:rPr>
      <w:rFonts w:ascii="Times New Roman" w:hAnsi="Times New Roman" w:eastAsia="宋体"/>
      <w:sz w:val="24"/>
    </w:rPr>
  </w:style>
  <w:style w:type="paragraph" w:customStyle="1" w:styleId="23">
    <w:name w:val="表格文字"/>
    <w:basedOn w:val="1"/>
    <w:next w:val="1"/>
    <w:qFormat/>
    <w:uiPriority w:val="0"/>
    <w:pPr>
      <w:snapToGrid w:val="0"/>
      <w:spacing w:line="240" w:lineRule="auto"/>
      <w:ind w:firstLine="0" w:firstLineChars="0"/>
      <w:jc w:val="center"/>
    </w:pPr>
    <w:rPr>
      <w:rFonts w:ascii="Times New Roman" w:hAnsi="Times New Roman" w:eastAsia="宋体"/>
      <w:kern w:val="44"/>
      <w:sz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73.png"/><Relationship Id="rId98" Type="http://schemas.openxmlformats.org/officeDocument/2006/relationships/image" Target="media/image72.png"/><Relationship Id="rId97" Type="http://schemas.openxmlformats.org/officeDocument/2006/relationships/image" Target="media/image71.png"/><Relationship Id="rId96" Type="http://schemas.openxmlformats.org/officeDocument/2006/relationships/image" Target="media/image70.png"/><Relationship Id="rId95" Type="http://schemas.openxmlformats.org/officeDocument/2006/relationships/image" Target="media/image69.png"/><Relationship Id="rId94" Type="http://schemas.openxmlformats.org/officeDocument/2006/relationships/image" Target="media/image68.jpeg"/><Relationship Id="rId93" Type="http://schemas.openxmlformats.org/officeDocument/2006/relationships/image" Target="media/image67.png"/><Relationship Id="rId92" Type="http://schemas.openxmlformats.org/officeDocument/2006/relationships/image" Target="media/image66.jpeg"/><Relationship Id="rId91" Type="http://schemas.openxmlformats.org/officeDocument/2006/relationships/image" Target="media/image65.png"/><Relationship Id="rId90" Type="http://schemas.openxmlformats.org/officeDocument/2006/relationships/image" Target="media/image64.png"/><Relationship Id="rId9" Type="http://schemas.openxmlformats.org/officeDocument/2006/relationships/footer" Target="footer2.xml"/><Relationship Id="rId89" Type="http://schemas.openxmlformats.org/officeDocument/2006/relationships/image" Target="media/image63.png"/><Relationship Id="rId88" Type="http://schemas.openxmlformats.org/officeDocument/2006/relationships/image" Target="media/image62.png"/><Relationship Id="rId87" Type="http://schemas.openxmlformats.org/officeDocument/2006/relationships/image" Target="media/image61.png"/><Relationship Id="rId86" Type="http://schemas.openxmlformats.org/officeDocument/2006/relationships/image" Target="media/image60.png"/><Relationship Id="rId85" Type="http://schemas.openxmlformats.org/officeDocument/2006/relationships/image" Target="media/image59.png"/><Relationship Id="rId84" Type="http://schemas.openxmlformats.org/officeDocument/2006/relationships/image" Target="media/image58.jpeg"/><Relationship Id="rId83" Type="http://schemas.openxmlformats.org/officeDocument/2006/relationships/image" Target="media/image57.png"/><Relationship Id="rId82" Type="http://schemas.openxmlformats.org/officeDocument/2006/relationships/image" Target="media/image56.png"/><Relationship Id="rId81" Type="http://schemas.openxmlformats.org/officeDocument/2006/relationships/image" Target="media/image55.png"/><Relationship Id="rId80" Type="http://schemas.openxmlformats.org/officeDocument/2006/relationships/image" Target="media/image54.png"/><Relationship Id="rId8" Type="http://schemas.openxmlformats.org/officeDocument/2006/relationships/footer" Target="footer1.xml"/><Relationship Id="rId79" Type="http://schemas.openxmlformats.org/officeDocument/2006/relationships/image" Target="media/image53.png"/><Relationship Id="rId78" Type="http://schemas.openxmlformats.org/officeDocument/2006/relationships/image" Target="media/image52.png"/><Relationship Id="rId77" Type="http://schemas.openxmlformats.org/officeDocument/2006/relationships/image" Target="media/image51.png"/><Relationship Id="rId76" Type="http://schemas.openxmlformats.org/officeDocument/2006/relationships/image" Target="media/image50.png"/><Relationship Id="rId75" Type="http://schemas.openxmlformats.org/officeDocument/2006/relationships/image" Target="media/image49.png"/><Relationship Id="rId74" Type="http://schemas.openxmlformats.org/officeDocument/2006/relationships/image" Target="media/image48.png"/><Relationship Id="rId73" Type="http://schemas.openxmlformats.org/officeDocument/2006/relationships/image" Target="media/image47.png"/><Relationship Id="rId72" Type="http://schemas.openxmlformats.org/officeDocument/2006/relationships/image" Target="media/image46.png"/><Relationship Id="rId71" Type="http://schemas.openxmlformats.org/officeDocument/2006/relationships/image" Target="media/image45.png"/><Relationship Id="rId70" Type="http://schemas.openxmlformats.org/officeDocument/2006/relationships/image" Target="media/image44.png"/><Relationship Id="rId7" Type="http://schemas.openxmlformats.org/officeDocument/2006/relationships/header" Target="header3.xml"/><Relationship Id="rId69" Type="http://schemas.openxmlformats.org/officeDocument/2006/relationships/image" Target="media/image43.png"/><Relationship Id="rId68" Type="http://schemas.openxmlformats.org/officeDocument/2006/relationships/image" Target="media/image42.png"/><Relationship Id="rId67" Type="http://schemas.openxmlformats.org/officeDocument/2006/relationships/image" Target="media/image41.png"/><Relationship Id="rId66" Type="http://schemas.openxmlformats.org/officeDocument/2006/relationships/image" Target="media/image40.png"/><Relationship Id="rId65" Type="http://schemas.openxmlformats.org/officeDocument/2006/relationships/image" Target="media/image39.png"/><Relationship Id="rId64" Type="http://schemas.openxmlformats.org/officeDocument/2006/relationships/image" Target="media/image38.png"/><Relationship Id="rId63" Type="http://schemas.openxmlformats.org/officeDocument/2006/relationships/image" Target="media/image37.png"/><Relationship Id="rId62" Type="http://schemas.openxmlformats.org/officeDocument/2006/relationships/image" Target="media/image36.png"/><Relationship Id="rId61" Type="http://schemas.openxmlformats.org/officeDocument/2006/relationships/image" Target="media/image35.png"/><Relationship Id="rId60" Type="http://schemas.openxmlformats.org/officeDocument/2006/relationships/image" Target="media/image34.png"/><Relationship Id="rId6" Type="http://schemas.openxmlformats.org/officeDocument/2006/relationships/header" Target="header2.xml"/><Relationship Id="rId59" Type="http://schemas.openxmlformats.org/officeDocument/2006/relationships/image" Target="media/image33.wmf"/><Relationship Id="rId58" Type="http://schemas.openxmlformats.org/officeDocument/2006/relationships/oleObject" Target="embeddings/oleObject14.bin"/><Relationship Id="rId57" Type="http://schemas.openxmlformats.org/officeDocument/2006/relationships/image" Target="media/image32.wmf"/><Relationship Id="rId56" Type="http://schemas.openxmlformats.org/officeDocument/2006/relationships/oleObject" Target="embeddings/oleObject13.bin"/><Relationship Id="rId55" Type="http://schemas.openxmlformats.org/officeDocument/2006/relationships/image" Target="media/image31.wmf"/><Relationship Id="rId54" Type="http://schemas.openxmlformats.org/officeDocument/2006/relationships/oleObject" Target="embeddings/oleObject12.bin"/><Relationship Id="rId53" Type="http://schemas.openxmlformats.org/officeDocument/2006/relationships/image" Target="media/image30.wmf"/><Relationship Id="rId52" Type="http://schemas.openxmlformats.org/officeDocument/2006/relationships/oleObject" Target="embeddings/oleObject11.bin"/><Relationship Id="rId51" Type="http://schemas.openxmlformats.org/officeDocument/2006/relationships/image" Target="media/image29.wmf"/><Relationship Id="rId50" Type="http://schemas.openxmlformats.org/officeDocument/2006/relationships/oleObject" Target="embeddings/oleObject10.bin"/><Relationship Id="rId5" Type="http://schemas.openxmlformats.org/officeDocument/2006/relationships/header" Target="header1.xml"/><Relationship Id="rId49" Type="http://schemas.openxmlformats.org/officeDocument/2006/relationships/image" Target="media/image28.wmf"/><Relationship Id="rId48" Type="http://schemas.openxmlformats.org/officeDocument/2006/relationships/oleObject" Target="embeddings/oleObject9.bin"/><Relationship Id="rId47" Type="http://schemas.openxmlformats.org/officeDocument/2006/relationships/image" Target="media/image27.wmf"/><Relationship Id="rId46" Type="http://schemas.openxmlformats.org/officeDocument/2006/relationships/oleObject" Target="embeddings/oleObject8.bin"/><Relationship Id="rId45" Type="http://schemas.openxmlformats.org/officeDocument/2006/relationships/image" Target="media/image26.wmf"/><Relationship Id="rId44" Type="http://schemas.openxmlformats.org/officeDocument/2006/relationships/oleObject" Target="embeddings/oleObject7.bin"/><Relationship Id="rId43" Type="http://schemas.openxmlformats.org/officeDocument/2006/relationships/image" Target="media/image25.wmf"/><Relationship Id="rId42" Type="http://schemas.openxmlformats.org/officeDocument/2006/relationships/oleObject" Target="embeddings/oleObject6.bin"/><Relationship Id="rId41" Type="http://schemas.openxmlformats.org/officeDocument/2006/relationships/image" Target="media/image24.wmf"/><Relationship Id="rId40" Type="http://schemas.openxmlformats.org/officeDocument/2006/relationships/oleObject" Target="embeddings/oleObject5.bin"/><Relationship Id="rId4" Type="http://schemas.openxmlformats.org/officeDocument/2006/relationships/endnotes" Target="endnotes.xml"/><Relationship Id="rId39" Type="http://schemas.openxmlformats.org/officeDocument/2006/relationships/image" Target="media/image23.wmf"/><Relationship Id="rId38" Type="http://schemas.openxmlformats.org/officeDocument/2006/relationships/oleObject" Target="embeddings/oleObject4.bin"/><Relationship Id="rId37" Type="http://schemas.openxmlformats.org/officeDocument/2006/relationships/image" Target="media/image22.wmf"/><Relationship Id="rId36" Type="http://schemas.openxmlformats.org/officeDocument/2006/relationships/oleObject" Target="embeddings/oleObject3.bin"/><Relationship Id="rId35" Type="http://schemas.openxmlformats.org/officeDocument/2006/relationships/image" Target="media/image21.wmf"/><Relationship Id="rId34" Type="http://schemas.openxmlformats.org/officeDocument/2006/relationships/oleObject" Target="embeddings/oleObject2.bin"/><Relationship Id="rId33" Type="http://schemas.openxmlformats.org/officeDocument/2006/relationships/image" Target="media/image20.wmf"/><Relationship Id="rId32" Type="http://schemas.openxmlformats.org/officeDocument/2006/relationships/oleObject" Target="embeddings/oleObject1.bin"/><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jpeg"/><Relationship Id="rId21" Type="http://schemas.openxmlformats.org/officeDocument/2006/relationships/image" Target="media/image9.jpeg"/><Relationship Id="rId20" Type="http://schemas.openxmlformats.org/officeDocument/2006/relationships/image" Target="media/image8.jpeg"/><Relationship Id="rId2" Type="http://schemas.openxmlformats.org/officeDocument/2006/relationships/settings" Target="settings.xml"/><Relationship Id="rId19" Type="http://schemas.openxmlformats.org/officeDocument/2006/relationships/image" Target="media/image7.jpeg"/><Relationship Id="rId18" Type="http://schemas.openxmlformats.org/officeDocument/2006/relationships/image" Target="media/image6.jpeg"/><Relationship Id="rId17" Type="http://schemas.openxmlformats.org/officeDocument/2006/relationships/image" Target="media/image5.jpeg"/><Relationship Id="rId16" Type="http://schemas.openxmlformats.org/officeDocument/2006/relationships/image" Target="media/image4.jpeg"/><Relationship Id="rId15" Type="http://schemas.openxmlformats.org/officeDocument/2006/relationships/image" Target="media/image3.jpeg"/><Relationship Id="rId14" Type="http://schemas.openxmlformats.org/officeDocument/2006/relationships/image" Target="media/image2.jpeg"/><Relationship Id="rId13" Type="http://schemas.openxmlformats.org/officeDocument/2006/relationships/image" Target="media/image1.jpeg"/><Relationship Id="rId12" Type="http://schemas.openxmlformats.org/officeDocument/2006/relationships/theme" Target="theme/theme1.xml"/><Relationship Id="rId113" Type="http://schemas.openxmlformats.org/officeDocument/2006/relationships/fontTable" Target="fontTable.xml"/><Relationship Id="rId112" Type="http://schemas.openxmlformats.org/officeDocument/2006/relationships/numbering" Target="numbering.xml"/><Relationship Id="rId111" Type="http://schemas.openxmlformats.org/officeDocument/2006/relationships/customXml" Target="../customXml/item1.xml"/><Relationship Id="rId110" Type="http://schemas.openxmlformats.org/officeDocument/2006/relationships/image" Target="media/image84.jpeg"/><Relationship Id="rId11" Type="http://schemas.openxmlformats.org/officeDocument/2006/relationships/footer" Target="footer4.xml"/><Relationship Id="rId109" Type="http://schemas.openxmlformats.org/officeDocument/2006/relationships/image" Target="media/image83.jpeg"/><Relationship Id="rId108" Type="http://schemas.openxmlformats.org/officeDocument/2006/relationships/image" Target="media/image82.jpeg"/><Relationship Id="rId107" Type="http://schemas.openxmlformats.org/officeDocument/2006/relationships/image" Target="media/image81.jpeg"/><Relationship Id="rId106" Type="http://schemas.openxmlformats.org/officeDocument/2006/relationships/image" Target="media/image80.jpeg"/><Relationship Id="rId105" Type="http://schemas.openxmlformats.org/officeDocument/2006/relationships/image" Target="media/image79.jpeg"/><Relationship Id="rId104" Type="http://schemas.openxmlformats.org/officeDocument/2006/relationships/image" Target="media/image78.png"/><Relationship Id="rId103" Type="http://schemas.openxmlformats.org/officeDocument/2006/relationships/image" Target="media/image77.png"/><Relationship Id="rId102" Type="http://schemas.openxmlformats.org/officeDocument/2006/relationships/image" Target="media/image76.png"/><Relationship Id="rId101" Type="http://schemas.openxmlformats.org/officeDocument/2006/relationships/image" Target="media/image75.png"/><Relationship Id="rId100" Type="http://schemas.openxmlformats.org/officeDocument/2006/relationships/image" Target="media/image74.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jMzOTM0Mjk2NjU0IiwKCSJHcm91cElkIiA6ICIxNjIwMDcyMjUiLAoJIkltYWdlIiA6ICJpVkJPUncwS0dnb0FBQUFOU1VoRVVnQUFBbW9BQUFEVENBWUFBQUF4aUQvckFBQUFDWEJJV1hNQUFBc1RBQUFMRXdFQW1wd1lBQUFnQUVsRVFWUjRuT3pkZVhoVFZmb0g4Tys5U2JPMFRkdDBUZmRDVzhyV0pRRVVrVkZXQlJTRlVaaFJjRU1RUkJFZFJrQVkyUndYRkFjZFFHVnpHUkZFUkFWY1dSUVhmZ29LcFMxRktHM3B2cVI3bXFSWm1wemZIMjFpMmlSZG9LVVYzcy96OE5CN3pybjNuaHVheTN2UE9mY2Nn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"/>
    </extobj>
    <extobj name="ECB019B1-382A-4266-B25C-5B523AA43C14-2">
      <extobjdata type="ECB019B1-382A-4266-B25C-5B523AA43C14" data="ewoJIkZpbGVJZCIgOiAiMjM0ODcxMjc0MDc3IiwKCSJHcm91cElkIiA6ICIxNjIwMDcyMjUiLAoJIkltYWdlIiA6ICJpVkJPUncwS0dnb0FBQUFOU1VoRVVnQUFCVjRBQUFRUENBWUFBQURvR1BCdEFBQUFDWEJJV1hNQUFBc1RBQUFMRXdFQW1wd1lBQUFnQUVsRVFWUjRuT3pkZVdCVTFkay84TytkZmM5RzlwQ1FFRWlDSkVnQWNWOUFCUHNxV3ZlcWFLMFNmbXB4MXlKYXE2RGxWYkYxd1ExeG9SVzFXbEhwcTRVS0ZteXh1TEFJUWhJa1pKMWtNbUdTbWNtc2Q1SzV2eitTR1RQSlRCWUlCc3YzODQrWmM4NDk1N21Uc1Bqd3pITUJ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XZEeC9BcGRCYnJPSkoyUHJBQUFBQUVsRlRrU3VRbUNDIiwKCSJUaGVtZSIgOiAiIiwKCSJUeXBlIiA6ICJmbG93IiwKCSJWZXJzaW9uIiA6ICI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128</Pages>
  <Words>43412</Words>
  <Characters>48593</Characters>
  <Lines>0</Lines>
  <Paragraphs>0</Paragraphs>
  <TotalTime>8</TotalTime>
  <ScaleCrop>false</ScaleCrop>
  <LinksUpToDate>false</LinksUpToDate>
  <CharactersWithSpaces>48963</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2023-01-30T01:26:00Z</dcterms:created>
  <dc:creator>卿</dc:creator>
  <cp:lastModifiedBy>邓斌</cp:lastModifiedBy>
  <cp:lastPrinted>2023-05-29T02:49:00Z</cp:lastPrinted>
  <dcterms:modified xsi:type="dcterms:W3CDTF">2023-09-04T07:44:48Z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ABFF64106117485B9B721817920A775F_13</vt:lpwstr>
  </property>
</Properties>
</file>