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center"/>
      </w:pPr>
      <w:r>
        <w:rPr>
          <w:rFonts w:ascii="宋体" w:hAnsi="宋体" w:eastAsia="宋体" w:cs="宋体"/>
          <w:color w:val="000000"/>
          <w:sz w:val="44"/>
          <w:szCs w:val="44"/>
        </w:rPr>
        <w:t>2021年度石鼓区农业农村局部门决算</w:t>
      </w:r>
      <w:r>
        <w:rPr>
          <w:color w:val="000000"/>
        </w:rPr>
        <w:t xml:space="preserve"> </w:t>
      </w:r>
    </w:p>
    <w:p>
      <w:pPr>
        <w:spacing w:before="0" w:beforeAutospacing="0" w:after="2" w:afterAutospacing="0"/>
        <w:jc w:val="center"/>
        <w:rPr>
          <w:sz w:val="21"/>
          <w:szCs w:val="21"/>
        </w:rPr>
      </w:pPr>
      <w:r>
        <w:rPr>
          <w:color w:val="000000"/>
          <w:sz w:val="32"/>
          <w:szCs w:val="32"/>
        </w:rPr>
        <w:t> </w:t>
      </w:r>
      <w:r>
        <w:rPr>
          <w:color w:val="000000"/>
          <w:sz w:val="21"/>
          <w:szCs w:val="21"/>
        </w:rPr>
        <w:t xml:space="preserve"> </w:t>
      </w:r>
    </w:p>
    <w:p>
      <w:pPr>
        <w:spacing w:before="0" w:beforeAutospacing="0" w:after="2"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pPr>
        <w:spacing w:before="0" w:beforeAutospacing="0" w:after="2" w:afterAutospacing="0"/>
        <w:jc w:val="center"/>
        <w:rPr>
          <w:sz w:val="21"/>
          <w:szCs w:val="21"/>
        </w:rPr>
      </w:pP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第一部分 石鼓区农业农村局概况</w:t>
      </w:r>
      <w:r>
        <w:rPr>
          <w:color w:val="000000"/>
          <w:sz w:val="27"/>
          <w:szCs w:val="27"/>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一、部门职责</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二、机构设置</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第二部分 2021年度部门决算表</w:t>
      </w:r>
      <w:r>
        <w:rPr>
          <w:color w:val="000000"/>
          <w:sz w:val="27"/>
          <w:szCs w:val="27"/>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一、收入支出决算总表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二、收入决算表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三、支出决算表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六、一般公共预算财政拨款基本支出决算明细表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八、政府性基金预算财政拨款收入支出决算表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九、国有资本经营预算财政拨款支出决算表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b/>
          <w:bCs/>
          <w:color w:val="000000"/>
          <w:sz w:val="32"/>
          <w:szCs w:val="32"/>
        </w:rPr>
        <w:t>第三部分 2021年度部门决算情况说明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二、收入决算情况说明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三、支出决算情况说明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八、政府性基金预算收入支出决算情况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九、机关运行经费支出说明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十、一般性支出情况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十一、政府采购支出说明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十二、国有资产占用情况说明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十三、2021年度预算绩效情况的说明</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p/>
    <w:p/>
    <w:p/>
    <w:p/>
    <w:p>
      <w:pPr>
        <w:spacing w:before="0" w:beforeAutospacing="0" w:after="2" w:afterAutospacing="0" w:line="600" w:lineRule="atLeast"/>
        <w:ind w:left="0" w:right="0"/>
        <w:jc w:val="center"/>
        <w:rPr>
          <w:sz w:val="21"/>
          <w:szCs w:val="21"/>
        </w:rPr>
      </w:pPr>
      <w:r>
        <w:rPr>
          <w:rFonts w:hint="eastAsia" w:ascii="宋体" w:hAnsi="宋体" w:eastAsia="宋体" w:cs="宋体"/>
          <w:b/>
          <w:bCs/>
          <w:color w:val="000000"/>
          <w:sz w:val="36"/>
          <w:szCs w:val="36"/>
        </w:rPr>
        <w:t>第一部分 石鼓区农业农村局概况</w:t>
      </w:r>
      <w:r>
        <w:rPr>
          <w:b/>
          <w:bCs/>
          <w:color w:val="000000"/>
          <w:sz w:val="21"/>
          <w:szCs w:val="21"/>
        </w:rPr>
        <w:t xml:space="preserve"> </w:t>
      </w: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ind w:left="0" w:right="0" w:firstLine="0"/>
      </w:pPr>
      <w:r>
        <w:rPr>
          <w:rFonts w:ascii="黑体" w:hAnsi="宋体" w:eastAsia="黑体" w:cs="黑体"/>
          <w:color w:val="000000"/>
          <w:sz w:val="32"/>
          <w:szCs w:val="32"/>
        </w:rPr>
        <w:t> </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一）负责对全区农业、农村（包括农、林、牧、渔、经营、新农村建设、农业综合开发、农机、农林综合执法、农业投资、农业整治、农田水利项目建设等）工作的综合、协调、管理和指导，组织、协调、指导全区农业农村工作。</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二）指导、协调全区农业农村经济结构调整，农业产业化经营及农村社会化服务体系建设，指导、协调全区农村能源开发利用和建设管理；协调、指导全区农村土地承包、流转、农村集体“三资”管理等农村经营管理工作，协调、指导农机、科技兴农、农科教结合工作，协调全区农村产业扶贫工作，指导、协调全区区域经济的发展。</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（三）协调、指导区直相关单位及涉农部门工作，牵头落实乡村振兴各项工作任务，协同区委组织部抓好区直相关单位的组织建设、领导班子建设和干部队伍建设。</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（四）会同有关部门研究提出涉农专项资金的安排意见，并监督检查其落实使用情况。</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（五）承办区委、区政府和上级农业农村局交办的其他事项。</w:t>
      </w:r>
      <w:r>
        <w:rPr>
          <w:color w:val="000000"/>
          <w:sz w:val="32"/>
          <w:szCs w:val="32"/>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（一）内设机构设置</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石鼓区农业农村局内设机构包括：</w:t>
      </w:r>
      <w:r>
        <w:rPr>
          <w:rFonts w:ascii="宋体" w:hAnsi="宋体" w:eastAsia="宋体" w:cs="宋体"/>
          <w:color w:val="000000"/>
          <w:sz w:val="32"/>
          <w:szCs w:val="32"/>
        </w:rPr>
        <w:t>本部门共有编制26个，实有人数24人。办公室、农村经营管理股、新农村建设和农村事业发展促进股、农业产业发展股、财务股、产业扶贫开发股、农机管理和农村能源开发利用股、农产品质量安全监管股、农业开发和农田建设管理股、林业股、畜牧水产股等11个股室。</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（二）决算单位构成</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w:t>
      </w:r>
      <w:r>
        <w:rPr>
          <w:rFonts w:ascii="宋体" w:hAnsi="宋体" w:eastAsia="宋体" w:cs="宋体"/>
          <w:color w:val="000000"/>
          <w:sz w:val="32"/>
          <w:szCs w:val="32"/>
        </w:rPr>
        <w:t>石鼓区农业农村局2021年部门决算汇总公开单位构成包括：1、农业技术服务中心 ； 2、农村经营服务站；。</w:t>
      </w:r>
      <w:r>
        <w:rPr>
          <w:color w:val="000000"/>
          <w:sz w:val="27"/>
          <w:szCs w:val="27"/>
        </w:rPr>
        <w:t xml:space="preserve"> </w:t>
      </w:r>
    </w:p>
    <w:p>
      <w:pPr>
        <w:rPr>
          <w:color w:val="000000"/>
          <w:sz w:val="32"/>
          <w:szCs w:val="32"/>
        </w:rPr>
        <w:sectPr>
          <w:pgSz w:w="11906" w:h="16838" w:orient="landscape"/>
          <w:pgMar w:top="1440" w:right="1080" w:bottom="1440" w:left="1080" w:header="851" w:footer="992" w:gutter="0"/>
          <w:cols w:space="0" w:num="1"/>
          <w:docGrid w:type="lines" w:linePitch="160" w:charSpace="0"/>
        </w:sectPr>
      </w:pPr>
    </w:p>
    <w:p>
      <w:pPr>
        <w:spacing w:before="0" w:beforeAutospacing="0" w:after="2" w:afterAutospacing="0"/>
        <w:ind w:left="0" w:firstLine="721"/>
        <w:jc w:val="center"/>
        <w:rPr>
          <w:sz w:val="21"/>
          <w:szCs w:val="21"/>
        </w:rPr>
      </w:pPr>
    </w:p>
    <w:p>
      <w:pPr>
        <w:spacing w:before="0" w:beforeAutospacing="0" w:after="2" w:afterAutospacing="0"/>
        <w:ind w:left="0" w:firstLine="721"/>
        <w:jc w:val="center"/>
        <w:rPr>
          <w:sz w:val="21"/>
          <w:szCs w:val="21"/>
        </w:rPr>
      </w:pPr>
      <w:r>
        <w:rPr>
          <w:rFonts w:hint="eastAsia" w:ascii="宋体" w:hAnsi="宋体" w:eastAsia="宋体" w:cs="宋体"/>
          <w:b/>
          <w:bCs/>
          <w:color w:val="000000"/>
          <w:sz w:val="36"/>
          <w:szCs w:val="36"/>
        </w:rPr>
        <w:t>第二部分 2021年度部门决算表</w:t>
      </w:r>
      <w:r>
        <w:rPr>
          <w:color w:val="000000"/>
          <w:sz w:val="21"/>
          <w:szCs w:val="21"/>
        </w:rPr>
        <w:t xml:space="preserve"> </w:t>
      </w:r>
    </w:p>
    <w:p>
      <w:pPr>
        <w:pStyle w:val="9"/>
        <w:keepNext w:val="0"/>
        <w:keepLines w:val="0"/>
        <w:widowControl/>
        <w:suppressLineNumbers w:val="0"/>
        <w:spacing w:before="0" w:beforeAutospacing="0" w:after="2" w:afterAutospacing="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02"/>
        <w:gridCol w:w="648"/>
        <w:gridCol w:w="2569"/>
        <w:gridCol w:w="4802"/>
        <w:gridCol w:w="648"/>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6"/>
            <w:shd w:val="clear" w:color="auto" w:fill="auto"/>
            <w:vAlign w:val="center"/>
          </w:tcPr>
          <w:p>
            <w:pPr>
              <w:pStyle w:val="9"/>
              <w:keepNext w:val="0"/>
              <w:keepLines w:val="0"/>
              <w:widowControl/>
              <w:suppressLineNumbers w:val="0"/>
              <w:jc w:val="center"/>
            </w:pPr>
            <w:r>
              <w:rPr>
                <w:b w:val="0"/>
                <w:bCs w:val="0"/>
                <w:sz w:val="40"/>
                <w:szCs w:val="40"/>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shd w:val="clear" w:color="auto" w:fill="auto"/>
            <w:vAlign w:val="center"/>
          </w:tcPr>
          <w:p>
            <w:pPr>
              <w:rPr>
                <w:rFonts w:hint="eastAsia" w:ascii="宋体"/>
                <w:b w:val="0"/>
                <w:bCs w:val="0"/>
                <w:sz w:val="22"/>
                <w:szCs w:val="22"/>
              </w:rPr>
            </w:pPr>
          </w:p>
        </w:tc>
        <w:tc>
          <w:tcPr>
            <w:tcW w:w="202" w:type="pct"/>
            <w:shd w:val="clear" w:color="auto" w:fill="auto"/>
            <w:vAlign w:val="center"/>
          </w:tcPr>
          <w:p>
            <w:pPr>
              <w:rPr>
                <w:rFonts w:hint="eastAsia" w:ascii="宋体"/>
                <w:b w:val="0"/>
                <w:bCs w:val="0"/>
                <w:sz w:val="22"/>
                <w:szCs w:val="22"/>
              </w:rPr>
            </w:pPr>
          </w:p>
        </w:tc>
        <w:tc>
          <w:tcPr>
            <w:tcW w:w="799" w:type="pct"/>
            <w:shd w:val="clear" w:color="auto" w:fill="auto"/>
            <w:vAlign w:val="center"/>
          </w:tcPr>
          <w:p>
            <w:pPr>
              <w:rPr>
                <w:rFonts w:hint="eastAsia" w:ascii="宋体"/>
                <w:b w:val="0"/>
                <w:bCs w:val="0"/>
                <w:sz w:val="22"/>
                <w:szCs w:val="22"/>
              </w:rPr>
            </w:pPr>
          </w:p>
        </w:tc>
        <w:tc>
          <w:tcPr>
            <w:tcW w:w="1497" w:type="pct"/>
            <w:shd w:val="clear" w:color="auto" w:fill="auto"/>
            <w:vAlign w:val="center"/>
          </w:tcPr>
          <w:p>
            <w:pPr>
              <w:rPr>
                <w:rFonts w:hint="eastAsia" w:ascii="宋体"/>
                <w:b w:val="0"/>
                <w:bCs w:val="0"/>
                <w:sz w:val="22"/>
                <w:szCs w:val="22"/>
              </w:rPr>
            </w:pPr>
          </w:p>
        </w:tc>
        <w:tc>
          <w:tcPr>
            <w:tcW w:w="1002" w:type="pct"/>
            <w:gridSpan w:val="2"/>
            <w:shd w:val="clear" w:color="auto" w:fill="auto"/>
            <w:vAlign w:val="center"/>
          </w:tcPr>
          <w:p>
            <w:pPr>
              <w:pStyle w:val="9"/>
              <w:keepNext w:val="0"/>
              <w:keepLines w:val="0"/>
              <w:widowControl/>
              <w:suppressLineNumbers w:val="0"/>
              <w:jc w:val="right"/>
            </w:pPr>
            <w:r>
              <w:rPr>
                <w:b w:val="0"/>
                <w:bCs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997" w:type="pct"/>
            <w:gridSpan w:val="4"/>
            <w:shd w:val="clear" w:color="auto" w:fill="auto"/>
            <w:vAlign w:val="center"/>
          </w:tcPr>
          <w:p>
            <w:pPr>
              <w:pStyle w:val="9"/>
              <w:keepNext w:val="0"/>
              <w:keepLines w:val="0"/>
              <w:widowControl/>
              <w:suppressLineNumbers w:val="0"/>
              <w:jc w:val="left"/>
            </w:pPr>
            <w:r>
              <w:rPr>
                <w:b w:val="0"/>
                <w:bCs w:val="0"/>
                <w:sz w:val="22"/>
                <w:szCs w:val="22"/>
              </w:rPr>
              <w:t>部门：石鼓区农业农村局</w:t>
            </w:r>
          </w:p>
        </w:tc>
        <w:tc>
          <w:tcPr>
            <w:tcW w:w="1002" w:type="pct"/>
            <w:gridSpan w:val="2"/>
            <w:shd w:val="clear" w:color="auto" w:fill="auto"/>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收入</w:t>
            </w:r>
          </w:p>
        </w:tc>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行次</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金额</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行次</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栏次</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栏次</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一、一般公共预算财政拨款收入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5,750.72</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一、一般公共服务支出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二、政府性基金预算财政拨款收入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二、外交支出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33</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三、国有资本经营预算财政拨款收入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三、国防支出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34</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四、上级补助收入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四、公共安全支出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35</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五、事业收入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五、教育支出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36</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六、经营收入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六、科学技术支出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37</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七、附属单位上缴收入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7</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七、文化旅游体育与传媒支出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38</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八、其他收入</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8</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八、社会保障和就业支出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39</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9</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九、卫生健康支出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40</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10</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十、节能环保支出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125.85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十一、城乡社区支出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十二、农林水支出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43</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5,841.89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13</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十三、交通运输支出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44</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14</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十四、资源勘探工业信息等支出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45</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15</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十五、商业服务业等支出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46</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16</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十六、金融支出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47</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17</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十七、援助其他地区支出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48</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18</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十八、自然资源海洋气象等支出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49</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19</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十九、住房保障支出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50</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20</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二十、粮油物资储备支出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二十一、国有资本经营预算支出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二十二、灾害防治及应急管理支出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53</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23</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二十三、其他支出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54</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0"/>
                <w:szCs w:val="20"/>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0"/>
                <w:szCs w:val="20"/>
              </w:rPr>
              <w:t>24</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0"/>
                <w:szCs w:val="20"/>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二十四、债务还本支出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55</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0"/>
                <w:szCs w:val="20"/>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0"/>
                <w:szCs w:val="20"/>
              </w:rPr>
              <w:t>25</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0"/>
                <w:szCs w:val="20"/>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二十五、债务付息支出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56</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0"/>
                <w:szCs w:val="20"/>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0"/>
                <w:szCs w:val="20"/>
              </w:rPr>
              <w:t>26</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0"/>
                <w:szCs w:val="20"/>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二十六、抗疫特别国债安排的支出</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57</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本年收入合计</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27</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5,750.72</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本年支出合计</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58</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6,208.92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使用非财政拨款结余</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28</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结余分配</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59</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年初结转和结余</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29</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458.21</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年末结转和结余</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60</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30</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总计</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31</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6,208.92</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总计</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62</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6,208.92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shd w:val="clear" w:color="auto" w:fill="auto"/>
            <w:vAlign w:val="center"/>
          </w:tcPr>
          <w:p>
            <w:pPr>
              <w:pStyle w:val="9"/>
              <w:keepNext w:val="0"/>
              <w:keepLines w:val="0"/>
              <w:widowControl/>
              <w:suppressLineNumbers w:val="0"/>
              <w:jc w:val="left"/>
            </w:pPr>
            <w:r>
              <w:rPr>
                <w:b w:val="0"/>
                <w:bCs w:val="0"/>
                <w:sz w:val="22"/>
                <w:szCs w:val="22"/>
              </w:rPr>
              <w:t>注：本表反映部门本年度的总收支和年末结转结余情况。本表金额转换为万元时，因四舍五入可能存在尾数误差。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2"/>
        <w:gridCol w:w="362"/>
        <w:gridCol w:w="362"/>
        <w:gridCol w:w="3192"/>
        <w:gridCol w:w="2175"/>
        <w:gridCol w:w="1594"/>
        <w:gridCol w:w="1594"/>
        <w:gridCol w:w="1594"/>
        <w:gridCol w:w="1607"/>
        <w:gridCol w:w="1594"/>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1"/>
            <w:shd w:val="clear" w:color="auto" w:fill="auto"/>
            <w:vAlign w:val="center"/>
          </w:tcPr>
          <w:p>
            <w:pPr>
              <w:pStyle w:val="9"/>
              <w:keepNext w:val="0"/>
              <w:keepLines w:val="0"/>
              <w:widowControl/>
              <w:suppressLineNumbers w:val="0"/>
              <w:jc w:val="center"/>
            </w:pPr>
            <w:r>
              <w:rPr>
                <w:b w:val="0"/>
                <w:bCs w:val="0"/>
                <w:sz w:val="40"/>
                <w:szCs w:val="40"/>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3" w:type="pct"/>
            <w:shd w:val="clear" w:color="auto" w:fill="auto"/>
            <w:vAlign w:val="center"/>
          </w:tcPr>
          <w:p>
            <w:pPr>
              <w:rPr>
                <w:rFonts w:hint="eastAsia" w:ascii="宋体"/>
                <w:b w:val="0"/>
                <w:bCs w:val="0"/>
                <w:sz w:val="22"/>
                <w:szCs w:val="22"/>
              </w:rPr>
            </w:pPr>
          </w:p>
        </w:tc>
        <w:tc>
          <w:tcPr>
            <w:tcW w:w="113" w:type="pct"/>
            <w:shd w:val="clear" w:color="auto" w:fill="auto"/>
            <w:vAlign w:val="center"/>
          </w:tcPr>
          <w:p>
            <w:pPr>
              <w:rPr>
                <w:rFonts w:hint="eastAsia" w:ascii="宋体"/>
                <w:b w:val="0"/>
                <w:bCs w:val="0"/>
                <w:sz w:val="22"/>
                <w:szCs w:val="22"/>
              </w:rPr>
            </w:pPr>
          </w:p>
        </w:tc>
        <w:tc>
          <w:tcPr>
            <w:tcW w:w="113" w:type="pct"/>
            <w:shd w:val="clear" w:color="auto" w:fill="auto"/>
            <w:vAlign w:val="center"/>
          </w:tcPr>
          <w:p>
            <w:pPr>
              <w:rPr>
                <w:rFonts w:hint="eastAsia" w:ascii="宋体"/>
                <w:b w:val="0"/>
                <w:bCs w:val="0"/>
                <w:sz w:val="22"/>
                <w:szCs w:val="22"/>
              </w:rPr>
            </w:pPr>
          </w:p>
        </w:tc>
        <w:tc>
          <w:tcPr>
            <w:tcW w:w="995" w:type="pct"/>
            <w:shd w:val="clear" w:color="auto" w:fill="auto"/>
            <w:vAlign w:val="center"/>
          </w:tcPr>
          <w:p>
            <w:pPr>
              <w:rPr>
                <w:rFonts w:hint="eastAsia" w:ascii="宋体"/>
                <w:b w:val="0"/>
                <w:bCs w:val="0"/>
                <w:sz w:val="22"/>
                <w:szCs w:val="22"/>
              </w:rPr>
            </w:pPr>
          </w:p>
        </w:tc>
        <w:tc>
          <w:tcPr>
            <w:tcW w:w="678" w:type="pct"/>
            <w:shd w:val="clear" w:color="auto" w:fill="auto"/>
            <w:vAlign w:val="center"/>
          </w:tcPr>
          <w:p>
            <w:pPr>
              <w:rPr>
                <w:rFonts w:hint="eastAsia" w:ascii="宋体"/>
                <w:b w:val="0"/>
                <w:bCs w:val="0"/>
                <w:sz w:val="22"/>
                <w:szCs w:val="22"/>
              </w:rPr>
            </w:pPr>
          </w:p>
        </w:tc>
        <w:tc>
          <w:tcPr>
            <w:tcW w:w="497" w:type="pct"/>
            <w:shd w:val="clear" w:color="auto" w:fill="auto"/>
            <w:vAlign w:val="center"/>
          </w:tcPr>
          <w:p>
            <w:pPr>
              <w:rPr>
                <w:rFonts w:hint="eastAsia" w:ascii="宋体"/>
                <w:b w:val="0"/>
                <w:bCs w:val="0"/>
                <w:sz w:val="22"/>
                <w:szCs w:val="22"/>
              </w:rPr>
            </w:pPr>
          </w:p>
        </w:tc>
        <w:tc>
          <w:tcPr>
            <w:tcW w:w="497" w:type="pct"/>
            <w:shd w:val="clear" w:color="auto" w:fill="auto"/>
            <w:vAlign w:val="center"/>
          </w:tcPr>
          <w:p>
            <w:pPr>
              <w:rPr>
                <w:rFonts w:hint="eastAsia" w:ascii="宋体"/>
                <w:b w:val="0"/>
                <w:bCs w:val="0"/>
                <w:sz w:val="22"/>
                <w:szCs w:val="22"/>
              </w:rPr>
            </w:pPr>
          </w:p>
        </w:tc>
        <w:tc>
          <w:tcPr>
            <w:tcW w:w="497" w:type="pct"/>
            <w:shd w:val="clear" w:color="auto" w:fill="auto"/>
            <w:vAlign w:val="center"/>
          </w:tcPr>
          <w:p>
            <w:pPr>
              <w:rPr>
                <w:rFonts w:hint="eastAsia" w:ascii="宋体"/>
                <w:b w:val="0"/>
                <w:bCs w:val="0"/>
                <w:sz w:val="22"/>
                <w:szCs w:val="22"/>
              </w:rPr>
            </w:pPr>
          </w:p>
        </w:tc>
        <w:tc>
          <w:tcPr>
            <w:tcW w:w="497" w:type="pct"/>
            <w:shd w:val="clear" w:color="auto" w:fill="auto"/>
            <w:vAlign w:val="center"/>
          </w:tcPr>
          <w:p>
            <w:pPr>
              <w:rPr>
                <w:rFonts w:hint="eastAsia" w:ascii="宋体"/>
                <w:b w:val="0"/>
                <w:bCs w:val="0"/>
                <w:sz w:val="22"/>
                <w:szCs w:val="22"/>
              </w:rPr>
            </w:pPr>
          </w:p>
        </w:tc>
        <w:tc>
          <w:tcPr>
            <w:tcW w:w="995" w:type="pct"/>
            <w:gridSpan w:val="2"/>
            <w:shd w:val="clear" w:color="auto" w:fill="auto"/>
            <w:vAlign w:val="center"/>
          </w:tcPr>
          <w:p>
            <w:pPr>
              <w:pStyle w:val="9"/>
              <w:keepNext w:val="0"/>
              <w:keepLines w:val="0"/>
              <w:widowControl/>
              <w:suppressLineNumbers w:val="0"/>
              <w:jc w:val="right"/>
            </w:pPr>
            <w:r>
              <w:rPr>
                <w:b w:val="0"/>
                <w:bCs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04" w:type="pct"/>
            <w:gridSpan w:val="9"/>
            <w:shd w:val="clear" w:color="auto" w:fill="auto"/>
            <w:vAlign w:val="center"/>
          </w:tcPr>
          <w:p>
            <w:pPr>
              <w:pStyle w:val="9"/>
              <w:keepNext w:val="0"/>
              <w:keepLines w:val="0"/>
              <w:widowControl/>
              <w:suppressLineNumbers w:val="0"/>
              <w:jc w:val="left"/>
            </w:pPr>
            <w:r>
              <w:rPr>
                <w:b w:val="0"/>
                <w:bCs w:val="0"/>
                <w:sz w:val="22"/>
                <w:szCs w:val="22"/>
              </w:rPr>
              <w:t>部门：石鼓区农业农村局</w:t>
            </w:r>
          </w:p>
        </w:tc>
        <w:tc>
          <w:tcPr>
            <w:tcW w:w="995" w:type="pct"/>
            <w:gridSpan w:val="2"/>
            <w:shd w:val="clear" w:color="auto" w:fill="auto"/>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本年收入合计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财政拨款收入</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上级补助收入</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事业收入</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经营收入</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附属单位上缴收入</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科目名称</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栏次</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合计</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5,750.72</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5,750.72</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一般公共服务支出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17.40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17.40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20103</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政府办公厅（室）及相关机构事务</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10.10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10.10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2010301</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行政运行</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10.10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10.10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20107</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税收事务</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2010710</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税收业务</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20199</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其他一般公共服务支出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3.30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3.30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2019999</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其他一般公共服务支出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3.30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3.30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社会保障和就业支出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32.86</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32.86</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20805</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行政事业单位养老支出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32.86</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32.86</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2080505</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机关事业单位基本养老保险缴费支出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28.32</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28.32</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2080506</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机关事业单位职业年金缴费支出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4.55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4.55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卫生健康支出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15.72</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15.72</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21007</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计划生育事务</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1.07</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1.07</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2100717</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计划生育服务</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1.07</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1.07</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21011</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行政事业单位医疗</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14.65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14.65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2101101</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行政单位医疗</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14.65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14.65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211</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节能环保支出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25.85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25.85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21105</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天然林保护</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2110599</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其他天然林保护支出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21106</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退耕还林还草</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15.85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15.85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2110699</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其他退耕还林还草支出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15.85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15.85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农林水支出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5,483.68</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5,483.68</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农业农村</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5,300.60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5,300.60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2130101</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行政运行</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301.04</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301.04</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2130102</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一般行政管理事务</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13.00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13.00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2130106</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科技转化与推广服务</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2130108</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病虫害控制</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28.72</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28.72</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2130119</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防灾救灾</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80.00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80.00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2130121</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农业结构调整补贴</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16.00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16.00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2130122</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农业生产发展</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830.99</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830.99</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2130124</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农村合作经济</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147.00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147.00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2130126</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农村社会事业</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2130153</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农田建设</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620.00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620.00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2130199</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其他农业农村支出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3,218.85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3,218.85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21302</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林业和草原</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60.35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60.35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2130205</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森林资源培育</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17.60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17.60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2130207</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森林资源管理</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2.75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2.75</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2130212</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湿地保护</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2130234</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林业草原防灾减灾</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21308</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普惠金融发展支出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75.47</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75.47</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2130803</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农业保险保费补贴</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75.47</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75.47</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21309</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目标价格补贴</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26.26</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26.26</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2130999</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其他目标价格补贴</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26.26</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26.26</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21399</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其他农林水支出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21.00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21.00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2139999</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其他农林水支出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21.00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21.00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214</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交通运输支出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21404</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成品油价格改革对交通运输的补贴</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2140499</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成品油价格改革补贴其他支出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221</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住房保障支出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22102</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住房改革支出</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2210201</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住房公积金</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1"/>
            <w:shd w:val="clear" w:color="auto" w:fill="auto"/>
            <w:vAlign w:val="center"/>
          </w:tcPr>
          <w:p>
            <w:pPr>
              <w:pStyle w:val="9"/>
              <w:keepNext w:val="0"/>
              <w:keepLines w:val="0"/>
              <w:widowControl/>
              <w:suppressLineNumbers w:val="0"/>
              <w:jc w:val="left"/>
            </w:pPr>
            <w:r>
              <w:rPr>
                <w:b w:val="0"/>
                <w:bCs w:val="0"/>
                <w:sz w:val="22"/>
                <w:szCs w:val="22"/>
              </w:rPr>
              <w:t>注：本表反映部门本年度取得的各项收入情况。本表金额转换为万元时，因四舍五入可能存在尾数误差。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0"/>
        <w:gridCol w:w="401"/>
        <w:gridCol w:w="404"/>
        <w:gridCol w:w="3548"/>
        <w:gridCol w:w="2415"/>
        <w:gridCol w:w="1771"/>
        <w:gridCol w:w="1771"/>
        <w:gridCol w:w="1780"/>
        <w:gridCol w:w="1771"/>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center"/>
            </w:pPr>
            <w:r>
              <w:rPr>
                <w:b w:val="0"/>
                <w:bCs w:val="0"/>
                <w:sz w:val="40"/>
                <w:szCs w:val="40"/>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 w:type="pct"/>
            <w:shd w:val="clear" w:color="auto" w:fill="auto"/>
            <w:vAlign w:val="center"/>
          </w:tcPr>
          <w:p>
            <w:pPr>
              <w:rPr>
                <w:rFonts w:hint="eastAsia" w:ascii="宋体"/>
                <w:b w:val="0"/>
                <w:bCs w:val="0"/>
                <w:sz w:val="22"/>
                <w:szCs w:val="22"/>
              </w:rPr>
            </w:pPr>
          </w:p>
        </w:tc>
        <w:tc>
          <w:tcPr>
            <w:tcW w:w="125" w:type="pct"/>
            <w:shd w:val="clear" w:color="auto" w:fill="auto"/>
            <w:vAlign w:val="center"/>
          </w:tcPr>
          <w:p>
            <w:pPr>
              <w:rPr>
                <w:rFonts w:hint="eastAsia" w:ascii="宋体"/>
                <w:b w:val="0"/>
                <w:bCs w:val="0"/>
                <w:sz w:val="22"/>
                <w:szCs w:val="22"/>
              </w:rPr>
            </w:pPr>
          </w:p>
        </w:tc>
        <w:tc>
          <w:tcPr>
            <w:tcW w:w="125" w:type="pct"/>
            <w:shd w:val="clear" w:color="auto" w:fill="auto"/>
            <w:vAlign w:val="center"/>
          </w:tcPr>
          <w:p>
            <w:pPr>
              <w:rPr>
                <w:rFonts w:hint="eastAsia" w:ascii="宋体"/>
                <w:b w:val="0"/>
                <w:bCs w:val="0"/>
                <w:sz w:val="22"/>
                <w:szCs w:val="22"/>
              </w:rPr>
            </w:pPr>
          </w:p>
        </w:tc>
        <w:tc>
          <w:tcPr>
            <w:tcW w:w="1105" w:type="pct"/>
            <w:shd w:val="clear" w:color="auto" w:fill="auto"/>
            <w:vAlign w:val="center"/>
          </w:tcPr>
          <w:p>
            <w:pPr>
              <w:rPr>
                <w:rFonts w:hint="eastAsia" w:ascii="宋体"/>
                <w:b w:val="0"/>
                <w:bCs w:val="0"/>
                <w:sz w:val="22"/>
                <w:szCs w:val="22"/>
              </w:rPr>
            </w:pPr>
          </w:p>
        </w:tc>
        <w:tc>
          <w:tcPr>
            <w:tcW w:w="753" w:type="pct"/>
            <w:shd w:val="clear" w:color="auto" w:fill="auto"/>
            <w:vAlign w:val="center"/>
          </w:tcPr>
          <w:p>
            <w:pPr>
              <w:rPr>
                <w:rFonts w:hint="eastAsia" w:ascii="宋体"/>
                <w:b w:val="0"/>
                <w:bCs w:val="0"/>
                <w:sz w:val="22"/>
                <w:szCs w:val="22"/>
              </w:rPr>
            </w:pPr>
          </w:p>
        </w:tc>
        <w:tc>
          <w:tcPr>
            <w:tcW w:w="552" w:type="pct"/>
            <w:shd w:val="clear" w:color="auto" w:fill="auto"/>
            <w:vAlign w:val="center"/>
          </w:tcPr>
          <w:p>
            <w:pPr>
              <w:rPr>
                <w:rFonts w:hint="eastAsia" w:ascii="宋体"/>
                <w:b w:val="0"/>
                <w:bCs w:val="0"/>
                <w:sz w:val="22"/>
                <w:szCs w:val="22"/>
              </w:rPr>
            </w:pPr>
          </w:p>
        </w:tc>
        <w:tc>
          <w:tcPr>
            <w:tcW w:w="552" w:type="pct"/>
            <w:shd w:val="clear" w:color="auto" w:fill="auto"/>
            <w:vAlign w:val="center"/>
          </w:tcPr>
          <w:p>
            <w:pPr>
              <w:rPr>
                <w:rFonts w:hint="eastAsia" w:ascii="宋体"/>
                <w:b w:val="0"/>
                <w:bCs w:val="0"/>
                <w:sz w:val="22"/>
                <w:szCs w:val="22"/>
              </w:rPr>
            </w:pPr>
          </w:p>
        </w:tc>
        <w:tc>
          <w:tcPr>
            <w:tcW w:w="552" w:type="pct"/>
            <w:shd w:val="clear" w:color="auto" w:fill="auto"/>
            <w:vAlign w:val="center"/>
          </w:tcPr>
          <w:p>
            <w:pPr>
              <w:rPr>
                <w:rFonts w:hint="eastAsia" w:ascii="宋体"/>
                <w:b w:val="0"/>
                <w:bCs w:val="0"/>
                <w:sz w:val="22"/>
                <w:szCs w:val="22"/>
              </w:rPr>
            </w:pPr>
          </w:p>
        </w:tc>
        <w:tc>
          <w:tcPr>
            <w:tcW w:w="1105" w:type="pct"/>
            <w:gridSpan w:val="2"/>
            <w:shd w:val="clear" w:color="auto" w:fill="auto"/>
            <w:vAlign w:val="center"/>
          </w:tcPr>
          <w:p>
            <w:pPr>
              <w:pStyle w:val="9"/>
              <w:keepNext w:val="0"/>
              <w:keepLines w:val="0"/>
              <w:widowControl/>
              <w:suppressLineNumbers w:val="0"/>
              <w:jc w:val="right"/>
            </w:pPr>
            <w:r>
              <w:rPr>
                <w:b w:val="0"/>
                <w:bCs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94" w:type="pct"/>
            <w:gridSpan w:val="8"/>
            <w:shd w:val="clear" w:color="auto" w:fill="auto"/>
            <w:vAlign w:val="center"/>
          </w:tcPr>
          <w:p>
            <w:pPr>
              <w:pStyle w:val="9"/>
              <w:keepNext w:val="0"/>
              <w:keepLines w:val="0"/>
              <w:widowControl/>
              <w:suppressLineNumbers w:val="0"/>
              <w:jc w:val="left"/>
            </w:pPr>
            <w:r>
              <w:rPr>
                <w:b w:val="0"/>
                <w:bCs w:val="0"/>
                <w:sz w:val="22"/>
                <w:szCs w:val="22"/>
              </w:rPr>
              <w:t>部门：石鼓区农业农村局</w:t>
            </w:r>
          </w:p>
        </w:tc>
        <w:tc>
          <w:tcPr>
            <w:tcW w:w="1105" w:type="pct"/>
            <w:gridSpan w:val="2"/>
            <w:shd w:val="clear" w:color="auto" w:fill="auto"/>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本年支出合计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上缴上级支出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经营支出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科目名称</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栏次</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合计</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6,208.92</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447.34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5,761.59</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一般公共服务支出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17.40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17.40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20103</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政府办公厅（室）及相关机构事务</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10.10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10.10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2010301</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行政运行</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10.10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10.10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20107</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税收事务</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2010710</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税收业务</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20199</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其他一般公共服务支出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3.30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3.30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2019999</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其他一般公共服务支出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3.30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3.30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社会保障和就业支出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32.86</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32.86</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20805</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行政事业单位养老支出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32.86</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32.86</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2080505</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机关事业单位基本养老保险缴费支出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28.32</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28.32</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2080506</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机关事业单位职业年金缴费支出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4.55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4.55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卫生健康支出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15.72</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15.72</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21007</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计划生育事务</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1.07</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1.07</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2100717</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计划生育服务</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1.07</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1.07</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21011</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行政事业单位医疗</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14.65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14.65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2101101</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行政单位医疗</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14.65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14.65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211</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节能环保支出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125.85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125.85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21105</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天然林保护</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2110599</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其他天然林保护支出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21106</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退耕还林还草</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15.85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15.85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2110699</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其他退耕还林还草支出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15.85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15.85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21111</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污染减排</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2111199</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其他污染减排支出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农林水支出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5,841.89</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361.15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5,480.74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农业农村</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5,578.73</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361.15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5,217.58</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2130101</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行政运行</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301.04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301.04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2130102</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一般行政管理事务</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13.00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13.00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2130106</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科技转化与推广服务</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2130108</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病虫害控制</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39.22</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39.22</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2130109</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农产品质量安全</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106.63</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106.63</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2130119</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防灾救灾</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2130121</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农业结构调整补贴</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16.00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16.00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2130122</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农业生产发展</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850.99</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850.99</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2130124</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农村合作经济</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147.00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147.00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2130125</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农产品加工与促销</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81.00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81.00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2130126</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农村社会事业</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2130153</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农田建设</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620.00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620.00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2130199</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其他农业农村支出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3,218.85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60.10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3,158.74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21302</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林业和草原</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60.35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60.35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2130205</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森林资源培育</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17.60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17.60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2130207</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森林资源管理</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2.75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2.75</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2130212</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湿地保护</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2130234</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林业草原防灾减灾</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21308</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普惠金融发展支出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75.47</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75.47</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2130803</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农业保险保费补贴</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75.47</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75.47</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21309</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目标价格补贴</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106.34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106.34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2130999</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其他目标价格补贴</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106.34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106.34</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21399</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其他农林水支出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21.00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21.00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2139999</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其他农林水支出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21.00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21.00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214</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交通运输支出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21404</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成品油价格改革对交通运输的补贴</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2140499</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成品油价格改革补贴其他支出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221</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住房保障支出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22102</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住房改革支出</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2210201</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住房公积金</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5000" w:type="pct"/>
            <w:gridSpan w:val="10"/>
            <w:shd w:val="clear" w:color="auto" w:fill="auto"/>
            <w:vAlign w:val="center"/>
          </w:tcPr>
          <w:p>
            <w:pPr>
              <w:pStyle w:val="9"/>
              <w:keepNext w:val="0"/>
              <w:keepLines w:val="0"/>
              <w:widowControl/>
              <w:suppressLineNumbers w:val="0"/>
              <w:jc w:val="left"/>
            </w:pPr>
            <w:r>
              <w:rPr>
                <w:b w:val="0"/>
                <w:bCs w:val="0"/>
                <w:sz w:val="22"/>
                <w:szCs w:val="22"/>
              </w:rPr>
              <w:t>注：本表反映部门本年度各项支出情况。本表金额转换为万元时，因四舍五入可能存在尾数误差。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04"/>
        <w:gridCol w:w="529"/>
        <w:gridCol w:w="1559"/>
        <w:gridCol w:w="3692"/>
        <w:gridCol w:w="529"/>
        <w:gridCol w:w="2130"/>
        <w:gridCol w:w="1466"/>
        <w:gridCol w:w="1463"/>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center"/>
            </w:pPr>
            <w:r>
              <w:rPr>
                <w:b w:val="0"/>
                <w:bCs w:val="0"/>
                <w:sz w:val="40"/>
                <w:szCs w:val="40"/>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shd w:val="clear" w:color="auto" w:fill="auto"/>
            <w:vAlign w:val="center"/>
          </w:tcPr>
          <w:p>
            <w:pPr>
              <w:rPr>
                <w:rFonts w:hint="eastAsia" w:ascii="宋体"/>
                <w:b w:val="0"/>
                <w:bCs w:val="0"/>
                <w:sz w:val="22"/>
                <w:szCs w:val="22"/>
              </w:rPr>
            </w:pPr>
          </w:p>
        </w:tc>
        <w:tc>
          <w:tcPr>
            <w:tcW w:w="165" w:type="pct"/>
            <w:shd w:val="clear" w:color="auto" w:fill="auto"/>
            <w:vAlign w:val="center"/>
          </w:tcPr>
          <w:p>
            <w:pPr>
              <w:rPr>
                <w:rFonts w:hint="eastAsia" w:ascii="宋体"/>
                <w:b w:val="0"/>
                <w:bCs w:val="0"/>
                <w:sz w:val="22"/>
                <w:szCs w:val="22"/>
              </w:rPr>
            </w:pPr>
          </w:p>
        </w:tc>
        <w:tc>
          <w:tcPr>
            <w:tcW w:w="486" w:type="pct"/>
            <w:shd w:val="clear" w:color="auto" w:fill="auto"/>
            <w:vAlign w:val="center"/>
          </w:tcPr>
          <w:p>
            <w:pPr>
              <w:rPr>
                <w:rFonts w:hint="eastAsia" w:ascii="宋体"/>
                <w:b w:val="0"/>
                <w:bCs w:val="0"/>
                <w:sz w:val="22"/>
                <w:szCs w:val="22"/>
              </w:rPr>
            </w:pPr>
          </w:p>
        </w:tc>
        <w:tc>
          <w:tcPr>
            <w:tcW w:w="1151" w:type="pct"/>
            <w:shd w:val="clear" w:color="auto" w:fill="auto"/>
            <w:vAlign w:val="center"/>
          </w:tcPr>
          <w:p>
            <w:pPr>
              <w:rPr>
                <w:rFonts w:hint="eastAsia" w:ascii="宋体"/>
                <w:b w:val="0"/>
                <w:bCs w:val="0"/>
                <w:sz w:val="22"/>
                <w:szCs w:val="22"/>
              </w:rPr>
            </w:pPr>
          </w:p>
        </w:tc>
        <w:tc>
          <w:tcPr>
            <w:tcW w:w="165" w:type="pct"/>
            <w:shd w:val="clear" w:color="auto" w:fill="auto"/>
            <w:vAlign w:val="center"/>
          </w:tcPr>
          <w:p>
            <w:pPr>
              <w:rPr>
                <w:rFonts w:hint="eastAsia" w:ascii="宋体"/>
                <w:b w:val="0"/>
                <w:bCs w:val="0"/>
                <w:sz w:val="22"/>
                <w:szCs w:val="22"/>
              </w:rPr>
            </w:pPr>
          </w:p>
        </w:tc>
        <w:tc>
          <w:tcPr>
            <w:tcW w:w="664" w:type="pct"/>
            <w:shd w:val="clear" w:color="auto" w:fill="auto"/>
            <w:vAlign w:val="center"/>
          </w:tcPr>
          <w:p>
            <w:pPr>
              <w:rPr>
                <w:rFonts w:hint="eastAsia" w:ascii="宋体"/>
                <w:b w:val="0"/>
                <w:bCs w:val="0"/>
                <w:sz w:val="22"/>
                <w:szCs w:val="22"/>
              </w:rPr>
            </w:pPr>
          </w:p>
        </w:tc>
        <w:tc>
          <w:tcPr>
            <w:tcW w:w="456" w:type="pct"/>
            <w:shd w:val="clear" w:color="auto" w:fill="auto"/>
            <w:vAlign w:val="center"/>
          </w:tcPr>
          <w:p>
            <w:pPr>
              <w:rPr>
                <w:rFonts w:hint="eastAsia" w:ascii="宋体"/>
                <w:b w:val="0"/>
                <w:bCs w:val="0"/>
                <w:sz w:val="22"/>
                <w:szCs w:val="22"/>
              </w:rPr>
            </w:pPr>
          </w:p>
        </w:tc>
        <w:tc>
          <w:tcPr>
            <w:tcW w:w="912" w:type="pct"/>
            <w:gridSpan w:val="2"/>
            <w:shd w:val="clear" w:color="auto" w:fill="auto"/>
            <w:vAlign w:val="center"/>
          </w:tcPr>
          <w:p>
            <w:pPr>
              <w:pStyle w:val="9"/>
              <w:keepNext w:val="0"/>
              <w:keepLines w:val="0"/>
              <w:widowControl/>
              <w:suppressLineNumbers w:val="0"/>
              <w:jc w:val="right"/>
            </w:pPr>
            <w:r>
              <w:rPr>
                <w:b w:val="0"/>
                <w:bCs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87" w:type="pct"/>
            <w:gridSpan w:val="7"/>
            <w:shd w:val="clear" w:color="auto" w:fill="auto"/>
            <w:vAlign w:val="center"/>
          </w:tcPr>
          <w:p>
            <w:pPr>
              <w:pStyle w:val="9"/>
              <w:keepNext w:val="0"/>
              <w:keepLines w:val="0"/>
              <w:widowControl/>
              <w:suppressLineNumbers w:val="0"/>
              <w:jc w:val="left"/>
            </w:pPr>
            <w:r>
              <w:rPr>
                <w:b w:val="0"/>
                <w:bCs w:val="0"/>
                <w:sz w:val="22"/>
                <w:szCs w:val="22"/>
              </w:rPr>
              <w:t>部门：石鼓区农业农村局</w:t>
            </w:r>
          </w:p>
        </w:tc>
        <w:tc>
          <w:tcPr>
            <w:tcW w:w="912" w:type="pct"/>
            <w:gridSpan w:val="2"/>
            <w:shd w:val="clear" w:color="auto" w:fill="auto"/>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收 入</w:t>
            </w:r>
          </w:p>
        </w:tc>
        <w:tc>
          <w:tcPr>
            <w:tcW w:w="3349"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行次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金额</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行次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一般公共预算财政拨款</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政府性基金预算财政拨款</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栏次</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栏次</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一、一般公共预算财政拨款</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5,750.72</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一、一般公共服务支出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33</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17.40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17.40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二、政府性基金预算财政拨款</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二、外交支出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34</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三、国有资本经营财政拨款</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三、国防支出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35</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四、公共安全支出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36</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五、教育支出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37</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六、科学技术支出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38</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7</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七、文化旅游体育与传媒支出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39</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8</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八、社会保障和就业支出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40</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32.86</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32.86</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9</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九、卫生健康支出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41</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15.72</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15.72</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10</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十、节能环保支出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42</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125.85</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125.85</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11</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十一、城乡社区支出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43</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12</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十二、农林水支出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44</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5,841.89</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5,841.89</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13</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十三、交通运输支出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45</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14</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十四、资源勘探工业信息等支出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46</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15</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十五、商业服务业等支出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47</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16</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十六、金融支出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48</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17</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十七、援助其他地区支出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49</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18</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十八、自然资源海洋气象等支出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50</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19</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十九、住房保障支出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51</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20</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二十、粮油物资储备支出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52</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21</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二十一、国有资本经营预算支出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53</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22</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二十二、灾害防治及应急管理支出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54</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23</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二十三、其他支出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55</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0"/>
                <w:szCs w:val="20"/>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24</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二十四、债务还本支出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56</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0"/>
                <w:szCs w:val="20"/>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25</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二十五、债务付息支出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57</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0"/>
                <w:szCs w:val="20"/>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26</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二十六、抗疫特别国债安排的支出</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58</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本年收入合计</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27</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5,750.72</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本年支出合计</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59</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6,208.92</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6,208.92</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年初财政拨款结转和结余</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28</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458.21</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年末财政拨款结转和结余</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60</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一般公共预算财政拨款</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29</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458.21</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61</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政府性基金预算财政拨款</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30</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62</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国有资本经营预算财政拨款</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31</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63</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总计</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32</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6,208.92</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总计</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64</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6,208.92</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6,208.92</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5000" w:type="pct"/>
            <w:gridSpan w:val="9"/>
            <w:shd w:val="clear" w:color="auto" w:fill="auto"/>
            <w:vAlign w:val="center"/>
          </w:tcPr>
          <w:p>
            <w:pPr>
              <w:pStyle w:val="9"/>
              <w:keepNext w:val="0"/>
              <w:keepLines w:val="0"/>
              <w:widowControl/>
              <w:suppressLineNumbers w:val="0"/>
              <w:jc w:val="left"/>
            </w:pPr>
            <w:r>
              <w:rPr>
                <w:b w:val="0"/>
                <w:bCs w:val="0"/>
                <w:sz w:val="22"/>
                <w:szCs w:val="22"/>
              </w:rPr>
              <w:t>注：本表反映部门本年度一般公共预算财政拨款、政府性基金预算财政拨款和国有资本经营预算财政拨款的总收支和年末结转结余情况。本表金额转换为万元时，因四舍五入可能存在尾数误差。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2"/>
        <w:gridCol w:w="452"/>
        <w:gridCol w:w="455"/>
        <w:gridCol w:w="5398"/>
        <w:gridCol w:w="3092"/>
        <w:gridCol w:w="3093"/>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center"/>
            </w:pPr>
            <w:r>
              <w:rPr>
                <w:b w:val="0"/>
                <w:bCs w:val="0"/>
                <w:sz w:val="40"/>
                <w:szCs w:val="40"/>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1" w:type="pct"/>
            <w:shd w:val="clear" w:color="auto" w:fill="auto"/>
            <w:vAlign w:val="center"/>
          </w:tcPr>
          <w:p>
            <w:pPr>
              <w:rPr>
                <w:rFonts w:hint="eastAsia" w:ascii="宋体"/>
                <w:b w:val="0"/>
                <w:bCs w:val="0"/>
                <w:sz w:val="22"/>
                <w:szCs w:val="22"/>
              </w:rPr>
            </w:pPr>
          </w:p>
        </w:tc>
        <w:tc>
          <w:tcPr>
            <w:tcW w:w="141" w:type="pct"/>
            <w:shd w:val="clear" w:color="auto" w:fill="auto"/>
            <w:vAlign w:val="center"/>
          </w:tcPr>
          <w:p>
            <w:pPr>
              <w:rPr>
                <w:rFonts w:hint="eastAsia" w:ascii="宋体"/>
                <w:b w:val="0"/>
                <w:bCs w:val="0"/>
                <w:sz w:val="22"/>
                <w:szCs w:val="22"/>
              </w:rPr>
            </w:pPr>
          </w:p>
        </w:tc>
        <w:tc>
          <w:tcPr>
            <w:tcW w:w="141" w:type="pct"/>
            <w:shd w:val="clear" w:color="auto" w:fill="auto"/>
            <w:vAlign w:val="center"/>
          </w:tcPr>
          <w:p>
            <w:pPr>
              <w:rPr>
                <w:rFonts w:hint="eastAsia" w:ascii="宋体"/>
                <w:b w:val="0"/>
                <w:bCs w:val="0"/>
                <w:sz w:val="22"/>
                <w:szCs w:val="22"/>
              </w:rPr>
            </w:pPr>
          </w:p>
        </w:tc>
        <w:tc>
          <w:tcPr>
            <w:tcW w:w="1683" w:type="pct"/>
            <w:shd w:val="clear" w:color="auto" w:fill="auto"/>
            <w:vAlign w:val="center"/>
          </w:tcPr>
          <w:p>
            <w:pPr>
              <w:rPr>
                <w:rFonts w:hint="eastAsia" w:ascii="宋体"/>
                <w:b w:val="0"/>
                <w:bCs w:val="0"/>
                <w:sz w:val="22"/>
                <w:szCs w:val="22"/>
              </w:rPr>
            </w:pPr>
          </w:p>
        </w:tc>
        <w:tc>
          <w:tcPr>
            <w:tcW w:w="964" w:type="pct"/>
            <w:shd w:val="clear" w:color="auto" w:fill="auto"/>
            <w:vAlign w:val="center"/>
          </w:tcPr>
          <w:p>
            <w:pPr>
              <w:rPr>
                <w:rFonts w:hint="eastAsia" w:ascii="宋体"/>
                <w:b w:val="0"/>
                <w:bCs w:val="0"/>
                <w:sz w:val="22"/>
                <w:szCs w:val="22"/>
              </w:rPr>
            </w:pPr>
          </w:p>
        </w:tc>
        <w:tc>
          <w:tcPr>
            <w:tcW w:w="1928" w:type="pct"/>
            <w:gridSpan w:val="2"/>
            <w:shd w:val="clear" w:color="auto" w:fill="auto"/>
            <w:vAlign w:val="center"/>
          </w:tcPr>
          <w:p>
            <w:pPr>
              <w:pStyle w:val="9"/>
              <w:keepNext w:val="0"/>
              <w:keepLines w:val="0"/>
              <w:widowControl/>
              <w:suppressLineNumbers w:val="0"/>
              <w:jc w:val="right"/>
            </w:pPr>
            <w:r>
              <w:rPr>
                <w:b w:val="0"/>
                <w:bCs w:val="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071" w:type="pct"/>
            <w:gridSpan w:val="5"/>
            <w:shd w:val="clear" w:color="auto" w:fill="auto"/>
            <w:vAlign w:val="center"/>
          </w:tcPr>
          <w:p>
            <w:pPr>
              <w:pStyle w:val="9"/>
              <w:keepNext w:val="0"/>
              <w:keepLines w:val="0"/>
              <w:widowControl/>
              <w:suppressLineNumbers w:val="0"/>
              <w:jc w:val="left"/>
            </w:pPr>
            <w:r>
              <w:rPr>
                <w:b w:val="0"/>
                <w:bCs w:val="0"/>
                <w:sz w:val="22"/>
                <w:szCs w:val="22"/>
              </w:rPr>
              <w:t>部门：石鼓区农业农村局</w:t>
            </w:r>
          </w:p>
        </w:tc>
        <w:tc>
          <w:tcPr>
            <w:tcW w:w="1928" w:type="pct"/>
            <w:gridSpan w:val="2"/>
            <w:shd w:val="clear" w:color="auto" w:fill="auto"/>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w:t>
            </w:r>
          </w:p>
        </w:tc>
        <w:tc>
          <w:tcPr>
            <w:tcW w:w="289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小计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栏次</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合计</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6,208.92</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447.34</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5,761.59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一般公共服务支出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17.40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17.40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20103</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政府办公厅（室）及相关机构事务</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10.10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10.10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2010301</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行政运行</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10.10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10.10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20107</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税收事务</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2010710</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税收业务</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20199</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其他一般公共服务支出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3.30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3.30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2019999</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其他一般公共服务支出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3.30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3.30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社会保障和就业支出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32.86</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32.86</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20805</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行政事业单位养老支出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32.86</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32.86</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2080505</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机关事业单位基本养老保险缴费支出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28.32</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28.32</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2080506</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机关事业单位职业年金缴费支出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4.55</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4.55</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卫生健康支出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15.72</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15.72</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21007</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计划生育事务</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1.07</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1.07</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2100717</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计划生育服务</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1.07</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1.07</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21011</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行政事业单位医疗</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14.65</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14.65</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2101101</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行政单位医疗</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14.65</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14.65</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211</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节能环保支出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125.85</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125.85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21105</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天然林保护</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2110599</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其他天然林保护支出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21106</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退耕还林还草</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15.85</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2110699</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其他退耕还林还草支出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15.85</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21111</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污染减排</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2111199</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其他污染减排支出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农林水支出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5,841.89</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361.15</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5,480.74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农业农村</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5,578.73</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361.15</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5,217.58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2130101</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行政运行</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301.04</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301.04</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2130102</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一般行政管理事务</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13.00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2130106</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科技转化与推广服务</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30.00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2130108</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病虫害控制</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39.22</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2130109</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农产品质量安全</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106.63</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2130119</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防灾救灾</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140.00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2130121</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农业结构调整补贴</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16.00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2130122</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农业生产发展</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850.99</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850.99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2130124</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农村合作经济</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147.00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2130125</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农产品加工与促销</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81.00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2130126</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农村社会事业</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2130153</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农田建设</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620.00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2130199</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其他农业农村支出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3,218.85</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60.10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3,158.74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21302</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林业和草原</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60.35</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2130205</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森林资源培育</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17.60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2130207</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森林资源管理</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2.75</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2130212</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湿地保护</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2130234</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林业草原防灾减灾</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21308</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普惠金融发展支出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75.47</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75.47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2130803</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农业保险保费补贴</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75.47</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75.47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21309</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目标价格补贴</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106.34</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2130999</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其他目标价格补贴</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106.34</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21399</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其他农林水支出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21.00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2139999</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其他农林水支出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21.00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214</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交通运输支出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21404</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成品油价格改革对交通运输的补贴</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2140499</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成品油价格改革补贴其他支出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221</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住房保障支出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22102</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住房改革支出</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2210201</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住房公积金</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20.20</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5000" w:type="pct"/>
            <w:gridSpan w:val="7"/>
            <w:shd w:val="clear" w:color="auto" w:fill="auto"/>
            <w:vAlign w:val="center"/>
          </w:tcPr>
          <w:p>
            <w:pPr>
              <w:pStyle w:val="9"/>
              <w:keepNext w:val="0"/>
              <w:keepLines w:val="0"/>
              <w:widowControl/>
              <w:suppressLineNumbers w:val="0"/>
              <w:jc w:val="left"/>
            </w:pPr>
            <w:r>
              <w:rPr>
                <w:b w:val="0"/>
                <w:bCs w:val="0"/>
                <w:sz w:val="22"/>
                <w:szCs w:val="22"/>
              </w:rPr>
              <w:t>注：本表反映部门本年度一般公共预算财政拨款支出情况。本表金额转换为万元时，因四舍五入可能存在尾数误差。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8"/>
        <w:gridCol w:w="3380"/>
        <w:gridCol w:w="1726"/>
        <w:gridCol w:w="719"/>
        <w:gridCol w:w="2659"/>
        <w:gridCol w:w="1726"/>
        <w:gridCol w:w="722"/>
        <w:gridCol w:w="26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center"/>
            </w:pPr>
            <w:r>
              <w:rPr>
                <w:b w:val="0"/>
                <w:bCs w:val="0"/>
                <w:sz w:val="40"/>
                <w:szCs w:val="40"/>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shd w:val="clear" w:color="auto" w:fill="auto"/>
            <w:vAlign w:val="center"/>
          </w:tcPr>
          <w:p>
            <w:pPr>
              <w:rPr>
                <w:rFonts w:hint="eastAsia" w:ascii="宋体"/>
                <w:b w:val="0"/>
                <w:bCs w:val="0"/>
                <w:sz w:val="22"/>
                <w:szCs w:val="22"/>
              </w:rPr>
            </w:pPr>
          </w:p>
        </w:tc>
        <w:tc>
          <w:tcPr>
            <w:tcW w:w="1053" w:type="pct"/>
            <w:shd w:val="clear" w:color="auto" w:fill="auto"/>
            <w:vAlign w:val="center"/>
          </w:tcPr>
          <w:p>
            <w:pPr>
              <w:rPr>
                <w:rFonts w:hint="eastAsia" w:ascii="宋体"/>
                <w:b w:val="0"/>
                <w:bCs w:val="0"/>
                <w:sz w:val="22"/>
                <w:szCs w:val="22"/>
              </w:rPr>
            </w:pPr>
          </w:p>
        </w:tc>
        <w:tc>
          <w:tcPr>
            <w:tcW w:w="538" w:type="pct"/>
            <w:shd w:val="clear" w:color="auto" w:fill="auto"/>
            <w:vAlign w:val="center"/>
          </w:tcPr>
          <w:p>
            <w:pPr>
              <w:rPr>
                <w:rFonts w:hint="eastAsia" w:ascii="宋体"/>
                <w:b w:val="0"/>
                <w:bCs w:val="0"/>
                <w:sz w:val="22"/>
                <w:szCs w:val="22"/>
              </w:rPr>
            </w:pPr>
          </w:p>
        </w:tc>
        <w:tc>
          <w:tcPr>
            <w:tcW w:w="224" w:type="pct"/>
            <w:shd w:val="clear" w:color="auto" w:fill="auto"/>
            <w:vAlign w:val="center"/>
          </w:tcPr>
          <w:p>
            <w:pPr>
              <w:rPr>
                <w:rFonts w:hint="eastAsia" w:ascii="宋体"/>
                <w:b w:val="0"/>
                <w:bCs w:val="0"/>
                <w:sz w:val="22"/>
                <w:szCs w:val="22"/>
              </w:rPr>
            </w:pPr>
          </w:p>
        </w:tc>
        <w:tc>
          <w:tcPr>
            <w:tcW w:w="829" w:type="pct"/>
            <w:shd w:val="clear" w:color="auto" w:fill="auto"/>
            <w:vAlign w:val="center"/>
          </w:tcPr>
          <w:p>
            <w:pPr>
              <w:rPr>
                <w:rFonts w:hint="eastAsia" w:ascii="宋体"/>
                <w:b w:val="0"/>
                <w:bCs w:val="0"/>
                <w:sz w:val="22"/>
                <w:szCs w:val="22"/>
              </w:rPr>
            </w:pPr>
          </w:p>
        </w:tc>
        <w:tc>
          <w:tcPr>
            <w:tcW w:w="538" w:type="pct"/>
            <w:shd w:val="clear" w:color="auto" w:fill="auto"/>
            <w:vAlign w:val="center"/>
          </w:tcPr>
          <w:p>
            <w:pPr>
              <w:rPr>
                <w:rFonts w:hint="eastAsia" w:ascii="宋体"/>
                <w:b w:val="0"/>
                <w:bCs w:val="0"/>
                <w:sz w:val="22"/>
                <w:szCs w:val="22"/>
              </w:rPr>
            </w:pPr>
          </w:p>
        </w:tc>
        <w:tc>
          <w:tcPr>
            <w:tcW w:w="224" w:type="pct"/>
            <w:shd w:val="clear" w:color="auto" w:fill="auto"/>
            <w:vAlign w:val="center"/>
          </w:tcPr>
          <w:p>
            <w:pPr>
              <w:rPr>
                <w:rFonts w:hint="eastAsia" w:ascii="宋体"/>
                <w:b w:val="0"/>
                <w:bCs w:val="0"/>
                <w:sz w:val="22"/>
                <w:szCs w:val="22"/>
              </w:rPr>
            </w:pPr>
          </w:p>
        </w:tc>
        <w:tc>
          <w:tcPr>
            <w:tcW w:w="1367" w:type="pct"/>
            <w:gridSpan w:val="2"/>
            <w:shd w:val="clear" w:color="auto" w:fill="auto"/>
            <w:vAlign w:val="center"/>
          </w:tcPr>
          <w:p>
            <w:pPr>
              <w:pStyle w:val="9"/>
              <w:keepNext w:val="0"/>
              <w:keepLines w:val="0"/>
              <w:widowControl/>
              <w:suppressLineNumbers w:val="0"/>
              <w:jc w:val="right"/>
            </w:pPr>
            <w:r>
              <w:rPr>
                <w:b w:val="0"/>
                <w:bCs w:val="0"/>
                <w:sz w:val="18"/>
                <w:szCs w:val="18"/>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632" w:type="pct"/>
            <w:gridSpan w:val="7"/>
            <w:shd w:val="clear" w:color="auto" w:fill="auto"/>
            <w:vAlign w:val="center"/>
          </w:tcPr>
          <w:p>
            <w:pPr>
              <w:pStyle w:val="9"/>
              <w:keepNext w:val="0"/>
              <w:keepLines w:val="0"/>
              <w:widowControl/>
              <w:suppressLineNumbers w:val="0"/>
              <w:jc w:val="left"/>
            </w:pPr>
            <w:r>
              <w:rPr>
                <w:b w:val="0"/>
                <w:bCs w:val="0"/>
                <w:sz w:val="22"/>
                <w:szCs w:val="22"/>
              </w:rPr>
              <w:t>部门：石鼓区农业农村局</w:t>
            </w:r>
          </w:p>
        </w:tc>
        <w:tc>
          <w:tcPr>
            <w:tcW w:w="1367" w:type="pct"/>
            <w:gridSpan w:val="2"/>
            <w:shd w:val="clear" w:color="auto" w:fill="auto"/>
            <w:vAlign w:val="center"/>
          </w:tcPr>
          <w:p>
            <w:pPr>
              <w:pStyle w:val="9"/>
              <w:keepNext w:val="0"/>
              <w:keepLines w:val="0"/>
              <w:widowControl/>
              <w:suppressLineNumbers w:val="0"/>
              <w:jc w:val="right"/>
            </w:pPr>
            <w:r>
              <w:rPr>
                <w:b w:val="0"/>
                <w:bCs w:val="0"/>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1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人员经费</w:t>
            </w:r>
          </w:p>
        </w:tc>
        <w:tc>
          <w:tcPr>
            <w:tcW w:w="3183"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决算数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决算数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301</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工资福利支出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391.19</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302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商品和服务支出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53.79</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307</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债务利息及费用支出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30101</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基本工资</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105.16</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30201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办公费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3.05</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30701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国内债务付息</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30102</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津贴补贴</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18.04</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30202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印刷费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3.92</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30702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国外债务付息</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30103</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奖金</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127.20</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30203</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咨询费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310</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资本性支出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30106</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伙食补助费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30204</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手续费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31001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房屋建筑物购建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30107</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绩效工资</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43.41</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30205</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水费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31002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办公设备购置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30108</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机关事业单位基本养老保险缴费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28.48</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30206</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电费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31003</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专用设备购置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30109</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职业年金缴费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4.55</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30207</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邮电费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0.61</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31005</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基础设施建设</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30110</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职工基本医疗保险缴费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29.26</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30208</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取暖费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31006</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大型修缮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30111</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公务员医疗补助缴费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30209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物业管理费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31007</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信息网络及软件购置更新</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30112</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其他社会保障缴费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30211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差旅费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0.45</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31008</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物资储备</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30113</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住房公积金</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31.67</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30212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因公出国（境）费用</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31009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土地补偿</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30114</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医疗费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30213</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维修（护）费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1.54</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31010</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安置补助</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30199</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其他工资福利支出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3.42</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30214</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租赁费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31011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地上附着物和青苗补偿</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303</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对个人和家庭的补助</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2.35</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30215</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会议费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2.14</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31012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拆迁补偿</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30301</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离休费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30216</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培训费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0.05</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31013</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公务用车购置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30302</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退休费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30217</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公务接待费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0.28</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31019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其他交通工具购置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30303</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退职（役）费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30218</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专用材料费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31021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文物和陈列品购置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30304</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抚恤金</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30224</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被装购置费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31022</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无形资产购置</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30305</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生活补助</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1.28</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30225</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专用燃料费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31099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其他资本性支出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30306</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救济费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30226</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劳务费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3.80</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399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bCs/>
                <w:sz w:val="22"/>
                <w:szCs w:val="22"/>
              </w:rPr>
              <w:t>其他支出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30307</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医疗费补助</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30227</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委托业务费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6.06</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39906</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赠与</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30308</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助学金</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30228</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工会经费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4.00</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39907</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国家赔偿费用支出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30309</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奖励金</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1.07</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30229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福利费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39908</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对民间非营利组织和群众性自治组织补贴</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30310</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个人农业生产补贴</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30231</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公务用车运行维护费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2.15</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39999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30311</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代缴社会保险费</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30239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其他交通费用</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16.89</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30399</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其他对个人和家庭的补助</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30240</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税金及附加费用</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2.53</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30299</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其他商品和服务支出</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6.33</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278" w:type="pct"/>
            <w:gridSpan w:val="2"/>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人员经费合计</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393.55</w:t>
            </w:r>
          </w:p>
        </w:tc>
        <w:tc>
          <w:tcPr>
            <w:tcW w:w="2645" w:type="pct"/>
            <w:gridSpan w:val="5"/>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bCs/>
                <w:sz w:val="22"/>
                <w:szCs w:val="22"/>
              </w:rPr>
              <w:t>公用经费合计</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53.79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left"/>
            </w:pPr>
            <w:r>
              <w:rPr>
                <w:b w:val="0"/>
                <w:bCs w:val="0"/>
                <w:sz w:val="22"/>
                <w:szCs w:val="22"/>
              </w:rPr>
              <w:t>注：本表反映部门本年度一般公共预算财政拨款基本支出明细情况。本表金额转换为万元时，因四舍五入可能存在尾数误差。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2"/>
            <w:shd w:val="clear" w:color="auto" w:fill="auto"/>
            <w:vAlign w:val="center"/>
          </w:tcPr>
          <w:p>
            <w:pPr>
              <w:pStyle w:val="9"/>
              <w:keepNext w:val="0"/>
              <w:keepLines w:val="0"/>
              <w:widowControl/>
              <w:suppressLineNumbers w:val="0"/>
              <w:jc w:val="center"/>
            </w:pPr>
            <w:r>
              <w:rPr>
                <w:b w:val="0"/>
                <w:bCs w:val="0"/>
                <w:sz w:val="40"/>
                <w:szCs w:val="40"/>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shd w:val="clear" w:color="auto" w:fill="auto"/>
            <w:vAlign w:val="center"/>
          </w:tcPr>
          <w:p>
            <w:pPr>
              <w:rPr>
                <w:rFonts w:hint="eastAsia" w:ascii="宋体"/>
                <w:b w:val="0"/>
                <w:bCs w:val="0"/>
                <w:sz w:val="22"/>
                <w:szCs w:val="22"/>
              </w:rPr>
            </w:pPr>
          </w:p>
        </w:tc>
        <w:tc>
          <w:tcPr>
            <w:tcW w:w="416" w:type="pct"/>
            <w:shd w:val="clear" w:color="auto" w:fill="auto"/>
            <w:vAlign w:val="center"/>
          </w:tcPr>
          <w:p>
            <w:pPr>
              <w:rPr>
                <w:rFonts w:hint="eastAsia" w:ascii="宋体"/>
                <w:b w:val="0"/>
                <w:bCs w:val="0"/>
                <w:sz w:val="22"/>
                <w:szCs w:val="22"/>
              </w:rPr>
            </w:pPr>
          </w:p>
        </w:tc>
        <w:tc>
          <w:tcPr>
            <w:tcW w:w="416" w:type="pct"/>
            <w:shd w:val="clear" w:color="auto" w:fill="auto"/>
            <w:vAlign w:val="center"/>
          </w:tcPr>
          <w:p>
            <w:pPr>
              <w:rPr>
                <w:rFonts w:hint="eastAsia" w:ascii="宋体"/>
                <w:b w:val="0"/>
                <w:bCs w:val="0"/>
                <w:sz w:val="22"/>
                <w:szCs w:val="22"/>
              </w:rPr>
            </w:pPr>
          </w:p>
        </w:tc>
        <w:tc>
          <w:tcPr>
            <w:tcW w:w="416" w:type="pct"/>
            <w:shd w:val="clear" w:color="auto" w:fill="auto"/>
            <w:vAlign w:val="center"/>
          </w:tcPr>
          <w:p>
            <w:pPr>
              <w:rPr>
                <w:rFonts w:hint="eastAsia" w:ascii="宋体"/>
                <w:b w:val="0"/>
                <w:bCs w:val="0"/>
                <w:sz w:val="22"/>
                <w:szCs w:val="22"/>
              </w:rPr>
            </w:pPr>
          </w:p>
        </w:tc>
        <w:tc>
          <w:tcPr>
            <w:tcW w:w="416" w:type="pct"/>
            <w:shd w:val="clear" w:color="auto" w:fill="auto"/>
            <w:vAlign w:val="center"/>
          </w:tcPr>
          <w:p>
            <w:pPr>
              <w:rPr>
                <w:rFonts w:hint="eastAsia" w:ascii="宋体"/>
                <w:b w:val="0"/>
                <w:bCs w:val="0"/>
                <w:sz w:val="22"/>
                <w:szCs w:val="22"/>
              </w:rPr>
            </w:pPr>
          </w:p>
        </w:tc>
        <w:tc>
          <w:tcPr>
            <w:tcW w:w="416" w:type="pct"/>
            <w:shd w:val="clear" w:color="auto" w:fill="auto"/>
            <w:vAlign w:val="center"/>
          </w:tcPr>
          <w:p>
            <w:pPr>
              <w:rPr>
                <w:rFonts w:hint="eastAsia" w:ascii="宋体"/>
                <w:b w:val="0"/>
                <w:bCs w:val="0"/>
                <w:sz w:val="22"/>
                <w:szCs w:val="22"/>
              </w:rPr>
            </w:pPr>
          </w:p>
        </w:tc>
        <w:tc>
          <w:tcPr>
            <w:tcW w:w="416" w:type="pct"/>
            <w:shd w:val="clear" w:color="auto" w:fill="auto"/>
            <w:vAlign w:val="center"/>
          </w:tcPr>
          <w:p>
            <w:pPr>
              <w:rPr>
                <w:rFonts w:hint="eastAsia" w:ascii="宋体"/>
                <w:b w:val="0"/>
                <w:bCs w:val="0"/>
                <w:sz w:val="22"/>
                <w:szCs w:val="22"/>
              </w:rPr>
            </w:pPr>
          </w:p>
        </w:tc>
        <w:tc>
          <w:tcPr>
            <w:tcW w:w="416" w:type="pct"/>
            <w:shd w:val="clear" w:color="auto" w:fill="auto"/>
            <w:vAlign w:val="center"/>
          </w:tcPr>
          <w:p>
            <w:pPr>
              <w:rPr>
                <w:rFonts w:hint="eastAsia" w:ascii="宋体"/>
                <w:b w:val="0"/>
                <w:bCs w:val="0"/>
                <w:sz w:val="22"/>
                <w:szCs w:val="22"/>
              </w:rPr>
            </w:pPr>
          </w:p>
        </w:tc>
        <w:tc>
          <w:tcPr>
            <w:tcW w:w="416" w:type="pct"/>
            <w:shd w:val="clear" w:color="auto" w:fill="auto"/>
            <w:vAlign w:val="center"/>
          </w:tcPr>
          <w:p>
            <w:pPr>
              <w:rPr>
                <w:rFonts w:hint="eastAsia" w:ascii="宋体"/>
                <w:b w:val="0"/>
                <w:bCs w:val="0"/>
                <w:sz w:val="22"/>
                <w:szCs w:val="22"/>
              </w:rPr>
            </w:pPr>
          </w:p>
        </w:tc>
        <w:tc>
          <w:tcPr>
            <w:tcW w:w="416" w:type="pct"/>
            <w:shd w:val="clear" w:color="auto" w:fill="auto"/>
            <w:vAlign w:val="center"/>
          </w:tcPr>
          <w:p>
            <w:pPr>
              <w:rPr>
                <w:rFonts w:hint="eastAsia" w:ascii="宋体"/>
                <w:b w:val="0"/>
                <w:bCs w:val="0"/>
                <w:sz w:val="22"/>
                <w:szCs w:val="22"/>
              </w:rPr>
            </w:pPr>
          </w:p>
        </w:tc>
        <w:tc>
          <w:tcPr>
            <w:tcW w:w="833" w:type="pct"/>
            <w:gridSpan w:val="2"/>
            <w:shd w:val="clear" w:color="auto" w:fill="auto"/>
            <w:vAlign w:val="center"/>
          </w:tcPr>
          <w:p>
            <w:pPr>
              <w:pStyle w:val="9"/>
              <w:keepNext w:val="0"/>
              <w:keepLines w:val="0"/>
              <w:widowControl/>
              <w:suppressLineNumbers w:val="0"/>
              <w:jc w:val="right"/>
            </w:pPr>
            <w:r>
              <w:rPr>
                <w:b w:val="0"/>
                <w:bCs w:val="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6" w:type="pct"/>
            <w:gridSpan w:val="10"/>
            <w:shd w:val="clear" w:color="auto" w:fill="auto"/>
            <w:vAlign w:val="center"/>
          </w:tcPr>
          <w:p>
            <w:pPr>
              <w:pStyle w:val="9"/>
              <w:keepNext w:val="0"/>
              <w:keepLines w:val="0"/>
              <w:widowControl/>
              <w:suppressLineNumbers w:val="0"/>
              <w:jc w:val="left"/>
            </w:pPr>
            <w:r>
              <w:rPr>
                <w:b w:val="0"/>
                <w:bCs w:val="0"/>
                <w:sz w:val="22"/>
                <w:szCs w:val="22"/>
              </w:rPr>
              <w:t>部门：石鼓区农业农村局</w:t>
            </w:r>
          </w:p>
        </w:tc>
        <w:tc>
          <w:tcPr>
            <w:tcW w:w="833" w:type="pct"/>
            <w:gridSpan w:val="2"/>
            <w:shd w:val="clear" w:color="auto" w:fill="auto"/>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预算数</w:t>
            </w:r>
          </w:p>
        </w:tc>
        <w:tc>
          <w:tcPr>
            <w:tcW w:w="25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因公出国（境）费</w:t>
            </w:r>
          </w:p>
        </w:tc>
        <w:tc>
          <w:tcPr>
            <w:tcW w:w="12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公务用车购置及运行费</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公务接待费</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因公出国（境）费</w:t>
            </w:r>
          </w:p>
        </w:tc>
        <w:tc>
          <w:tcPr>
            <w:tcW w:w="12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公务用车购置及运行费</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小计</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公务用车购置费</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公务用车运行费</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小计</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公务用车购置费</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公务用车运行费</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7</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8</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9</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10</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11</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5</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3.00</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3.00</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2.00</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2.43</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2.15</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2.15</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val="0"/>
                <w:bCs w:val="0"/>
                <w:sz w:val="22"/>
                <w:szCs w:val="22"/>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shd w:val="clear" w:color="auto" w:fill="auto"/>
            <w:vAlign w:val="center"/>
          </w:tcPr>
          <w:p>
            <w:pPr>
              <w:pStyle w:val="9"/>
              <w:keepNext w:val="0"/>
              <w:keepLines w:val="0"/>
              <w:widowControl/>
              <w:suppressLineNumbers w:val="0"/>
              <w:jc w:val="left"/>
            </w:pPr>
            <w:r>
              <w:rPr>
                <w:b w:val="0"/>
                <w:bCs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3"/>
        <w:gridCol w:w="334"/>
        <w:gridCol w:w="334"/>
        <w:gridCol w:w="3458"/>
        <w:gridCol w:w="1180"/>
        <w:gridCol w:w="1969"/>
        <w:gridCol w:w="1075"/>
        <w:gridCol w:w="1527"/>
        <w:gridCol w:w="1517"/>
        <w:gridCol w:w="4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center"/>
            </w:pPr>
            <w:r>
              <w:rPr>
                <w:b w:val="0"/>
                <w:bCs w:val="0"/>
                <w:sz w:val="40"/>
                <w:szCs w:val="40"/>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4" w:type="pct"/>
            <w:shd w:val="clear" w:color="auto" w:fill="auto"/>
            <w:vAlign w:val="center"/>
          </w:tcPr>
          <w:p>
            <w:pPr>
              <w:rPr>
                <w:rFonts w:hint="eastAsia" w:ascii="宋体"/>
                <w:b w:val="0"/>
                <w:bCs w:val="0"/>
                <w:sz w:val="22"/>
                <w:szCs w:val="22"/>
              </w:rPr>
            </w:pPr>
          </w:p>
        </w:tc>
        <w:tc>
          <w:tcPr>
            <w:tcW w:w="104" w:type="pct"/>
            <w:shd w:val="clear" w:color="auto" w:fill="auto"/>
            <w:vAlign w:val="center"/>
          </w:tcPr>
          <w:p>
            <w:pPr>
              <w:rPr>
                <w:rFonts w:hint="eastAsia" w:ascii="宋体"/>
                <w:b w:val="0"/>
                <w:bCs w:val="0"/>
                <w:sz w:val="22"/>
                <w:szCs w:val="22"/>
              </w:rPr>
            </w:pPr>
          </w:p>
        </w:tc>
        <w:tc>
          <w:tcPr>
            <w:tcW w:w="104" w:type="pct"/>
            <w:shd w:val="clear" w:color="auto" w:fill="auto"/>
            <w:vAlign w:val="center"/>
          </w:tcPr>
          <w:p>
            <w:pPr>
              <w:rPr>
                <w:rFonts w:hint="eastAsia" w:ascii="宋体"/>
                <w:b w:val="0"/>
                <w:bCs w:val="0"/>
                <w:sz w:val="22"/>
                <w:szCs w:val="22"/>
              </w:rPr>
            </w:pPr>
          </w:p>
        </w:tc>
        <w:tc>
          <w:tcPr>
            <w:tcW w:w="1078" w:type="pct"/>
            <w:shd w:val="clear" w:color="auto" w:fill="auto"/>
            <w:vAlign w:val="center"/>
          </w:tcPr>
          <w:p>
            <w:pPr>
              <w:rPr>
                <w:rFonts w:hint="eastAsia" w:ascii="宋体"/>
                <w:b w:val="0"/>
                <w:bCs w:val="0"/>
                <w:sz w:val="22"/>
                <w:szCs w:val="22"/>
              </w:rPr>
            </w:pPr>
          </w:p>
        </w:tc>
        <w:tc>
          <w:tcPr>
            <w:tcW w:w="368" w:type="pct"/>
            <w:shd w:val="clear" w:color="auto" w:fill="auto"/>
            <w:vAlign w:val="center"/>
          </w:tcPr>
          <w:p>
            <w:pPr>
              <w:rPr>
                <w:rFonts w:hint="eastAsia" w:ascii="宋体"/>
                <w:b w:val="0"/>
                <w:bCs w:val="0"/>
                <w:sz w:val="22"/>
                <w:szCs w:val="22"/>
              </w:rPr>
            </w:pPr>
          </w:p>
        </w:tc>
        <w:tc>
          <w:tcPr>
            <w:tcW w:w="614" w:type="pct"/>
            <w:shd w:val="clear" w:color="auto" w:fill="auto"/>
            <w:vAlign w:val="center"/>
          </w:tcPr>
          <w:p>
            <w:pPr>
              <w:rPr>
                <w:rFonts w:hint="eastAsia" w:ascii="宋体"/>
                <w:b w:val="0"/>
                <w:bCs w:val="0"/>
                <w:sz w:val="22"/>
                <w:szCs w:val="22"/>
              </w:rPr>
            </w:pPr>
          </w:p>
        </w:tc>
        <w:tc>
          <w:tcPr>
            <w:tcW w:w="335" w:type="pct"/>
            <w:shd w:val="clear" w:color="auto" w:fill="auto"/>
            <w:vAlign w:val="center"/>
          </w:tcPr>
          <w:p>
            <w:pPr>
              <w:rPr>
                <w:rFonts w:hint="eastAsia" w:ascii="宋体"/>
                <w:b w:val="0"/>
                <w:bCs w:val="0"/>
                <w:sz w:val="22"/>
                <w:szCs w:val="22"/>
              </w:rPr>
            </w:pPr>
          </w:p>
        </w:tc>
        <w:tc>
          <w:tcPr>
            <w:tcW w:w="473" w:type="pct"/>
            <w:shd w:val="clear" w:color="auto" w:fill="auto"/>
            <w:vAlign w:val="center"/>
          </w:tcPr>
          <w:p>
            <w:pPr>
              <w:rPr>
                <w:rFonts w:hint="eastAsia" w:ascii="宋体"/>
                <w:b w:val="0"/>
                <w:bCs w:val="0"/>
                <w:sz w:val="22"/>
                <w:szCs w:val="22"/>
              </w:rPr>
            </w:pPr>
          </w:p>
        </w:tc>
        <w:tc>
          <w:tcPr>
            <w:tcW w:w="1816" w:type="pct"/>
            <w:gridSpan w:val="2"/>
            <w:shd w:val="clear" w:color="auto" w:fill="auto"/>
            <w:vAlign w:val="center"/>
          </w:tcPr>
          <w:p>
            <w:pPr>
              <w:pStyle w:val="9"/>
              <w:keepNext w:val="0"/>
              <w:keepLines w:val="0"/>
              <w:widowControl/>
              <w:suppressLineNumbers w:val="0"/>
              <w:jc w:val="right"/>
            </w:pPr>
            <w:r>
              <w:rPr>
                <w:b w:val="0"/>
                <w:bCs w:val="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83" w:type="pct"/>
            <w:gridSpan w:val="8"/>
            <w:shd w:val="clear" w:color="auto" w:fill="auto"/>
            <w:vAlign w:val="center"/>
          </w:tcPr>
          <w:p>
            <w:pPr>
              <w:pStyle w:val="9"/>
              <w:keepNext w:val="0"/>
              <w:keepLines w:val="0"/>
              <w:widowControl/>
              <w:suppressLineNumbers w:val="0"/>
              <w:jc w:val="left"/>
            </w:pPr>
            <w:r>
              <w:rPr>
                <w:b w:val="0"/>
                <w:bCs w:val="0"/>
                <w:sz w:val="22"/>
                <w:szCs w:val="22"/>
              </w:rPr>
              <w:t>部门：石鼓区农业农村局</w:t>
            </w:r>
          </w:p>
        </w:tc>
        <w:tc>
          <w:tcPr>
            <w:tcW w:w="1816" w:type="pct"/>
            <w:gridSpan w:val="2"/>
            <w:shd w:val="clear" w:color="auto" w:fill="auto"/>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年初结转和结余</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本年收入</w:t>
            </w:r>
          </w:p>
        </w:tc>
        <w:tc>
          <w:tcPr>
            <w:tcW w:w="128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本年支出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科目名称</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小计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项目支出</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栏次</w:t>
            </w: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w:t>
            </w: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4</w:t>
            </w: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5</w:t>
            </w: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合计</w:t>
            </w: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0.00</w:t>
            </w: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0.00</w:t>
            </w: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0.00</w:t>
            </w: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0.00</w:t>
            </w: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0.00</w:t>
            </w: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本年度无该项支出</w:t>
            </w: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07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5000" w:type="pct"/>
            <w:gridSpan w:val="10"/>
            <w:shd w:val="clear" w:color="auto" w:fill="auto"/>
            <w:vAlign w:val="center"/>
          </w:tcPr>
          <w:p>
            <w:pPr>
              <w:pStyle w:val="9"/>
              <w:keepNext w:val="0"/>
              <w:keepLines w:val="0"/>
              <w:widowControl/>
              <w:suppressLineNumbers w:val="0"/>
              <w:jc w:val="left"/>
            </w:pPr>
            <w:r>
              <w:rPr>
                <w:b w:val="0"/>
                <w:bCs w:val="0"/>
                <w:sz w:val="22"/>
                <w:szCs w:val="22"/>
              </w:rPr>
              <w:t>注：本表反映部门本年度政府性基金预算财政拨款收入、支出及结转和结余情况。本表金额转换为万元时，因四舍五入可能存在尾数误差。</w:t>
            </w:r>
          </w:p>
        </w:tc>
      </w:tr>
    </w:tbl>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9"/>
        <w:gridCol w:w="529"/>
        <w:gridCol w:w="532"/>
        <w:gridCol w:w="6329"/>
        <w:gridCol w:w="2707"/>
        <w:gridCol w:w="2704"/>
        <w:gridCol w:w="2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center"/>
            </w:pPr>
            <w:r>
              <w:rPr>
                <w:b w:val="0"/>
                <w:bCs w:val="0"/>
                <w:sz w:val="40"/>
                <w:szCs w:val="40"/>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5" w:type="pct"/>
            <w:shd w:val="clear" w:color="auto" w:fill="auto"/>
            <w:vAlign w:val="center"/>
          </w:tcPr>
          <w:p>
            <w:pPr>
              <w:rPr>
                <w:rFonts w:hint="eastAsia" w:ascii="宋体"/>
                <w:b w:val="0"/>
                <w:bCs w:val="0"/>
                <w:sz w:val="22"/>
                <w:szCs w:val="22"/>
              </w:rPr>
            </w:pPr>
          </w:p>
        </w:tc>
        <w:tc>
          <w:tcPr>
            <w:tcW w:w="165" w:type="pct"/>
            <w:shd w:val="clear" w:color="auto" w:fill="auto"/>
            <w:vAlign w:val="center"/>
          </w:tcPr>
          <w:p>
            <w:pPr>
              <w:rPr>
                <w:rFonts w:hint="eastAsia" w:ascii="宋体"/>
                <w:b w:val="0"/>
                <w:bCs w:val="0"/>
                <w:sz w:val="22"/>
                <w:szCs w:val="22"/>
              </w:rPr>
            </w:pPr>
          </w:p>
        </w:tc>
        <w:tc>
          <w:tcPr>
            <w:tcW w:w="165" w:type="pct"/>
            <w:shd w:val="clear" w:color="auto" w:fill="auto"/>
            <w:vAlign w:val="center"/>
          </w:tcPr>
          <w:p>
            <w:pPr>
              <w:rPr>
                <w:rFonts w:hint="eastAsia" w:ascii="宋体"/>
                <w:b w:val="0"/>
                <w:bCs w:val="0"/>
                <w:sz w:val="22"/>
                <w:szCs w:val="22"/>
              </w:rPr>
            </w:pPr>
          </w:p>
        </w:tc>
        <w:tc>
          <w:tcPr>
            <w:tcW w:w="1972" w:type="pct"/>
            <w:shd w:val="clear" w:color="auto" w:fill="auto"/>
            <w:vAlign w:val="center"/>
          </w:tcPr>
          <w:p>
            <w:pPr>
              <w:rPr>
                <w:rFonts w:hint="eastAsia" w:ascii="宋体"/>
                <w:b w:val="0"/>
                <w:bCs w:val="0"/>
                <w:sz w:val="22"/>
                <w:szCs w:val="22"/>
              </w:rPr>
            </w:pPr>
          </w:p>
        </w:tc>
        <w:tc>
          <w:tcPr>
            <w:tcW w:w="843" w:type="pct"/>
            <w:shd w:val="clear" w:color="auto" w:fill="auto"/>
            <w:vAlign w:val="center"/>
          </w:tcPr>
          <w:p>
            <w:pPr>
              <w:rPr>
                <w:rFonts w:hint="eastAsia" w:ascii="宋体"/>
                <w:b w:val="0"/>
                <w:bCs w:val="0"/>
                <w:sz w:val="22"/>
                <w:szCs w:val="22"/>
              </w:rPr>
            </w:pPr>
          </w:p>
        </w:tc>
        <w:tc>
          <w:tcPr>
            <w:tcW w:w="1686" w:type="pct"/>
            <w:gridSpan w:val="2"/>
            <w:shd w:val="clear" w:color="auto" w:fill="auto"/>
            <w:vAlign w:val="center"/>
          </w:tcPr>
          <w:p>
            <w:pPr>
              <w:pStyle w:val="9"/>
              <w:keepNext w:val="0"/>
              <w:keepLines w:val="0"/>
              <w:widowControl/>
              <w:suppressLineNumbers w:val="0"/>
              <w:jc w:val="right"/>
            </w:pPr>
            <w:r>
              <w:rPr>
                <w:b w:val="0"/>
                <w:bCs w:val="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13" w:type="pct"/>
            <w:gridSpan w:val="5"/>
            <w:shd w:val="clear" w:color="auto" w:fill="auto"/>
            <w:vAlign w:val="center"/>
          </w:tcPr>
          <w:p>
            <w:pPr>
              <w:pStyle w:val="9"/>
              <w:keepNext w:val="0"/>
              <w:keepLines w:val="0"/>
              <w:widowControl/>
              <w:suppressLineNumbers w:val="0"/>
              <w:jc w:val="left"/>
            </w:pPr>
            <w:r>
              <w:rPr>
                <w:b w:val="0"/>
                <w:bCs w:val="0"/>
                <w:sz w:val="22"/>
                <w:szCs w:val="22"/>
              </w:rPr>
              <w:t>部门：石鼓区农业农村局</w:t>
            </w:r>
          </w:p>
        </w:tc>
        <w:tc>
          <w:tcPr>
            <w:tcW w:w="1686" w:type="pct"/>
            <w:gridSpan w:val="2"/>
            <w:shd w:val="clear" w:color="auto" w:fill="auto"/>
            <w:vAlign w:val="center"/>
          </w:tcPr>
          <w:p>
            <w:pPr>
              <w:pStyle w:val="9"/>
              <w:keepNext w:val="0"/>
              <w:keepLines w:val="0"/>
              <w:widowControl/>
              <w:suppressLineNumbers w:val="0"/>
              <w:jc w:val="right"/>
            </w:pPr>
            <w:r>
              <w:rPr>
                <w:b w:val="0"/>
                <w:bCs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w:t>
            </w:r>
          </w:p>
        </w:tc>
        <w:tc>
          <w:tcPr>
            <w:tcW w:w="253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功能分类科目编码</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科目名称</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合计</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基本支出</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栏次</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1</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2</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b w:val="0"/>
                <w:bCs w:val="0"/>
                <w:sz w:val="22"/>
                <w:szCs w:val="22"/>
              </w:rPr>
              <w:t>合计</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0.00</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0.00</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b/>
                <w:bCs/>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b w:val="0"/>
                <w:bCs w:val="0"/>
                <w:sz w:val="22"/>
                <w:szCs w:val="22"/>
              </w:rPr>
              <w:t>本年度无该项支出</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1972"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5000" w:type="pct"/>
            <w:gridSpan w:val="7"/>
            <w:shd w:val="clear" w:color="auto" w:fill="auto"/>
            <w:vAlign w:val="center"/>
          </w:tcPr>
          <w:p>
            <w:pPr>
              <w:pStyle w:val="9"/>
              <w:keepNext w:val="0"/>
              <w:keepLines w:val="0"/>
              <w:widowControl/>
              <w:suppressLineNumbers w:val="0"/>
              <w:jc w:val="left"/>
            </w:pPr>
            <w:r>
              <w:rPr>
                <w:b w:val="0"/>
                <w:bCs w:val="0"/>
                <w:sz w:val="22"/>
                <w:szCs w:val="22"/>
              </w:rPr>
              <w:t>注：本表反映部门本年度国有资本经营预算财政拨款支出情况。本表金额转换为万元时，因四舍五入可能存在尾数误差。</w:t>
            </w:r>
          </w:p>
        </w:tc>
      </w:tr>
    </w:tbl>
    <w:p>
      <w:pPr>
        <w:rPr>
          <w:color w:val="000000"/>
          <w:sz w:val="32"/>
          <w:szCs w:val="32"/>
        </w:rPr>
        <w:sectPr>
          <w:pgSz w:w="16838" w:h="11906"/>
          <w:pgMar w:top="1080" w:right="400" w:bottom="1080" w:left="400" w:header="851" w:footer="992" w:gutter="0"/>
          <w:cols w:space="0" w:num="1"/>
          <w:docGrid w:type="linesAndChars" w:linePitch="160" w:charSpace="0"/>
        </w:sectPr>
      </w:pPr>
    </w:p>
    <w:p>
      <w:pPr>
        <w:spacing w:before="0" w:beforeAutospacing="0" w:after="2" w:afterAutospacing="0"/>
        <w:jc w:val="center"/>
        <w:rPr>
          <w:sz w:val="21"/>
          <w:szCs w:val="21"/>
        </w:rPr>
      </w:pPr>
      <w:r>
        <w:rPr>
          <w:rFonts w:hint="eastAsia" w:ascii="宋体" w:hAnsi="宋体" w:eastAsia="宋体" w:cs="宋体"/>
          <w:b/>
          <w:bCs/>
          <w:color w:val="000000"/>
          <w:sz w:val="36"/>
          <w:szCs w:val="36"/>
        </w:rPr>
        <w:t>第三部分 2021年度部门决算情况说明</w:t>
      </w:r>
      <w:r>
        <w:rPr>
          <w:color w:val="000000"/>
          <w:sz w:val="21"/>
          <w:szCs w:val="21"/>
        </w:rPr>
        <w:t xml:space="preserve"> </w:t>
      </w:r>
    </w:p>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2021年度收、支总计6,208.92万元。与上一年度相比，收、支总计各增加2,647.19万元，增长74.32%。主要是因为新增农业项目资金。</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2021年度收入合计5,750.72万元，其中：财政拨款收入5,750.72万元，占100%；上级补助收入0万元，占0%；事业收入0万元，占0%；经营收入0万元，占0%；附属单位上缴收入0万元，占0%；其他收入0万元，占0%。</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2021年度支出合计6,208.92万元，其中：基本支出447.34万元，占7.2%；项目支出5,761.59万元，占92.8%；上缴上级支出0万元，占0%；经营支出0万元，占0%；对附属单位补助支出0万元，占0%。</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收、支总计6,208.92万元，其中：一般公共预算财政拨款6,208.92万元，政府性基金财政拨款0万元。与上一年度相比，财政拨款收、支总计各增加2,648.39万元，增长74.38%。主要是因为新增农业项目资金。</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（一）财政拨款支出决算总体情况</w:t>
      </w:r>
      <w:r>
        <w:rPr>
          <w:color w:val="000000"/>
          <w:sz w:val="27"/>
          <w:szCs w:val="27"/>
        </w:rPr>
        <w:t xml:space="preserve"> </w:t>
      </w:r>
    </w:p>
    <w:p>
      <w:pPr>
        <w:pStyle w:val="14"/>
        <w:spacing w:before="0" w:beforeAutospacing="0" w:after="2" w:afterAutospacing="0"/>
        <w:ind w:left="0" w:firstLine="855"/>
        <w:rPr>
          <w:sz w:val="27"/>
          <w:szCs w:val="27"/>
        </w:rPr>
      </w:pPr>
      <w:r>
        <w:rPr>
          <w:rFonts w:ascii="宋体" w:hAnsi="宋体" w:eastAsia="宋体" w:cs="宋体"/>
          <w:color w:val="000000"/>
          <w:sz w:val="32"/>
          <w:szCs w:val="32"/>
        </w:rPr>
        <w:t>2021年度财政拨款支出6,208.92万元，其中：基本支出</w:t>
      </w:r>
      <w:r>
        <w:rPr>
          <w:rFonts w:hint="eastAsia" w:ascii="宋体" w:hAnsi="宋体" w:eastAsia="宋体" w:cs="宋体"/>
          <w:color w:val="000000"/>
          <w:sz w:val="32"/>
          <w:szCs w:val="32"/>
        </w:rPr>
        <w:t>447.34</w:t>
      </w:r>
      <w:r>
        <w:rPr>
          <w:rFonts w:ascii="宋体" w:hAnsi="宋体" w:eastAsia="宋体" w:cs="宋体"/>
          <w:color w:val="000000"/>
          <w:sz w:val="32"/>
          <w:szCs w:val="32"/>
        </w:rPr>
        <w:t>万元，项目支出</w:t>
      </w:r>
      <w:r>
        <w:rPr>
          <w:rFonts w:hint="eastAsia" w:ascii="宋体" w:hAnsi="宋体" w:eastAsia="宋体" w:cs="宋体"/>
          <w:color w:val="000000"/>
          <w:sz w:val="32"/>
          <w:szCs w:val="32"/>
        </w:rPr>
        <w:t>5,761.59</w:t>
      </w:r>
      <w:r>
        <w:rPr>
          <w:rFonts w:ascii="宋体" w:hAnsi="宋体" w:eastAsia="宋体" w:cs="宋体"/>
          <w:color w:val="000000"/>
          <w:sz w:val="32"/>
          <w:szCs w:val="32"/>
        </w:rPr>
        <w:t>万元。占本年支出合计的100%。与上一年度相比，财政拨款支出增加3,106.6万元，增长100.14%。主要是因为新增农业项目资金。</w:t>
      </w:r>
      <w:r>
        <w:rPr>
          <w:rFonts w:hint="eastAsia" w:ascii="宋体" w:hAnsi="宋体" w:eastAsia="宋体" w:cs="宋体"/>
          <w:color w:val="000000"/>
          <w:sz w:val="32"/>
          <w:szCs w:val="32"/>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（二）财政拨款支出决算结构情况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支出6,208.92万元，主要用于以下方面：一般公共服务支出17.4万元，占0.28%；社会保障和就业支出32.86万元，占0.53%；卫生健康支出15.72万元，占0.25%；节能环保支出125.85万元，占2.03%；农林水支出5,841.89万元，占94.08%；交通运输支出155万元，占2.5%；住房保障支出20.2万元，占0.33%。</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（三）财政拨款支出决算具体情况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2021年度财政拨款支出年初预算数为298.92万元，支出决算数为6,208.92万元，完成年初预算的2,077.12%，其中：</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1、一般公共服务支出（类）政府办公厅（室）及相关机构事务（款）行政运行（项）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年初预算为0万元，支出决算为10.1万元，决算数大于年初预算数的主要原因是：实际工作需要增加预算。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2、一般公共服务支出（类）税收事务（款）税收业务（项）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年初预算为0万元，支出决算为4万元，决算数大于年初预算数的主要原因是：实际工作需要增加预算。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3、一般公共服务支出（类）其他一般公共服务支出（款）其他一般公共服务支出（项）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年初预算为0万元，支出决算为3.3万元，决算数大于年初预算数的主要原因是：实际工作需要增加预算。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4、社会保障和就业支出（类）行政事业单位养老支出（款）机关事业单位基本养老保险缴费支出（项）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年初预算为28.32万元，支出决算为28.32万元，完成年初预算的100%。决算数与年初预算数一致，我单位严格按预算执行决算。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5、社会保障和就业支出（类）行政事业单位养老支出（款）机关事业单位职业年金缴费支出（项）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年初预算为0万元，支出决算为4.55万元，决算数大于年初预算数的主要原因是：实际工作需要增加预算。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6、卫生健康支出（类）计划生育事务（款）计划生育服务（项）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年初预算为0万元，支出决算为1.07万元，决算数大于年初预算数的主要原因是：实际工作需要增加预算。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7、卫生健康支出（类）行政事业单位医疗（款）行政单位医疗（项）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年初预算为14.65万元，支出决算为14.65万元，完成年初预算的100%。决算数与年初预算数一致，我单位严格按预算执行决算。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8、节能环保支出（类）天然林保护（款）其他天然林保护支出（项）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年初预算为0万元，支出决算为10万元，决算数大于年初预算数的主要原因是：实际工作需要增加预算。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9、节能环保支出（类）退耕还林还草（款）其他退耕还林还草支出（项）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年初预算为0万元，支出决算为15.85万元，决算数大于年初预算数的主要原因是：实际工作需要增加预算。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10、节能环保支出（类）污染减排（款）其他污染减排支出（项）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年初预算为0万元，支出决算为100万元，决算数大于年初预算数的主要原因是：上级专项资金年初未纳入预算。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11、农林水支出（类）农业农村（款）行政运行（项）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年初预算为203.75万元，支出决算为301.04万元，完成年初预算的147.75%。决算数大于年初预算数的主要原因是：单位实际需要调整预算。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12、农林水支出（类）农业农村（款）一般行政管理事务（项）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年初预算为23万元，支出决算为13万元，完成年初预算的56.52%。决算数小于年初预算数的主要原因是：厉行节约，缩减成本。</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13、农林水支出（类）农业农村（款）科技转化与推广服务（项）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年初预算为0万元，支出决算为30万元，决算数大于年初预算数的主要原因是：上级专项资金年初未纳入预算。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14、农林水支出（类）农业农村（款）病虫害控制（项）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年初预算为9万元，支出决算为39.22万元，完成年初预算的435.78%。决算数大于年初预算数的主要原因是：实际工作需要调整预算。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15、农林水支出（类）农业农村（款）农产品质量安全（项）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年初预算为0万元，支出决算为106.63万元，决算数大于年初预算数的主要原因是：上级专项资金年初未纳入预算。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16、农林水支出（类）农业农村（款）防灾救灾（项）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年初预算为0万元，支出决算为140万元，决算数大于年初预算数的主要原因是：上级专项资金年初未纳入预算。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17、农林水支出（类）农业农村（款）农业结构调整补贴（项）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年初预算为0万元，支出决算为16万元，决算数大于年初预算数的主要原因是：上级专项资金年初未纳入预算。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18、农林水支出（类）农业农村（款）农业生产发展（项）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年初预算为0万元，支出决算为850.99万元，决算数大于年初预算数的主要原因是：上级专项资金年初未纳入预算。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19、农林水支出（类）农业农村（款）农村合作经济（项）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年初预算为0万元，支出决算为147万元，决算数大于年初预算数的主要原因是：上级专项资金年初未纳入预算。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20、农林水支出（类）农业农村（款）农产品加工与促销（项）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年初预算为0万元，支出决算为81万元，决算数大于年初预算数的主要原因是：上级专项资金年初未纳入预算。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21、农林水支出（类）农业农村（款）农村社会事业（项）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年初预算为0万元，支出决算为15万元，决算数大于年初预算数的主要原因是：上级专项资金年初未纳入预算。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22、农林水支出（类）农业农村（款）农田建设（项）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年初预算为0万元，支出决算为620万元，决算数大于年初预算数的主要原因是：上级专项资金年初未纳入预算。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23、农林水支出（类）农业农村（款）其他农业农村支出（项）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年初预算为0万元，支出决算为3,218.85万元，决算数大于年初预算数的主要原因是：上级专项资金年初未纳入预算。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24、农林水支出（类）林业和草原（款）森林资源培育（项）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年初预算为0万元，支出决算为17.6万元，决算数大于年初预算数的主要原因是：上级专项资金年初未纳入预算。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25、农林水支出（类）林业和草原（款）森林资源管理（项）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年初预算为0万元，支出决算为2.75万元，决算数大于年初预算数的主要原因是：上级专项资金年初未纳入预算。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26、农林水支出（类）林业和草原（款）湿地保护（项）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年初预算为0万元，支出决算为20万元，决算数大于年初预算数的主要原因是：上级专项资金年初未纳入预算。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27、农林水支出（类）林业和草原（款）林业草原防灾减灾（项）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年初预算为0万元，支出决算为20万元，决算数大于年初预算数的主要原因是：上级专项资金年初未纳入预算。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28、农林水支出（类）普惠金融发展支出（款）农业保险保费补贴（项）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年初预算为0万元，支出决算为75.47万元，决算数大于年初预算数的主要原因是：上级专项资金年初未纳入预算。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29、农林水支出（类）目标价格补贴（款）其他目标价格补贴（项）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年初预算为0万元，支出决算为106.34万元，决算数大于年初预算数的主要原因是：上级专项资金年初未纳入预算。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30、农林水支出（类）其他农林水支出（款）其他农林水支出（项）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年初预算为0万元，支出决算为21万元，决算数大于年初预算数的主要原因是：上级专项资金年初未纳入预算。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31、交通运输支出（类）成品油价格改革对交通运输的补贴（款）成品油价格改革补贴其他支出（项）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年初预算为0万元，支出决算为155万元，决算数大于年初预算数的主要原因是：实际工作需要增加预算。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32、住房保障支出（类）住房改革支出（款）住房公积金（项）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年初预算为20.2万元，支出决算为20.2万元，完成年初预算的100%。决算数与年初预算数一致，我单位严格按预算执行决算。</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2021年度财政拨款基本支出447.34万元，其中：人员经费393.55万元，占基本支出的87.98%，主要包括：基本工资、津贴补贴、奖金、绩效工资、机关事业单位基本养老保险缴费、职业年金缴费、职工基本医疗保险缴费、住房公积金、其他工资福利支出、生活补助、奖励金。公用经费53.79万元，占基本支出的12.02%，主要包括：办公费、印刷费、邮电费、差旅费、维修（护）费、会议费、培训费、公务接待费、劳务费、委托业务费、工会经费、公务用车运行维护费、其他交通费用、税金及附加费用、其他商品和服务支出。</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七、一般公共预算财政拨款三公经费支出决算情况说明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2021年度“三公”经费财政拨款支出预算为5万元，支出决算为2.43万元，完成预算的48.6%，</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其中：</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公务接待费支出预算为2万元，支出决算为0.28万元，完成预算的14%，决算数小于预算数的主要原因是厉行节约，缩减成本 ，与上年相比减少1.5万元，下降84.27%，下降的主要原因是厉行节约，缩减成本。</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公务用车购置费支出预算为0万元，支出决算为0万元，决算数与预算数一致，我单位严格按预算执行决算，公务用车购置费支出与上年持平。</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公务用车运行维护费支出预算为3万元，支出决算为2.15万元，完成预算的71.67%，决算数小于预算数的主要原因是厉行节约，缩减开支 ，与上年相比减少0.48万元，下降18.25%，下降的主要原因是厉行节约，严格遵守中央八项规定。</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2021年度“三公”经费财政拨款支出决算中，公务接待费支出决算0.28万元，占11.52%，因公出国（境）费支出决算0万元，占0%，公务用车购置费及运行维护费支出决算2.15万元，占88.48%。其中：</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1、因公出国（境）费支出决算为0万元，全年安排因公出国（境）团组0个，累计0人次，我单位2021年度无因公出国（境）费支出。</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2、公务接待费支出决算为0.28万元，全年共接待来访团组2个、来宾20人次，主要是接待来宾发生发生的接待支出。</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3、公务用车购置费及运行维护费支出决算为2.15万元，其中：公务用车购置费0万元，已更新公务用车0辆。公务用车运行维护费2.15万元，主要是加油、保险和维修支出支出，截至2021年12月31日，</w:t>
      </w:r>
      <w:r>
        <w:rPr>
          <w:rFonts w:hint="eastAsia" w:ascii="宋体" w:hAnsi="宋体" w:eastAsia="宋体" w:cs="宋体"/>
          <w:color w:val="000000"/>
          <w:sz w:val="32"/>
          <w:szCs w:val="32"/>
          <w:lang w:eastAsia="zh-CN"/>
        </w:rPr>
        <w:t>本级机关和二级机构更新</w:t>
      </w:r>
      <w:r>
        <w:rPr>
          <w:rFonts w:hint="eastAsia" w:ascii="宋体" w:hAnsi="宋体" w:eastAsia="宋体" w:cs="宋体"/>
          <w:color w:val="000000"/>
          <w:sz w:val="32"/>
          <w:szCs w:val="32"/>
        </w:rPr>
        <w:t>公务用车保有量为1辆。</w:t>
      </w:r>
      <w:bookmarkStart w:id="0" w:name="_GoBack"/>
      <w:bookmarkEnd w:id="0"/>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八、政府性基金预算收入支出决算情况</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石鼓区农业农村局2021年度没有政府性基金收入，也没有使用政府性基金安排的支出，并已公开空表。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九、关于机关运行经费支出说明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石鼓区农业农村局2021年度机关运行经费支出53.79万元，比上一年决算数减少34.39万元，下降39%。主要原因是：厉行节约，缩减开支。</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十、一般性支出情况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2021年度石鼓区农业农村局开支会议费2.14万元，内容为增加农村工作会议和全国厕改现场会；开支培训费0.05万元，内容为单位人员内部培训；举办0场节庆、晚会、论坛、赛事活动，开支0万元。</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十一、关于政府采购支出说明</w:t>
      </w:r>
      <w:r>
        <w:rPr>
          <w:color w:val="000000"/>
          <w:sz w:val="27"/>
          <w:szCs w:val="27"/>
        </w:rPr>
        <w:t xml:space="preserve"> </w:t>
      </w:r>
    </w:p>
    <w:p>
      <w:pPr>
        <w:pStyle w:val="14"/>
        <w:spacing w:before="0" w:beforeAutospacing="0" w:after="2" w:afterAutospacing="0"/>
        <w:ind w:left="0" w:firstLine="640"/>
        <w:jc w:val="both"/>
        <w:rPr>
          <w:sz w:val="27"/>
          <w:szCs w:val="27"/>
        </w:rPr>
      </w:pPr>
      <w:r>
        <w:rPr>
          <w:rFonts w:hint="eastAsia" w:ascii="宋体" w:hAnsi="宋体" w:eastAsia="宋体" w:cs="宋体"/>
          <w:color w:val="000000"/>
          <w:sz w:val="32"/>
          <w:szCs w:val="32"/>
        </w:rPr>
        <w:t xml:space="preserve">石鼓区农业农村局2021年度政府采购支出总额60.06万元，其中：政府采购货物支出0万元、政府采购工程支出0万元、政府采购服务支出60.06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100%。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十二、关于国有资产占用情况说明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截至2021年12月31日，石鼓区农业农村局共有车辆1辆（台），其中：机要通信用车0辆、应急保障用车0辆、执法执勤用车1辆、特种专业技术用车0辆、其他用车0辆；单价50万元（含）以上通用设备0台（套），单价100万元（含）以上专用设备0台（套）。</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十三、关于2021年度预算绩效情况说明</w:t>
      </w:r>
      <w:r>
        <w:rPr>
          <w:color w:val="000000"/>
          <w:sz w:val="27"/>
          <w:szCs w:val="27"/>
        </w:rPr>
        <w:t xml:space="preserve"> </w:t>
      </w:r>
    </w:p>
    <w:p>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（1）绩效管理评价工作开展情况</w:t>
      </w:r>
    </w:p>
    <w:p>
      <w:pPr>
        <w:pStyle w:val="14"/>
        <w:spacing w:before="0" w:beforeAutospacing="0" w:after="2" w:afterAutospacing="0"/>
        <w:ind w:left="0" w:firstLine="640"/>
        <w:rPr>
          <w:sz w:val="27"/>
          <w:szCs w:val="27"/>
        </w:rPr>
      </w:pPr>
      <w:r>
        <w:rPr>
          <w:rFonts w:ascii="宋体" w:hAnsi="宋体" w:eastAsia="宋体" w:cs="宋体"/>
          <w:color w:val="000000"/>
          <w:sz w:val="32"/>
          <w:szCs w:val="32"/>
        </w:rPr>
        <w:t>根据预算绩效管理要求，我单位组织对2020年度部门整体支出实施了全覆盖性的绩效评价，撰写了整体支出绩效评价表。涉及一般公共预算当年财政拨款1720.66万元，自评覆盖率达到100%。绩效自评结果显示，上述支出绩效情况较为理想，均达到了设定的各项绩效目标。无政府性基金预算项目支出。无国有资本经营预算项目支出。</w:t>
      </w:r>
      <w:r>
        <w:rPr>
          <w:color w:val="000000"/>
          <w:sz w:val="27"/>
          <w:szCs w:val="27"/>
        </w:rPr>
        <w:t xml:space="preserve"> </w:t>
      </w:r>
    </w:p>
    <w:p>
      <w:pPr>
        <w:pStyle w:val="14"/>
        <w:spacing w:before="0" w:beforeAutospacing="0" w:after="2" w:afterAutospacing="0"/>
        <w:ind w:left="0" w:firstLine="640"/>
        <w:rPr>
          <w:sz w:val="27"/>
          <w:szCs w:val="27"/>
        </w:rPr>
      </w:pPr>
      <w:r>
        <w:rPr>
          <w:rFonts w:ascii="宋体" w:hAnsi="宋体" w:eastAsia="宋体" w:cs="宋体"/>
          <w:color w:val="000000"/>
          <w:sz w:val="32"/>
          <w:szCs w:val="32"/>
        </w:rPr>
        <w:t>2021年项目支出3303.38万元，主要是区本级项目资金46万元，其余都为上级专项资金，项目执行预算数3303.38万元。</w:t>
      </w:r>
      <w:r>
        <w:rPr>
          <w:color w:val="000000"/>
          <w:sz w:val="27"/>
          <w:szCs w:val="27"/>
        </w:rPr>
        <w:t xml:space="preserve"> </w:t>
      </w:r>
    </w:p>
    <w:p>
      <w:pPr>
        <w:pStyle w:val="14"/>
        <w:spacing w:before="0" w:beforeAutospacing="0" w:after="2" w:afterAutospacing="0"/>
        <w:ind w:left="0" w:firstLine="640"/>
        <w:rPr>
          <w:sz w:val="27"/>
          <w:szCs w:val="27"/>
        </w:rPr>
      </w:pPr>
      <w:r>
        <w:rPr>
          <w:rFonts w:ascii="宋体" w:hAnsi="宋体" w:eastAsia="宋体" w:cs="宋体"/>
          <w:color w:val="000000"/>
          <w:sz w:val="32"/>
          <w:szCs w:val="32"/>
        </w:rPr>
        <w:t>本单位在职人员控制率106.67%，三公经费变动率0%，预算控制率149.35%，年度追加预算资金主要是上级专项资金，公用经费控制率187.78%，三公经费控制率75.57%，全面完成了本单位重点工作，各项管理制度合法合规且完整，预决算信息公开及时，内容完整、真实、准确，资金使用支出符合国家财经法规和财务管理制度以及有关专项资金管理办法的规定。全年辖区职能范围内无重大农业林业等安全生产事故发生，无破坏耕地红线情况发生，农民环保意识也显著增强，农业种植结构得到进一步优化，水资源利用率也增加，总体来说，企业和惠农对象的满意度都很高。</w:t>
      </w:r>
    </w:p>
    <w:p>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（2）部门决算中项目绩效自评结果</w:t>
      </w:r>
    </w:p>
    <w:p>
      <w:pPr>
        <w:pStyle w:val="14"/>
        <w:spacing w:before="0" w:beforeAutospacing="0" w:after="2" w:afterAutospacing="0"/>
        <w:ind w:left="0" w:firstLine="640"/>
        <w:rPr>
          <w:sz w:val="27"/>
          <w:szCs w:val="27"/>
        </w:rPr>
      </w:pPr>
      <w:r>
        <w:rPr>
          <w:rFonts w:ascii="宋体" w:hAnsi="宋体" w:eastAsia="宋体" w:cs="宋体"/>
          <w:color w:val="000000"/>
          <w:sz w:val="32"/>
          <w:szCs w:val="32"/>
        </w:rPr>
        <w:t>全面完成了本单位重点工作，各项管理制度合法合规且完整，预决算信息公开及时，内容完整、真实、准确，资金使用支出符合国家财经法规和财务管理制度以及有关专项资金管理办法的规定。体来说，企业和惠农对象的满意度都很高。发现的主要问题及原因：公用经费控制率未达到年初绩效目标，偏离大，主要是原因是人员异动。下一步改进措施：加强资金管理，加快预算执行，严格按照相关财务制度及有关专项资金管理办法执行预算资金。单位整体支出绩效自评结果为良好，绩效自评结果对下年度预算资金绩效目标申报有指导意义，已在政府指定网站进行绩效自评公开。</w:t>
      </w:r>
      <w:r>
        <w:rPr>
          <w:color w:val="000000"/>
          <w:sz w:val="27"/>
          <w:szCs w:val="27"/>
        </w:rPr>
        <w:t xml:space="preserve"> </w:t>
      </w:r>
    </w:p>
    <w:p>
      <w:pPr>
        <w:pStyle w:val="14"/>
        <w:spacing w:before="0" w:beforeAutospacing="0" w:after="2" w:afterAutospacing="0"/>
        <w:ind w:left="0" w:firstLine="640"/>
        <w:rPr>
          <w:sz w:val="27"/>
          <w:szCs w:val="27"/>
        </w:rPr>
      </w:pPr>
      <w:r>
        <w:rPr>
          <w:rStyle w:val="12"/>
          <w:rFonts w:ascii="宋体" w:hAnsi="宋体" w:eastAsia="宋体" w:cs="宋体"/>
          <w:color w:val="000000"/>
          <w:sz w:val="36"/>
          <w:szCs w:val="36"/>
        </w:rPr>
        <w:t>（3）部门评价项目绩效评价结果</w:t>
      </w:r>
    </w:p>
    <w:p>
      <w:pPr>
        <w:pStyle w:val="14"/>
        <w:spacing w:before="0" w:beforeAutospacing="0" w:after="2" w:afterAutospacing="0"/>
        <w:ind w:left="0" w:firstLine="640"/>
        <w:rPr>
          <w:sz w:val="27"/>
          <w:szCs w:val="27"/>
        </w:rPr>
      </w:pPr>
      <w:r>
        <w:rPr>
          <w:rFonts w:ascii="宋体" w:hAnsi="宋体" w:eastAsia="宋体" w:cs="宋体"/>
          <w:color w:val="000000"/>
          <w:sz w:val="32"/>
          <w:szCs w:val="32"/>
        </w:rPr>
        <w:t>部门评价项目绩效评价结果详见附件。</w:t>
      </w:r>
    </w:p>
    <w:p>
      <w:pPr>
        <w:keepNext w:val="0"/>
        <w:keepLines w:val="0"/>
        <w:widowControl/>
        <w:suppressLineNumbers w:val="0"/>
        <w:jc w:val="left"/>
      </w:pP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pPr>
    </w:p>
    <w:p/>
    <w:p>
      <w:pPr>
        <w:spacing w:before="0" w:beforeAutospacing="0" w:after="2" w:afterAutospacing="0"/>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pPr>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pPr>
        <w:keepNext w:val="0"/>
        <w:keepLines w:val="0"/>
        <w:widowControl/>
        <w:suppressLineNumbers w:val="0"/>
        <w:jc w:val="left"/>
      </w:pP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pPr>
    </w:p>
    <w:p>
      <w:pPr>
        <w:spacing w:before="0" w:beforeAutospacing="0" w:after="2" w:afterAutospacing="0" w:line="336" w:lineRule="atLeast"/>
        <w:ind w:left="0" w:right="0" w:firstLine="643"/>
        <w:rPr>
          <w:rFonts w:hint="default" w:ascii="Calibri" w:hAnsi="Calibri" w:cs="Calibri"/>
          <w:sz w:val="21"/>
          <w:szCs w:val="21"/>
        </w:rPr>
      </w:pPr>
    </w:p>
    <w:p>
      <w:pPr>
        <w:spacing w:before="0" w:beforeAutospacing="0" w:after="2" w:afterAutospacing="0"/>
        <w:jc w:val="center"/>
        <w:rPr>
          <w:sz w:val="21"/>
          <w:szCs w:val="21"/>
        </w:rPr>
      </w:pPr>
      <w:r>
        <w:rPr>
          <w:rFonts w:ascii="宋体" w:hAnsi="宋体" w:eastAsia="宋体" w:cs="宋体"/>
          <w:b/>
          <w:bCs/>
          <w:color w:val="000000"/>
          <w:sz w:val="36"/>
          <w:szCs w:val="36"/>
        </w:rPr>
        <w:t>第五部分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附件</w:t>
      </w:r>
      <w:r>
        <w:rPr>
          <w:color w:val="000000"/>
          <w:sz w:val="21"/>
          <w:szCs w:val="21"/>
        </w:rPr>
        <w:t xml:space="preserve"> </w:t>
      </w:r>
    </w:p>
    <w:p>
      <w:pPr>
        <w:spacing w:before="0" w:beforeAutospacing="0" w:after="2" w:afterAutospacing="0"/>
        <w:jc w:val="center"/>
        <w:rPr>
          <w:sz w:val="21"/>
          <w:szCs w:val="21"/>
        </w:rPr>
      </w:pPr>
      <w:r>
        <w:rPr>
          <w:rFonts w:ascii="宋体" w:hAnsi="宋体" w:eastAsia="宋体" w:cs="宋体"/>
          <w:sz w:val="28"/>
          <w:szCs w:val="28"/>
          <w:shd w:val="clear" w:fill="FFFFFF"/>
        </w:rPr>
        <w:fldChar w:fldCharType="begin"/>
      </w:r>
      <w:r>
        <w:rPr>
          <w:rFonts w:ascii="宋体" w:hAnsi="宋体" w:eastAsia="宋体" w:cs="宋体"/>
          <w:sz w:val="28"/>
          <w:szCs w:val="28"/>
          <w:shd w:val="clear" w:fill="FFFFFF"/>
        </w:rPr>
        <w:instrText xml:space="preserve"> HYPERLINK "http://10.105.94.22:9000/home/downloadAttachment?attachGUID=8939e3873a1a4af5b7e5f2e7feffa2e6" \t "_blank" </w:instrText>
      </w:r>
      <w:r>
        <w:rPr>
          <w:rFonts w:ascii="宋体" w:hAnsi="宋体" w:eastAsia="宋体" w:cs="宋体"/>
          <w:sz w:val="28"/>
          <w:szCs w:val="28"/>
          <w:shd w:val="clear" w:fill="FFFFFF"/>
        </w:rPr>
        <w:fldChar w:fldCharType="separate"/>
      </w:r>
      <w:r>
        <w:rPr>
          <w:rStyle w:val="13"/>
          <w:rFonts w:ascii="宋体" w:hAnsi="宋体" w:eastAsia="宋体" w:cs="宋体"/>
          <w:sz w:val="28"/>
          <w:szCs w:val="28"/>
          <w:shd w:val="clear" w:fill="FFFFFF"/>
        </w:rPr>
        <w:t>石鼓区农业农村局2021年度绩效自评报告.doc</w:t>
      </w:r>
      <w:r>
        <w:rPr>
          <w:rFonts w:ascii="宋体" w:hAnsi="宋体" w:eastAsia="宋体" w:cs="宋体"/>
          <w:sz w:val="28"/>
          <w:szCs w:val="28"/>
          <w:shd w:val="clear" w:fill="FFFFFF"/>
        </w:rPr>
        <w:fldChar w:fldCharType="end"/>
      </w:r>
    </w:p>
    <w:p>
      <w:pPr>
        <w:spacing w:before="0" w:beforeAutospacing="0" w:after="2" w:afterAutospacing="0"/>
        <w:jc w:val="center"/>
        <w:rPr>
          <w:sz w:val="21"/>
          <w:szCs w:val="21"/>
        </w:rPr>
      </w:pPr>
    </w:p>
    <w:p>
      <w:pPr>
        <w:spacing w:before="0" w:beforeAutospacing="0" w:after="2" w:afterAutospacing="0"/>
        <w:jc w:val="center"/>
        <w:rPr>
          <w:sz w:val="21"/>
          <w:szCs w:val="21"/>
        </w:rPr>
      </w:pPr>
    </w:p>
    <w:sectPr>
      <w:pgSz w:w="11906" w:h="16838" w:orient="landscape"/>
      <w:pgMar w:top="1440" w:right="1080" w:bottom="1440" w:left="108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3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ZDNlOTBkM2UzOGI3OGZkYzE1ZDM0NGFkN2JlODYifQ=="/>
  </w:docVars>
  <w:rsids>
    <w:rsidRoot w:val="00000000"/>
    <w:rsid w:val="30483A4C"/>
    <w:rsid w:val="603D559B"/>
    <w:rsid w:val="79240B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18"/>
    <w:basedOn w:val="1"/>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2023-08-31T09:53:00Z</dcterms:created>
  <dc:creator>Administrator</dc:creator>
  <cp:lastModifiedBy>Administrator</cp:lastModifiedBy>
  <dcterms:modified xsi:type="dcterms:W3CDTF">2023-09-27T10:52:01Z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41869C08536B46C8B740960939C61913_13</vt:lpwstr>
  </property>
</Properties>
</file>