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pPr>
      <w:r>
        <w:rPr>
          <w:rFonts w:hint="eastAsia" w:ascii="宋体" w:eastAsia="宋体"/>
          <w:color w:val="000000"/>
          <w:sz w:val="44"/>
          <w:szCs w:val="44"/>
        </w:rPr>
        <w:t>2021年度石鼓区乡村振兴局部门决算</w:t>
      </w:r>
      <w:r>
        <w:rPr>
          <w:rFonts w:hint="eastAsia"/>
          <w:color w:val="000000"/>
        </w:rPr>
        <w:t xml:space="preserve"> </w:t>
      </w:r>
    </w:p>
    <w:p>
      <w:pPr>
        <w:spacing w:after="2"/>
        <w:jc w:val="center"/>
        <w:rPr>
          <w:rFonts w:hint="eastAsia"/>
        </w:rPr>
      </w:pPr>
      <w:r>
        <w:rPr>
          <w:rFonts w:hint="eastAsia"/>
          <w:color w:val="000000"/>
          <w:sz w:val="32"/>
          <w:szCs w:val="32"/>
        </w:rPr>
        <w:t xml:space="preserve"> </w:t>
      </w:r>
      <w:r>
        <w:rPr>
          <w:rFonts w:hint="eastAsia"/>
          <w:color w:val="000000"/>
        </w:rPr>
        <w:t xml:space="preserve"> </w:t>
      </w:r>
    </w:p>
    <w:p>
      <w:pPr>
        <w:spacing w:after="2"/>
        <w:jc w:val="center"/>
        <w:rPr>
          <w:rFonts w:hint="eastAsia" w:ascii="宋体" w:eastAsia="宋体"/>
        </w:rPr>
      </w:pPr>
      <w:r>
        <w:rPr>
          <w:rFonts w:hint="eastAsia" w:ascii="宋体" w:eastAsia="宋体"/>
          <w:color w:val="000000"/>
          <w:sz w:val="32"/>
          <w:szCs w:val="32"/>
        </w:rPr>
        <w:t>目 录</w:t>
      </w:r>
      <w:r>
        <w:rPr>
          <w:rFonts w:hint="eastAsia" w:ascii="宋体" w:eastAsia="宋体"/>
          <w:color w:val="000000"/>
        </w:rPr>
        <w:t xml:space="preserve"> </w:t>
      </w:r>
    </w:p>
    <w:p>
      <w:pPr>
        <w:spacing w:after="2"/>
        <w:jc w:val="center"/>
        <w:rPr>
          <w:rFonts w:hint="eastAsia"/>
        </w:rPr>
      </w:pPr>
      <w:r>
        <w:rPr>
          <w:rFonts w:hint="eastAsia"/>
        </w:rPr>
        <w:t xml:space="preserve"> </w:t>
      </w:r>
    </w:p>
    <w:p>
      <w:pPr>
        <w:pStyle w:val="22"/>
        <w:spacing w:after="2"/>
        <w:ind w:firstLine="641"/>
        <w:rPr>
          <w:rFonts w:hint="eastAsia"/>
          <w:sz w:val="27"/>
          <w:szCs w:val="27"/>
        </w:rPr>
      </w:pPr>
      <w:r>
        <w:rPr>
          <w:rFonts w:hint="eastAsia" w:ascii="宋体" w:eastAsia="宋体"/>
          <w:b/>
          <w:bCs/>
          <w:color w:val="000000"/>
          <w:sz w:val="32"/>
          <w:szCs w:val="32"/>
        </w:rPr>
        <w:t>第一部分 石鼓区乡村振兴局概况</w:t>
      </w:r>
      <w:r>
        <w:rPr>
          <w:rFonts w:hint="eastAsia"/>
          <w:color w:val="000000"/>
          <w:sz w:val="27"/>
          <w:szCs w:val="27"/>
        </w:rPr>
        <w:t xml:space="preserve"> </w:t>
      </w:r>
    </w:p>
    <w:p>
      <w:pPr>
        <w:pStyle w:val="22"/>
        <w:spacing w:after="2"/>
        <w:ind w:firstLine="700"/>
        <w:rPr>
          <w:rFonts w:hint="eastAsia"/>
        </w:rPr>
      </w:pPr>
      <w:r>
        <w:rPr>
          <w:rFonts w:hint="eastAsia" w:ascii="宋体" w:eastAsia="宋体"/>
          <w:color w:val="000000"/>
          <w:sz w:val="28"/>
          <w:szCs w:val="28"/>
        </w:rPr>
        <w:t>一、部门职责</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二、机构设置</w:t>
      </w:r>
      <w:r>
        <w:rPr>
          <w:rFonts w:hint="eastAsia"/>
          <w:color w:val="000000"/>
        </w:rPr>
        <w:t xml:space="preserve"> </w:t>
      </w:r>
    </w:p>
    <w:p>
      <w:pPr>
        <w:pStyle w:val="22"/>
        <w:spacing w:after="2"/>
        <w:ind w:firstLine="641"/>
        <w:rPr>
          <w:rFonts w:hint="eastAsia"/>
          <w:sz w:val="27"/>
          <w:szCs w:val="27"/>
        </w:rPr>
      </w:pPr>
      <w:r>
        <w:rPr>
          <w:rFonts w:hint="eastAsia" w:ascii="宋体" w:eastAsia="宋体"/>
          <w:b/>
          <w:bCs/>
          <w:color w:val="000000"/>
          <w:sz w:val="32"/>
          <w:szCs w:val="32"/>
        </w:rPr>
        <w:t>第二部分 2021年度部门决算表</w:t>
      </w:r>
      <w:r>
        <w:rPr>
          <w:rFonts w:hint="eastAsia"/>
          <w:color w:val="000000"/>
          <w:sz w:val="27"/>
          <w:szCs w:val="27"/>
        </w:rPr>
        <w:t xml:space="preserve"> </w:t>
      </w:r>
    </w:p>
    <w:p>
      <w:pPr>
        <w:pStyle w:val="22"/>
        <w:spacing w:after="2"/>
        <w:ind w:firstLine="700"/>
        <w:rPr>
          <w:rFonts w:hint="eastAsia"/>
        </w:rPr>
      </w:pPr>
      <w:r>
        <w:rPr>
          <w:rFonts w:hint="eastAsia" w:ascii="宋体" w:eastAsia="宋体"/>
          <w:color w:val="000000"/>
          <w:sz w:val="28"/>
          <w:szCs w:val="28"/>
        </w:rPr>
        <w:t>一、收入支出决算总表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二、收入决算表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三、支出决算表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四、财政拨款收入支出决算总表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五、一般公共预算财政拨款支出决算表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六、一般公共预算财政拨款基本支出决算明细表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七、一般公共预算财政拨款“三公”经费支出决算表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八、政府性基金预算财政拨款收入支出决算表</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九、国有资本经营预算财政拨款支出决算表</w:t>
      </w:r>
      <w:r>
        <w:rPr>
          <w:rFonts w:hint="eastAsia"/>
          <w:color w:val="000000"/>
        </w:rPr>
        <w:t xml:space="preserve"> </w:t>
      </w:r>
    </w:p>
    <w:p>
      <w:pPr>
        <w:pStyle w:val="22"/>
        <w:spacing w:after="2"/>
        <w:ind w:firstLine="700"/>
        <w:rPr>
          <w:rFonts w:hint="eastAsia"/>
        </w:rPr>
      </w:pPr>
      <w:r>
        <w:rPr>
          <w:rFonts w:hint="eastAsia" w:ascii="宋体" w:eastAsia="宋体"/>
          <w:b/>
          <w:bCs/>
          <w:color w:val="000000"/>
          <w:sz w:val="32"/>
          <w:szCs w:val="32"/>
        </w:rPr>
        <w:t>第三部分 2021年度部门决算情况说明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一、收入支出决算总体情况说明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二、收入决算情况说明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三、支出决算情况说明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四、财政拨款收入支出决算总体情况说明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五、一般公共预算财政拨款支出决算情况说明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六、一般公共预算财政拨款基本支出决算情况说明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七、一般公共预算财政拨款“三公”经费支出决算情况说明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八、政府性基金预算收入支出决算情况</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九、机关运行经费支出说明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十、一般性支出情况</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十一、政府采购支出说明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十二、国有资产占用情况说明</w:t>
      </w:r>
      <w:r>
        <w:rPr>
          <w:rFonts w:hint="eastAsia"/>
          <w:color w:val="000000"/>
        </w:rPr>
        <w:t xml:space="preserve"> </w:t>
      </w:r>
    </w:p>
    <w:p>
      <w:pPr>
        <w:pStyle w:val="22"/>
        <w:spacing w:after="2"/>
        <w:ind w:firstLine="700"/>
        <w:rPr>
          <w:rFonts w:hint="eastAsia"/>
        </w:rPr>
      </w:pPr>
      <w:r>
        <w:rPr>
          <w:rFonts w:hint="eastAsia" w:ascii="宋体" w:eastAsia="宋体"/>
          <w:color w:val="000000"/>
          <w:sz w:val="28"/>
          <w:szCs w:val="28"/>
        </w:rPr>
        <w:t>十三、2021年度预算绩效情况的说明</w:t>
      </w:r>
      <w:r>
        <w:rPr>
          <w:rFonts w:hint="eastAsia"/>
          <w:color w:val="000000"/>
        </w:rPr>
        <w:t xml:space="preserve"> </w:t>
      </w:r>
    </w:p>
    <w:p>
      <w:pPr>
        <w:pStyle w:val="22"/>
        <w:spacing w:after="2"/>
        <w:ind w:firstLine="641"/>
        <w:rPr>
          <w:rFonts w:hint="eastAsia"/>
          <w:sz w:val="27"/>
          <w:szCs w:val="27"/>
        </w:rPr>
      </w:pPr>
      <w:r>
        <w:rPr>
          <w:rFonts w:hint="eastAsia" w:ascii="宋体" w:eastAsia="宋体"/>
          <w:b/>
          <w:bCs/>
          <w:color w:val="000000"/>
          <w:sz w:val="32"/>
          <w:szCs w:val="32"/>
        </w:rPr>
        <w:t>第四部分 名词解释</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第五部分 附件</w:t>
      </w:r>
      <w:r>
        <w:rPr>
          <w:rFonts w:hint="eastAsia"/>
          <w:color w:val="000000"/>
          <w:sz w:val="27"/>
          <w:szCs w:val="27"/>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spacing w:after="2" w:line="600" w:lineRule="atLeast"/>
        <w:jc w:val="center"/>
        <w:rPr>
          <w:rFonts w:hint="eastAsia"/>
        </w:rPr>
      </w:pPr>
      <w:r>
        <w:rPr>
          <w:rFonts w:hint="eastAsia" w:ascii="宋体" w:eastAsia="宋体"/>
          <w:b/>
          <w:bCs/>
          <w:color w:val="000000"/>
          <w:sz w:val="36"/>
          <w:szCs w:val="36"/>
        </w:rPr>
        <w:t>第一部分 石鼓区乡村振兴局概况</w:t>
      </w:r>
      <w:r>
        <w:rPr>
          <w:rFonts w:hint="eastAsia"/>
          <w:b/>
          <w:bCs/>
          <w:color w:val="000000"/>
        </w:rPr>
        <w:t xml:space="preserve"> </w:t>
      </w:r>
    </w:p>
    <w:p>
      <w:pPr>
        <w:pStyle w:val="9"/>
        <w:spacing w:before="0" w:beforeAutospacing="0" w:after="2" w:afterAutospacing="0"/>
        <w:rPr>
          <w:rFonts w:hint="eastAsia"/>
        </w:rPr>
      </w:pPr>
      <w:r>
        <w:rPr>
          <w:rFonts w:hint="eastAsia"/>
        </w:rPr>
        <w:t xml:space="preserve"> </w:t>
      </w:r>
    </w:p>
    <w:p>
      <w:pPr>
        <w:pStyle w:val="9"/>
        <w:spacing w:before="0" w:beforeAutospacing="0" w:after="2" w:afterAutospacing="0"/>
        <w:rPr>
          <w:rFonts w:hint="eastAsia"/>
        </w:rPr>
      </w:pPr>
      <w:r>
        <w:rPr>
          <w:rFonts w:hint="eastAsia" w:ascii="黑体" w:eastAsia="黑体"/>
          <w:color w:val="000000"/>
          <w:sz w:val="32"/>
          <w:szCs w:val="32"/>
        </w:rPr>
        <w:t xml:space="preserve"> </w:t>
      </w:r>
      <w:r>
        <w:rPr>
          <w:rFonts w:hint="eastAsia"/>
          <w:color w:val="000000"/>
        </w:rPr>
        <w:t xml:space="preserve"> </w:t>
      </w:r>
    </w:p>
    <w:p>
      <w:pPr>
        <w:pStyle w:val="22"/>
        <w:spacing w:after="2"/>
        <w:ind w:firstLine="641"/>
        <w:rPr>
          <w:rFonts w:hint="eastAsia"/>
          <w:sz w:val="27"/>
          <w:szCs w:val="27"/>
        </w:rPr>
      </w:pPr>
      <w:r>
        <w:rPr>
          <w:rFonts w:hint="eastAsia" w:ascii="宋体" w:eastAsia="宋体"/>
          <w:b/>
          <w:bCs/>
          <w:color w:val="000000"/>
          <w:sz w:val="32"/>
          <w:szCs w:val="32"/>
        </w:rPr>
        <w:t>一、部门职责</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（一）贯彻执行扶贫开发法律、法规、规章和方针政策，负责全区扶贫开发工作的统筹协调、资金筹集、服务指导和监督管理工作。</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（二）拟订全区扶贫开发发展战略、政策措施、扶贫标准、发展规划、目标任务和年度计划，经批准后组织实施；参与拟订涉及贫困地区经济社会发展的政策和规划。</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（三）负责分配和管理扶贫资金物资；负责监督扶贫资金的使用管理，牵头组织扶贫资金使用的绩效考评；负责管理扶贫开发项目，指导扶贫开发项目的实施。</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（四）负责扶贫开发情况的统计和动态监测；负责全区扶贫系统统计信息工作；负责扶贫开发宣传工作。</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（五）负责组织、协调、指导全区脱贫攻坚工作，组织实施精准扶贫、精准脱贫等工作，开展贫困地区干部有关扶贫政策和扶贫开发的培训工作。</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（六）承担协调扶贫开发系统风险防控、涉贫信访和舆情处置工作责任。</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（七）承办石鼓区扶贫开发领导小组的日常工作和交办的其他事项。</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color w:val="000000"/>
          <w:sz w:val="32"/>
          <w:szCs w:val="32"/>
        </w:rPr>
        <w:t>（八）承办区委、区人民政府交办的其他事项。</w:t>
      </w:r>
      <w:r>
        <w:rPr>
          <w:rFonts w:hint="eastAsia"/>
          <w:color w:val="000000"/>
          <w:sz w:val="32"/>
          <w:szCs w:val="32"/>
        </w:rPr>
        <w:t xml:space="preserve"> </w:t>
      </w:r>
    </w:p>
    <w:p>
      <w:pPr>
        <w:pStyle w:val="22"/>
        <w:spacing w:after="2"/>
        <w:ind w:firstLine="641"/>
        <w:rPr>
          <w:rFonts w:hint="eastAsia"/>
          <w:sz w:val="27"/>
          <w:szCs w:val="27"/>
        </w:rPr>
      </w:pPr>
      <w:r>
        <w:rPr>
          <w:rFonts w:hint="eastAsia" w:ascii="宋体" w:eastAsia="宋体"/>
          <w:b/>
          <w:bCs/>
          <w:color w:val="000000"/>
          <w:sz w:val="32"/>
          <w:szCs w:val="32"/>
        </w:rPr>
        <w:t>二、机构设置及决算单位构成</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（一）内设机构设置</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 xml:space="preserve">    石鼓区乡村振兴局内设机构包括：本部门共有编制人数6人，实有人数7人。内设股室5个，分别为综合股，督查考核股，社会扶贫政策协调股，规划财务股，贫困监测股。</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（二）决算单位构成</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 xml:space="preserve">    石鼓区乡村振兴局2021年部门决算汇总公开单位构成包括：1、石鼓区乡村振兴局本级；2、公益一类事业单位石鼓区扶贫产业帮扶中心。</w:t>
      </w:r>
      <w:r>
        <w:rPr>
          <w:rFonts w:hint="eastAsia"/>
          <w:color w:val="000000"/>
          <w:sz w:val="27"/>
          <w:szCs w:val="27"/>
        </w:rPr>
        <w:t xml:space="preserve"> </w:t>
      </w:r>
    </w:p>
    <w:p>
      <w:pPr>
        <w:widowControl/>
        <w:jc w:val="left"/>
        <w:sectPr>
          <w:pgSz w:w="11906" w:h="16838" w:orient="landscape"/>
          <w:pgMar w:top="1440" w:right="1080" w:bottom="1440" w:left="1080" w:header="851" w:footer="992" w:gutter="0"/>
          <w:cols w:space="425" w:num="1"/>
          <w:docGrid w:type="lines" w:linePitch="160" w:charSpace="0"/>
        </w:sectPr>
      </w:pPr>
    </w:p>
    <w:p>
      <w:pPr>
        <w:spacing w:after="2"/>
        <w:ind w:firstLine="721"/>
        <w:jc w:val="center"/>
        <w:rPr>
          <w:rFonts w:hint="eastAsia"/>
        </w:rPr>
      </w:pPr>
      <w:r>
        <w:rPr>
          <w:rFonts w:hint="eastAsia"/>
        </w:rPr>
        <w:t xml:space="preserve"> </w:t>
      </w:r>
    </w:p>
    <w:p>
      <w:pPr>
        <w:spacing w:after="2"/>
        <w:ind w:firstLine="721"/>
        <w:jc w:val="center"/>
        <w:rPr>
          <w:rFonts w:hint="eastAsia"/>
        </w:rPr>
      </w:pPr>
      <w:r>
        <w:rPr>
          <w:rFonts w:hint="eastAsia" w:ascii="宋体" w:eastAsia="宋体"/>
          <w:b/>
          <w:bCs/>
          <w:color w:val="000000"/>
          <w:sz w:val="36"/>
          <w:szCs w:val="36"/>
        </w:rPr>
        <w:t>第二部分 2021年度部门决算表</w:t>
      </w:r>
      <w:r>
        <w:rPr>
          <w:rFonts w:hint="eastAsia"/>
          <w:color w:val="000000"/>
        </w:rPr>
        <w:t xml:space="preserve"> </w:t>
      </w:r>
    </w:p>
    <w:p>
      <w:pPr>
        <w:pStyle w:val="9"/>
        <w:spacing w:before="0" w:beforeAutospacing="0" w:after="2" w:afterAutospacing="0"/>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4802"/>
        <w:gridCol w:w="648"/>
        <w:gridCol w:w="2569"/>
        <w:gridCol w:w="4802"/>
        <w:gridCol w:w="648"/>
        <w:gridCol w:w="2569"/>
      </w:tblGrid>
      <w:tr>
        <w:tblPrEx>
          <w:tblCellMar>
            <w:top w:w="0" w:type="dxa"/>
            <w:left w:w="0" w:type="dxa"/>
            <w:bottom w:w="0" w:type="dxa"/>
            <w:right w:w="0" w:type="dxa"/>
          </w:tblCellMar>
        </w:tblPrEx>
        <w:trPr>
          <w:jc w:val="center"/>
        </w:trPr>
        <w:tc>
          <w:tcPr>
            <w:tcW w:w="5000" w:type="pct"/>
            <w:gridSpan w:val="6"/>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收入支出决算总表 </w:t>
            </w:r>
          </w:p>
        </w:tc>
      </w:tr>
      <w:tr>
        <w:tblPrEx>
          <w:tblCellMar>
            <w:top w:w="0" w:type="dxa"/>
            <w:left w:w="0" w:type="dxa"/>
            <w:bottom w:w="0" w:type="dxa"/>
            <w:right w:w="0" w:type="dxa"/>
          </w:tblCellMar>
        </w:tblPrEx>
        <w:trPr>
          <w:jc w:val="center"/>
        </w:trPr>
        <w:tc>
          <w:tcPr>
            <w:tcW w:w="1497" w:type="pct"/>
            <w:tcBorders>
              <w:top w:val="nil"/>
              <w:left w:val="nil"/>
              <w:bottom w:val="nil"/>
              <w:right w:val="nil"/>
            </w:tcBorders>
            <w:vAlign w:val="center"/>
          </w:tcPr>
          <w:p>
            <w:pPr>
              <w:pStyle w:val="9"/>
              <w:rPr>
                <w:rFonts w:hint="eastAsia" w:cs="Times New Roman"/>
              </w:rPr>
            </w:pPr>
          </w:p>
        </w:tc>
        <w:tc>
          <w:tcPr>
            <w:tcW w:w="202" w:type="pct"/>
            <w:tcBorders>
              <w:top w:val="nil"/>
              <w:left w:val="nil"/>
              <w:bottom w:val="nil"/>
              <w:right w:val="nil"/>
            </w:tcBorders>
            <w:vAlign w:val="center"/>
          </w:tcPr>
          <w:p>
            <w:pPr>
              <w:pStyle w:val="9"/>
              <w:rPr>
                <w:rFonts w:hint="eastAsia" w:cs="Times New Roman"/>
              </w:rPr>
            </w:pPr>
          </w:p>
        </w:tc>
        <w:tc>
          <w:tcPr>
            <w:tcW w:w="799" w:type="pct"/>
            <w:tcBorders>
              <w:top w:val="nil"/>
              <w:left w:val="nil"/>
              <w:bottom w:val="nil"/>
              <w:right w:val="nil"/>
            </w:tcBorders>
            <w:vAlign w:val="center"/>
          </w:tcPr>
          <w:p>
            <w:pPr>
              <w:pStyle w:val="9"/>
              <w:rPr>
                <w:rFonts w:hint="eastAsia" w:cs="Times New Roman"/>
              </w:rPr>
            </w:pPr>
          </w:p>
        </w:tc>
        <w:tc>
          <w:tcPr>
            <w:tcW w:w="1497" w:type="pct"/>
            <w:tcBorders>
              <w:top w:val="nil"/>
              <w:left w:val="nil"/>
              <w:bottom w:val="nil"/>
              <w:right w:val="nil"/>
            </w:tcBorders>
            <w:vAlign w:val="center"/>
          </w:tcPr>
          <w:p>
            <w:pPr>
              <w:pStyle w:val="9"/>
              <w:rPr>
                <w:rFonts w:hint="eastAsia" w:cs="Times New Roman"/>
              </w:rPr>
            </w:pPr>
          </w:p>
        </w:tc>
        <w:tc>
          <w:tcPr>
            <w:tcW w:w="1002"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公开01表 </w:t>
            </w:r>
          </w:p>
        </w:tc>
      </w:tr>
      <w:tr>
        <w:tblPrEx>
          <w:tblCellMar>
            <w:top w:w="0" w:type="dxa"/>
            <w:left w:w="0" w:type="dxa"/>
            <w:bottom w:w="0" w:type="dxa"/>
            <w:right w:w="0" w:type="dxa"/>
          </w:tblCellMar>
        </w:tblPrEx>
        <w:trPr>
          <w:jc w:val="center"/>
        </w:trPr>
        <w:tc>
          <w:tcPr>
            <w:tcW w:w="3997" w:type="pct"/>
            <w:gridSpan w:val="4"/>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002"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收入 </w:t>
            </w:r>
          </w:p>
        </w:tc>
        <w:tc>
          <w:tcPr>
            <w:tcW w:w="2500" w:type="pct"/>
            <w:gridSpan w:val="3"/>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支出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行次 </w:t>
            </w:r>
          </w:p>
        </w:tc>
        <w:tc>
          <w:tcPr>
            <w:tcW w:w="799"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金额 </w:t>
            </w:r>
          </w:p>
        </w:tc>
        <w:tc>
          <w:tcPr>
            <w:tcW w:w="1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行次 </w:t>
            </w:r>
          </w:p>
        </w:tc>
        <w:tc>
          <w:tcPr>
            <w:tcW w:w="799"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金额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p>
        </w:tc>
        <w:tc>
          <w:tcPr>
            <w:tcW w:w="799"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1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p>
        </w:tc>
        <w:tc>
          <w:tcPr>
            <w:tcW w:w="799"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一、一般公共预算财政拨款收入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1,789.56 </w:t>
            </w: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一、一般公共服务支出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二、政府性基金预算财政拨款收入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二、外交支出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三、国有资本经营预算财政拨款收入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三、国防支出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四、上级补助收入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四、公共安全支出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五、事业收入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五、教育支出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六、经营收入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六、科学技术支出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七、附属单位上缴收入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七、文化旅游体育与传媒支出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八、其他收入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八、社会保障和就业支出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九、卫生健康支出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十、节能环保支出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十一、城乡社区支出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十二、农林水支出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1,774.60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十三、交通运输支出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十四、资源勘探工业信息等支出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十五、商业服务业等支出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十六、金融支出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十七、援助其他地区支出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十八、自然资源海洋气象等支出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十九、住房保障支出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二十、粮油物资储备支出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二十一、国有资本经营预算支出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二十二、灾害防治及应急管理支出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23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二十三、其他支出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0"/>
                <w:szCs w:val="20"/>
              </w:rPr>
              <w:t xml:space="preserve">24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二十四、债务还本支出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0"/>
                <w:szCs w:val="20"/>
              </w:rPr>
              <w:t xml:space="preserve">25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二十五、债务付息支出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0"/>
                <w:szCs w:val="20"/>
              </w:rPr>
              <w:t xml:space="preserve">26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二十六、抗疫特别国债安排的支出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本年收入合计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27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1,789.76 </w:t>
            </w:r>
          </w:p>
        </w:tc>
        <w:tc>
          <w:tcPr>
            <w:tcW w:w="1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本年支出合计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1,797.12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使用非财政拨款结余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28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结余分配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年初结转和结余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29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7.56 </w:t>
            </w: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年末结转和结余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30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497"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61 </w:t>
            </w:r>
          </w:p>
        </w:tc>
        <w:tc>
          <w:tcPr>
            <w:tcW w:w="79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r>
      <w:tr>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总计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31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1,797.32 </w:t>
            </w:r>
          </w:p>
        </w:tc>
        <w:tc>
          <w:tcPr>
            <w:tcW w:w="1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总计 </w:t>
            </w:r>
          </w:p>
        </w:tc>
        <w:tc>
          <w:tcPr>
            <w:tcW w:w="20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62 </w:t>
            </w:r>
          </w:p>
        </w:tc>
        <w:tc>
          <w:tcPr>
            <w:tcW w:w="799"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1,797.32 </w:t>
            </w:r>
          </w:p>
        </w:tc>
      </w:tr>
      <w:tr>
        <w:tblPrEx>
          <w:tblCellMar>
            <w:top w:w="0" w:type="dxa"/>
            <w:left w:w="0" w:type="dxa"/>
            <w:bottom w:w="0" w:type="dxa"/>
            <w:right w:w="0" w:type="dxa"/>
          </w:tblCellMar>
        </w:tblPrEx>
        <w:trPr>
          <w:jc w:val="center"/>
        </w:trPr>
        <w:tc>
          <w:tcPr>
            <w:tcW w:w="5000" w:type="pct"/>
            <w:gridSpan w:val="6"/>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注：本表反映部门本年度的总收支和年末结转结余情况。本表金额转换为万元时，因四舍五入可能存在尾数误差。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CellMar>
            <w:top w:w="0" w:type="dxa"/>
            <w:left w:w="0" w:type="dxa"/>
            <w:bottom w:w="0" w:type="dxa"/>
            <w:right w:w="0" w:type="dxa"/>
          </w:tblCellMar>
        </w:tblPrEx>
        <w:trPr>
          <w:jc w:val="center"/>
        </w:trPr>
        <w:tc>
          <w:tcPr>
            <w:tcW w:w="5000" w:type="pct"/>
            <w:gridSpan w:val="11"/>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收入决算表 </w:t>
            </w:r>
          </w:p>
        </w:tc>
      </w:tr>
      <w:tr>
        <w:tblPrEx>
          <w:tblCellMar>
            <w:top w:w="0" w:type="dxa"/>
            <w:left w:w="0" w:type="dxa"/>
            <w:bottom w:w="0" w:type="dxa"/>
            <w:right w:w="0" w:type="dxa"/>
          </w:tblCellMar>
        </w:tblPrEx>
        <w:trPr>
          <w:jc w:val="center"/>
        </w:trPr>
        <w:tc>
          <w:tcPr>
            <w:tcW w:w="113" w:type="pct"/>
            <w:tcBorders>
              <w:top w:val="nil"/>
              <w:left w:val="nil"/>
              <w:bottom w:val="nil"/>
              <w:right w:val="nil"/>
            </w:tcBorders>
            <w:vAlign w:val="center"/>
          </w:tcPr>
          <w:p>
            <w:pPr>
              <w:pStyle w:val="9"/>
              <w:rPr>
                <w:rFonts w:hint="eastAsia" w:cs="Times New Roman"/>
              </w:rPr>
            </w:pPr>
          </w:p>
        </w:tc>
        <w:tc>
          <w:tcPr>
            <w:tcW w:w="113" w:type="pct"/>
            <w:tcBorders>
              <w:top w:val="nil"/>
              <w:left w:val="nil"/>
              <w:bottom w:val="nil"/>
              <w:right w:val="nil"/>
            </w:tcBorders>
            <w:vAlign w:val="center"/>
          </w:tcPr>
          <w:p>
            <w:pPr>
              <w:pStyle w:val="9"/>
              <w:rPr>
                <w:rFonts w:hint="eastAsia" w:cs="Times New Roman"/>
              </w:rPr>
            </w:pPr>
          </w:p>
        </w:tc>
        <w:tc>
          <w:tcPr>
            <w:tcW w:w="113" w:type="pct"/>
            <w:tcBorders>
              <w:top w:val="nil"/>
              <w:left w:val="nil"/>
              <w:bottom w:val="nil"/>
              <w:right w:val="nil"/>
            </w:tcBorders>
            <w:vAlign w:val="center"/>
          </w:tcPr>
          <w:p>
            <w:pPr>
              <w:pStyle w:val="9"/>
              <w:rPr>
                <w:rFonts w:hint="eastAsia" w:cs="Times New Roman"/>
              </w:rPr>
            </w:pPr>
          </w:p>
        </w:tc>
        <w:tc>
          <w:tcPr>
            <w:tcW w:w="995" w:type="pct"/>
            <w:tcBorders>
              <w:top w:val="nil"/>
              <w:left w:val="nil"/>
              <w:bottom w:val="nil"/>
              <w:right w:val="nil"/>
            </w:tcBorders>
            <w:vAlign w:val="center"/>
          </w:tcPr>
          <w:p>
            <w:pPr>
              <w:pStyle w:val="9"/>
              <w:rPr>
                <w:rFonts w:hint="eastAsia" w:cs="Times New Roman"/>
              </w:rPr>
            </w:pPr>
          </w:p>
        </w:tc>
        <w:tc>
          <w:tcPr>
            <w:tcW w:w="678" w:type="pct"/>
            <w:tcBorders>
              <w:top w:val="nil"/>
              <w:left w:val="nil"/>
              <w:bottom w:val="nil"/>
              <w:right w:val="nil"/>
            </w:tcBorders>
            <w:vAlign w:val="center"/>
          </w:tcPr>
          <w:p>
            <w:pPr>
              <w:pStyle w:val="9"/>
              <w:rPr>
                <w:rFonts w:hint="eastAsia" w:cs="Times New Roman"/>
              </w:rPr>
            </w:pPr>
          </w:p>
        </w:tc>
        <w:tc>
          <w:tcPr>
            <w:tcW w:w="497" w:type="pct"/>
            <w:tcBorders>
              <w:top w:val="nil"/>
              <w:left w:val="nil"/>
              <w:bottom w:val="nil"/>
              <w:right w:val="nil"/>
            </w:tcBorders>
            <w:vAlign w:val="center"/>
          </w:tcPr>
          <w:p>
            <w:pPr>
              <w:pStyle w:val="9"/>
              <w:rPr>
                <w:rFonts w:hint="eastAsia" w:cs="Times New Roman"/>
              </w:rPr>
            </w:pPr>
          </w:p>
        </w:tc>
        <w:tc>
          <w:tcPr>
            <w:tcW w:w="497" w:type="pct"/>
            <w:tcBorders>
              <w:top w:val="nil"/>
              <w:left w:val="nil"/>
              <w:bottom w:val="nil"/>
              <w:right w:val="nil"/>
            </w:tcBorders>
            <w:vAlign w:val="center"/>
          </w:tcPr>
          <w:p>
            <w:pPr>
              <w:pStyle w:val="9"/>
              <w:rPr>
                <w:rFonts w:hint="eastAsia" w:cs="Times New Roman"/>
              </w:rPr>
            </w:pPr>
          </w:p>
        </w:tc>
        <w:tc>
          <w:tcPr>
            <w:tcW w:w="497" w:type="pct"/>
            <w:tcBorders>
              <w:top w:val="nil"/>
              <w:left w:val="nil"/>
              <w:bottom w:val="nil"/>
              <w:right w:val="nil"/>
            </w:tcBorders>
            <w:vAlign w:val="center"/>
          </w:tcPr>
          <w:p>
            <w:pPr>
              <w:pStyle w:val="9"/>
              <w:rPr>
                <w:rFonts w:hint="eastAsia" w:cs="Times New Roman"/>
              </w:rPr>
            </w:pPr>
          </w:p>
        </w:tc>
        <w:tc>
          <w:tcPr>
            <w:tcW w:w="497" w:type="pct"/>
            <w:tcBorders>
              <w:top w:val="nil"/>
              <w:left w:val="nil"/>
              <w:bottom w:val="nil"/>
              <w:right w:val="nil"/>
            </w:tcBorders>
            <w:vAlign w:val="center"/>
          </w:tcPr>
          <w:p>
            <w:pPr>
              <w:pStyle w:val="9"/>
              <w:rPr>
                <w:rFonts w:hint="eastAsia" w:cs="Times New Roman"/>
              </w:rPr>
            </w:pPr>
          </w:p>
        </w:tc>
        <w:tc>
          <w:tcPr>
            <w:tcW w:w="995"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公开02表 </w:t>
            </w:r>
          </w:p>
        </w:tc>
      </w:tr>
      <w:tr>
        <w:tblPrEx>
          <w:tblCellMar>
            <w:top w:w="0" w:type="dxa"/>
            <w:left w:w="0" w:type="dxa"/>
            <w:bottom w:w="0" w:type="dxa"/>
            <w:right w:w="0" w:type="dxa"/>
          </w:tblCellMar>
        </w:tblPrEx>
        <w:trPr>
          <w:jc w:val="center"/>
        </w:trPr>
        <w:tc>
          <w:tcPr>
            <w:tcW w:w="4004" w:type="pct"/>
            <w:gridSpan w:val="9"/>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995"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本年收入合计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财政拨款收入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上级补助收入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事业收入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经营收入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附属单位上缴收入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其他收入 </w:t>
            </w:r>
          </w:p>
        </w:tc>
      </w:tr>
      <w:tr>
        <w:tblPrEx>
          <w:tblCellMar>
            <w:top w:w="0" w:type="dxa"/>
            <w:left w:w="0" w:type="dxa"/>
            <w:bottom w:w="0" w:type="dxa"/>
            <w:right w:w="0" w:type="dxa"/>
          </w:tblCellMar>
        </w:tblPrEx>
        <w:trPr>
          <w:jc w:val="center"/>
        </w:trPr>
        <w:tc>
          <w:tcPr>
            <w:tcW w:w="339" w:type="pct"/>
            <w:gridSpan w:val="3"/>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功能分类科目编码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678"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c>
          <w:tcPr>
            <w:tcW w:w="497"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7 </w:t>
            </w:r>
          </w:p>
        </w:tc>
      </w:tr>
      <w:tr>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1,789.76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1,789.56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0.20 </w:t>
            </w: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一般公共服务支出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政府办公厅（室）及相关机构事务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2019999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社会保障和就业支出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行政事业单位养老支出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2080505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机关事业单位基本养老保险缴费支出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5.12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卫生健康支出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行政事业单位医疗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行政单位医疗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2.66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农林水支出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1,768.34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1,768.14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农业农村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2130142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农村道路建设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2130199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其他农业农村支出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扶贫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1,493.23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1,493.03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75.05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75.05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2130599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其他扶贫支出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1,418.19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1,417.99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住房保障支出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住房改革支出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2210201 </w:t>
            </w:r>
          </w:p>
        </w:tc>
        <w:tc>
          <w:tcPr>
            <w:tcW w:w="99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住房公积金 </w:t>
            </w:r>
          </w:p>
        </w:tc>
        <w:tc>
          <w:tcPr>
            <w:tcW w:w="67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3.67 </w:t>
            </w: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97"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11"/>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注：本表反映部门本年度取得的各项收入情况。本表金额转换为万元时，因四舍五入可能存在尾数误差。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支出决算表 </w:t>
            </w:r>
          </w:p>
        </w:tc>
      </w:tr>
      <w:tr>
        <w:tblPrEx>
          <w:tblCellMar>
            <w:top w:w="0" w:type="dxa"/>
            <w:left w:w="0" w:type="dxa"/>
            <w:bottom w:w="0" w:type="dxa"/>
            <w:right w:w="0" w:type="dxa"/>
          </w:tblCellMar>
        </w:tblPrEx>
        <w:trPr>
          <w:jc w:val="center"/>
        </w:trPr>
        <w:tc>
          <w:tcPr>
            <w:tcW w:w="125" w:type="pct"/>
            <w:tcBorders>
              <w:top w:val="nil"/>
              <w:left w:val="nil"/>
              <w:bottom w:val="nil"/>
              <w:right w:val="nil"/>
            </w:tcBorders>
            <w:vAlign w:val="center"/>
          </w:tcPr>
          <w:p>
            <w:pPr>
              <w:pStyle w:val="9"/>
              <w:rPr>
                <w:rFonts w:hint="eastAsia" w:cs="Times New Roman"/>
              </w:rPr>
            </w:pPr>
          </w:p>
        </w:tc>
        <w:tc>
          <w:tcPr>
            <w:tcW w:w="125" w:type="pct"/>
            <w:tcBorders>
              <w:top w:val="nil"/>
              <w:left w:val="nil"/>
              <w:bottom w:val="nil"/>
              <w:right w:val="nil"/>
            </w:tcBorders>
            <w:vAlign w:val="center"/>
          </w:tcPr>
          <w:p>
            <w:pPr>
              <w:pStyle w:val="9"/>
              <w:rPr>
                <w:rFonts w:hint="eastAsia" w:cs="Times New Roman"/>
              </w:rPr>
            </w:pPr>
          </w:p>
        </w:tc>
        <w:tc>
          <w:tcPr>
            <w:tcW w:w="125" w:type="pct"/>
            <w:tcBorders>
              <w:top w:val="nil"/>
              <w:left w:val="nil"/>
              <w:bottom w:val="nil"/>
              <w:right w:val="nil"/>
            </w:tcBorders>
            <w:vAlign w:val="center"/>
          </w:tcPr>
          <w:p>
            <w:pPr>
              <w:pStyle w:val="9"/>
              <w:rPr>
                <w:rFonts w:hint="eastAsia" w:cs="Times New Roman"/>
              </w:rPr>
            </w:pPr>
          </w:p>
        </w:tc>
        <w:tc>
          <w:tcPr>
            <w:tcW w:w="1105" w:type="pct"/>
            <w:tcBorders>
              <w:top w:val="nil"/>
              <w:left w:val="nil"/>
              <w:bottom w:val="nil"/>
              <w:right w:val="nil"/>
            </w:tcBorders>
            <w:vAlign w:val="center"/>
          </w:tcPr>
          <w:p>
            <w:pPr>
              <w:pStyle w:val="9"/>
              <w:rPr>
                <w:rFonts w:hint="eastAsia" w:cs="Times New Roman"/>
              </w:rPr>
            </w:pPr>
          </w:p>
        </w:tc>
        <w:tc>
          <w:tcPr>
            <w:tcW w:w="753" w:type="pct"/>
            <w:tcBorders>
              <w:top w:val="nil"/>
              <w:left w:val="nil"/>
              <w:bottom w:val="nil"/>
              <w:right w:val="nil"/>
            </w:tcBorders>
            <w:vAlign w:val="center"/>
          </w:tcPr>
          <w:p>
            <w:pPr>
              <w:pStyle w:val="9"/>
              <w:rPr>
                <w:rFonts w:hint="eastAsia" w:cs="Times New Roman"/>
              </w:rPr>
            </w:pPr>
          </w:p>
        </w:tc>
        <w:tc>
          <w:tcPr>
            <w:tcW w:w="552" w:type="pct"/>
            <w:tcBorders>
              <w:top w:val="nil"/>
              <w:left w:val="nil"/>
              <w:bottom w:val="nil"/>
              <w:right w:val="nil"/>
            </w:tcBorders>
            <w:vAlign w:val="center"/>
          </w:tcPr>
          <w:p>
            <w:pPr>
              <w:pStyle w:val="9"/>
              <w:rPr>
                <w:rFonts w:hint="eastAsia" w:cs="Times New Roman"/>
              </w:rPr>
            </w:pPr>
          </w:p>
        </w:tc>
        <w:tc>
          <w:tcPr>
            <w:tcW w:w="552" w:type="pct"/>
            <w:tcBorders>
              <w:top w:val="nil"/>
              <w:left w:val="nil"/>
              <w:bottom w:val="nil"/>
              <w:right w:val="nil"/>
            </w:tcBorders>
            <w:vAlign w:val="center"/>
          </w:tcPr>
          <w:p>
            <w:pPr>
              <w:pStyle w:val="9"/>
              <w:rPr>
                <w:rFonts w:hint="eastAsia" w:cs="Times New Roman"/>
              </w:rPr>
            </w:pPr>
          </w:p>
        </w:tc>
        <w:tc>
          <w:tcPr>
            <w:tcW w:w="552" w:type="pct"/>
            <w:tcBorders>
              <w:top w:val="nil"/>
              <w:left w:val="nil"/>
              <w:bottom w:val="nil"/>
              <w:right w:val="nil"/>
            </w:tcBorders>
            <w:vAlign w:val="center"/>
          </w:tcPr>
          <w:p>
            <w:pPr>
              <w:pStyle w:val="9"/>
              <w:rPr>
                <w:rFonts w:hint="eastAsia" w:cs="Times New Roman"/>
              </w:rPr>
            </w:pPr>
          </w:p>
        </w:tc>
        <w:tc>
          <w:tcPr>
            <w:tcW w:w="1105"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公开03表 </w:t>
            </w:r>
          </w:p>
        </w:tc>
      </w:tr>
      <w:tr>
        <w:tblPrEx>
          <w:tblCellMar>
            <w:top w:w="0" w:type="dxa"/>
            <w:left w:w="0" w:type="dxa"/>
            <w:bottom w:w="0" w:type="dxa"/>
            <w:right w:w="0" w:type="dxa"/>
          </w:tblCellMar>
        </w:tblPrEx>
        <w:trPr>
          <w:jc w:val="center"/>
        </w:trPr>
        <w:tc>
          <w:tcPr>
            <w:tcW w:w="3894" w:type="pct"/>
            <w:gridSpan w:val="8"/>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105"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本年支出合计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上缴上级支出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经营支出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对附属单位补助支出 </w:t>
            </w:r>
          </w:p>
        </w:tc>
      </w:tr>
      <w:tr>
        <w:tblPrEx>
          <w:tblCellMar>
            <w:top w:w="0" w:type="dxa"/>
            <w:left w:w="0" w:type="dxa"/>
            <w:bottom w:w="0" w:type="dxa"/>
            <w:right w:w="0" w:type="dxa"/>
          </w:tblCellMar>
        </w:tblPrEx>
        <w:trPr>
          <w:jc w:val="center"/>
        </w:trPr>
        <w:tc>
          <w:tcPr>
            <w:tcW w:w="376" w:type="pct"/>
            <w:gridSpan w:val="3"/>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功能分类科目编码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75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55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55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55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55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552"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r>
      <w:tr>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1,797.12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100.66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1,696.46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一般公共服务支出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政府办公厅（室）及相关机构事务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2019999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社会保障和就业支出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行政事业单位养老支出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2080505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机关事业单位基本养老保险缴费支出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卫生健康支出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行政事业单位医疗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行政单位医疗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农林水支出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1,774.60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78.14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1,696.46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农业农村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2130142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农村道路建设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2130199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其他农业农村支出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扶贫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1,499.50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78.14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1,421.35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75.38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75.38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2130599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其他扶贫支出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1,424.12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2.77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1,421.35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住房保障支出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住房改革支出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2210201 </w:t>
            </w:r>
          </w:p>
        </w:tc>
        <w:tc>
          <w:tcPr>
            <w:tcW w:w="1105"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住房公积金 </w:t>
            </w:r>
          </w:p>
        </w:tc>
        <w:tc>
          <w:tcPr>
            <w:tcW w:w="75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552"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注：本表反映部门本年度各项支出情况。本表金额转换为万元时，因四舍五入可能存在尾数误差。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财政拨款收入支出决算总表 </w:t>
            </w:r>
          </w:p>
        </w:tc>
      </w:tr>
      <w:tr>
        <w:tblPrEx>
          <w:tblCellMar>
            <w:top w:w="0" w:type="dxa"/>
            <w:left w:w="0" w:type="dxa"/>
            <w:bottom w:w="0" w:type="dxa"/>
            <w:right w:w="0" w:type="dxa"/>
          </w:tblCellMar>
        </w:tblPrEx>
        <w:trPr>
          <w:jc w:val="center"/>
        </w:trPr>
        <w:tc>
          <w:tcPr>
            <w:tcW w:w="999" w:type="pct"/>
            <w:tcBorders>
              <w:top w:val="nil"/>
              <w:left w:val="nil"/>
              <w:bottom w:val="nil"/>
              <w:right w:val="nil"/>
            </w:tcBorders>
            <w:vAlign w:val="center"/>
          </w:tcPr>
          <w:p>
            <w:pPr>
              <w:pStyle w:val="9"/>
              <w:rPr>
                <w:rFonts w:hint="eastAsia" w:cs="Times New Roman"/>
              </w:rPr>
            </w:pPr>
          </w:p>
        </w:tc>
        <w:tc>
          <w:tcPr>
            <w:tcW w:w="165" w:type="pct"/>
            <w:tcBorders>
              <w:top w:val="nil"/>
              <w:left w:val="nil"/>
              <w:bottom w:val="nil"/>
              <w:right w:val="nil"/>
            </w:tcBorders>
            <w:vAlign w:val="center"/>
          </w:tcPr>
          <w:p>
            <w:pPr>
              <w:pStyle w:val="9"/>
              <w:rPr>
                <w:rFonts w:hint="eastAsia" w:cs="Times New Roman"/>
              </w:rPr>
            </w:pPr>
          </w:p>
        </w:tc>
        <w:tc>
          <w:tcPr>
            <w:tcW w:w="486" w:type="pct"/>
            <w:tcBorders>
              <w:top w:val="nil"/>
              <w:left w:val="nil"/>
              <w:bottom w:val="nil"/>
              <w:right w:val="nil"/>
            </w:tcBorders>
            <w:vAlign w:val="center"/>
          </w:tcPr>
          <w:p>
            <w:pPr>
              <w:pStyle w:val="9"/>
              <w:rPr>
                <w:rFonts w:hint="eastAsia" w:cs="Times New Roman"/>
              </w:rPr>
            </w:pPr>
          </w:p>
        </w:tc>
        <w:tc>
          <w:tcPr>
            <w:tcW w:w="1151" w:type="pct"/>
            <w:tcBorders>
              <w:top w:val="nil"/>
              <w:left w:val="nil"/>
              <w:bottom w:val="nil"/>
              <w:right w:val="nil"/>
            </w:tcBorders>
            <w:vAlign w:val="center"/>
          </w:tcPr>
          <w:p>
            <w:pPr>
              <w:pStyle w:val="9"/>
              <w:rPr>
                <w:rFonts w:hint="eastAsia" w:cs="Times New Roman"/>
              </w:rPr>
            </w:pPr>
          </w:p>
        </w:tc>
        <w:tc>
          <w:tcPr>
            <w:tcW w:w="165" w:type="pct"/>
            <w:tcBorders>
              <w:top w:val="nil"/>
              <w:left w:val="nil"/>
              <w:bottom w:val="nil"/>
              <w:right w:val="nil"/>
            </w:tcBorders>
            <w:vAlign w:val="center"/>
          </w:tcPr>
          <w:p>
            <w:pPr>
              <w:pStyle w:val="9"/>
              <w:rPr>
                <w:rFonts w:hint="eastAsia" w:cs="Times New Roman"/>
              </w:rPr>
            </w:pPr>
          </w:p>
        </w:tc>
        <w:tc>
          <w:tcPr>
            <w:tcW w:w="664" w:type="pct"/>
            <w:tcBorders>
              <w:top w:val="nil"/>
              <w:left w:val="nil"/>
              <w:bottom w:val="nil"/>
              <w:right w:val="nil"/>
            </w:tcBorders>
            <w:vAlign w:val="center"/>
          </w:tcPr>
          <w:p>
            <w:pPr>
              <w:pStyle w:val="9"/>
              <w:rPr>
                <w:rFonts w:hint="eastAsia" w:cs="Times New Roman"/>
              </w:rPr>
            </w:pPr>
          </w:p>
        </w:tc>
        <w:tc>
          <w:tcPr>
            <w:tcW w:w="456" w:type="pct"/>
            <w:tcBorders>
              <w:top w:val="nil"/>
              <w:left w:val="nil"/>
              <w:bottom w:val="nil"/>
              <w:right w:val="nil"/>
            </w:tcBorders>
            <w:vAlign w:val="center"/>
          </w:tcPr>
          <w:p>
            <w:pPr>
              <w:pStyle w:val="9"/>
              <w:rPr>
                <w:rFonts w:hint="eastAsia" w:cs="Times New Roman"/>
              </w:rPr>
            </w:pPr>
          </w:p>
        </w:tc>
        <w:tc>
          <w:tcPr>
            <w:tcW w:w="912"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公开04表 </w:t>
            </w:r>
          </w:p>
        </w:tc>
      </w:tr>
      <w:tr>
        <w:tblPrEx>
          <w:tblCellMar>
            <w:top w:w="0" w:type="dxa"/>
            <w:left w:w="0" w:type="dxa"/>
            <w:bottom w:w="0" w:type="dxa"/>
            <w:right w:w="0" w:type="dxa"/>
          </w:tblCellMar>
        </w:tblPrEx>
        <w:trPr>
          <w:jc w:val="center"/>
        </w:trPr>
        <w:tc>
          <w:tcPr>
            <w:tcW w:w="4087" w:type="pct"/>
            <w:gridSpan w:val="7"/>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912"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收 入 </w:t>
            </w:r>
          </w:p>
        </w:tc>
        <w:tc>
          <w:tcPr>
            <w:tcW w:w="3349" w:type="pct"/>
            <w:gridSpan w:val="6"/>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支 出 </w:t>
            </w:r>
          </w:p>
        </w:tc>
      </w:tr>
      <w:tr>
        <w:tblPrEx>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金额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一般公共预算财政拨款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政府性基金预算财政拨款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国有资本经营预算财政拨款 </w:t>
            </w:r>
          </w:p>
        </w:tc>
      </w:tr>
      <w:tr>
        <w:tblPrEx>
          <w:tblCellMar>
            <w:top w:w="0" w:type="dxa"/>
            <w:left w:w="0" w:type="dxa"/>
            <w:bottom w:w="0" w:type="dxa"/>
            <w:right w:w="0" w:type="dxa"/>
          </w:tblCellMar>
        </w:tblPrEx>
        <w:trPr>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p>
        </w:tc>
        <w:tc>
          <w:tcPr>
            <w:tcW w:w="48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1151"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p>
        </w:tc>
        <w:tc>
          <w:tcPr>
            <w:tcW w:w="664"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45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45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45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一、一般公共预算财政拨款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1,789.56 </w:t>
            </w: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一、一般公共服务支出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33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二、政府性基金预算财政拨款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二、外交支出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34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三、国有资本经营财政拨款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三、国防支出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35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四、公共安全支出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36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五、教育支出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37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六、科学技术支出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38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7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七、文化旅游体育与传媒支出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39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8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八、社会保障和就业支出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40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9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九、卫生健康支出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41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10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十、节能环保支出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42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11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十一、城乡社区支出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43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12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十二、农林水支出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44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1,773.80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1,773.80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13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十三、交通运输支出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45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14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十四、资源勘探工业信息等支出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46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15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十五、商业服务业等支出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47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16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十六、金融支出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48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17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十七、援助其他地区支出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49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18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十八、自然资源海洋气象等支出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50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19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十九、住房保障支出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51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20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二十、粮油物资储备支出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52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21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二十一、国有资本经营预算支出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53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22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二十二、灾害防治及应急管理支出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54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23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二十三、其他支出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55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24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二十四、债务还本支出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56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25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二十五、债务付息支出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57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26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二十六、抗疫特别国债安排的支出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58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本年收入合计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27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1,789.56 </w:t>
            </w:r>
          </w:p>
        </w:tc>
        <w:tc>
          <w:tcPr>
            <w:tcW w:w="1151"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本年支出合计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59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年初财政拨款结转和结余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28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6.76 </w:t>
            </w: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年末财政拨款结转和结余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60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一般公共预算财政拨款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29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6.76 </w:t>
            </w: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61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政府性基金预算财政拨款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30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62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国有资本经营预算财政拨款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31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151"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63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总计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32 </w:t>
            </w:r>
          </w:p>
        </w:tc>
        <w:tc>
          <w:tcPr>
            <w:tcW w:w="48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1151"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总计 </w:t>
            </w:r>
          </w:p>
        </w:tc>
        <w:tc>
          <w:tcPr>
            <w:tcW w:w="16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64 </w:t>
            </w:r>
          </w:p>
        </w:tc>
        <w:tc>
          <w:tcPr>
            <w:tcW w:w="6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5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452"/>
        <w:gridCol w:w="452"/>
        <w:gridCol w:w="455"/>
        <w:gridCol w:w="5398"/>
        <w:gridCol w:w="3092"/>
        <w:gridCol w:w="3093"/>
        <w:gridCol w:w="3096"/>
      </w:tblGrid>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一般公共预算财政拨款支出决算表 </w:t>
            </w:r>
          </w:p>
        </w:tc>
      </w:tr>
      <w:tr>
        <w:tblPrEx>
          <w:tblCellMar>
            <w:top w:w="0" w:type="dxa"/>
            <w:left w:w="0" w:type="dxa"/>
            <w:bottom w:w="0" w:type="dxa"/>
            <w:right w:w="0" w:type="dxa"/>
          </w:tblCellMar>
        </w:tblPrEx>
        <w:trPr>
          <w:jc w:val="center"/>
        </w:trPr>
        <w:tc>
          <w:tcPr>
            <w:tcW w:w="141" w:type="pct"/>
            <w:tcBorders>
              <w:top w:val="nil"/>
              <w:left w:val="nil"/>
              <w:bottom w:val="nil"/>
              <w:right w:val="nil"/>
            </w:tcBorders>
            <w:vAlign w:val="center"/>
          </w:tcPr>
          <w:p>
            <w:pPr>
              <w:pStyle w:val="9"/>
              <w:rPr>
                <w:rFonts w:hint="eastAsia" w:cs="Times New Roman"/>
              </w:rPr>
            </w:pPr>
          </w:p>
        </w:tc>
        <w:tc>
          <w:tcPr>
            <w:tcW w:w="141" w:type="pct"/>
            <w:tcBorders>
              <w:top w:val="nil"/>
              <w:left w:val="nil"/>
              <w:bottom w:val="nil"/>
              <w:right w:val="nil"/>
            </w:tcBorders>
            <w:vAlign w:val="center"/>
          </w:tcPr>
          <w:p>
            <w:pPr>
              <w:pStyle w:val="9"/>
              <w:rPr>
                <w:rFonts w:hint="eastAsia" w:cs="Times New Roman"/>
              </w:rPr>
            </w:pPr>
          </w:p>
        </w:tc>
        <w:tc>
          <w:tcPr>
            <w:tcW w:w="141" w:type="pct"/>
            <w:tcBorders>
              <w:top w:val="nil"/>
              <w:left w:val="nil"/>
              <w:bottom w:val="nil"/>
              <w:right w:val="nil"/>
            </w:tcBorders>
            <w:vAlign w:val="center"/>
          </w:tcPr>
          <w:p>
            <w:pPr>
              <w:pStyle w:val="9"/>
              <w:rPr>
                <w:rFonts w:hint="eastAsia" w:cs="Times New Roman"/>
              </w:rPr>
            </w:pPr>
          </w:p>
        </w:tc>
        <w:tc>
          <w:tcPr>
            <w:tcW w:w="1683" w:type="pct"/>
            <w:tcBorders>
              <w:top w:val="nil"/>
              <w:left w:val="nil"/>
              <w:bottom w:val="nil"/>
              <w:right w:val="nil"/>
            </w:tcBorders>
            <w:vAlign w:val="center"/>
          </w:tcPr>
          <w:p>
            <w:pPr>
              <w:pStyle w:val="9"/>
              <w:rPr>
                <w:rFonts w:hint="eastAsia" w:cs="Times New Roman"/>
              </w:rPr>
            </w:pPr>
          </w:p>
        </w:tc>
        <w:tc>
          <w:tcPr>
            <w:tcW w:w="964" w:type="pct"/>
            <w:tcBorders>
              <w:top w:val="nil"/>
              <w:left w:val="nil"/>
              <w:bottom w:val="nil"/>
              <w:right w:val="nil"/>
            </w:tcBorders>
            <w:vAlign w:val="center"/>
          </w:tcPr>
          <w:p>
            <w:pPr>
              <w:pStyle w:val="9"/>
              <w:rPr>
                <w:rFonts w:hint="eastAsia" w:cs="Times New Roman"/>
              </w:rPr>
            </w:pPr>
          </w:p>
        </w:tc>
        <w:tc>
          <w:tcPr>
            <w:tcW w:w="1928"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公开05表 </w:t>
            </w:r>
          </w:p>
        </w:tc>
      </w:tr>
      <w:tr>
        <w:tblPrEx>
          <w:tblCellMar>
            <w:top w:w="0" w:type="dxa"/>
            <w:left w:w="0" w:type="dxa"/>
            <w:bottom w:w="0" w:type="dxa"/>
            <w:right w:w="0" w:type="dxa"/>
          </w:tblCellMar>
        </w:tblPrEx>
        <w:trPr>
          <w:jc w:val="center"/>
        </w:trPr>
        <w:tc>
          <w:tcPr>
            <w:tcW w:w="3071" w:type="pct"/>
            <w:gridSpan w:val="5"/>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928"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2892" w:type="pct"/>
            <w:gridSpan w:val="3"/>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本年支出 </w:t>
            </w:r>
          </w:p>
        </w:tc>
      </w:tr>
      <w:tr>
        <w:tblPrEx>
          <w:tblCellMar>
            <w:top w:w="0" w:type="dxa"/>
            <w:left w:w="0" w:type="dxa"/>
            <w:bottom w:w="0" w:type="dxa"/>
            <w:right w:w="0" w:type="dxa"/>
          </w:tblCellMar>
        </w:tblPrEx>
        <w:trPr>
          <w:jc w:val="center"/>
        </w:trPr>
        <w:tc>
          <w:tcPr>
            <w:tcW w:w="424" w:type="pct"/>
            <w:gridSpan w:val="3"/>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功能分类科目编码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项目支出 </w:t>
            </w: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964"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964"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964"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r>
      <w:tr>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1,796.32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99.86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1,696.46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一般公共服务支出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9.97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政府办公厅（室）及相关机构事务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2010301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9.07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2019999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其他一般公共服务支出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0.90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社会保障和就业支出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行政事业单位养老支出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2080505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机关事业单位基本养老保险缴费支出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卫生健康支出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行政事业单位医疗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2101101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行政单位医疗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2.99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农林水支出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1,773.80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77.34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1,696.46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农业农村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275.10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2130142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农村道路建设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199.00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2130199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其他农业农村支出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76.10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扶贫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1,498.70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77.34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1,421.35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行政运行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75.38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75.38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2130599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其他扶贫支出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1,423.32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1.97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1,421.35 </w:t>
            </w: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住房保障支出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住房改革支出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2210201 </w:t>
            </w:r>
          </w:p>
        </w:tc>
        <w:tc>
          <w:tcPr>
            <w:tcW w:w="168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住房公积金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3.95 </w:t>
            </w:r>
          </w:p>
        </w:tc>
        <w:tc>
          <w:tcPr>
            <w:tcW w:w="96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注：本表反映部门本年度一般公共预算财政拨款支出情况。本表金额转换为万元时，因四舍五入可能存在尾数误差。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一般公共预算财政拨款基本支出决算明细表 </w:t>
            </w:r>
          </w:p>
        </w:tc>
      </w:tr>
      <w:tr>
        <w:tblPrEx>
          <w:tblCellMar>
            <w:top w:w="0" w:type="dxa"/>
            <w:left w:w="0" w:type="dxa"/>
            <w:bottom w:w="0" w:type="dxa"/>
            <w:right w:w="0" w:type="dxa"/>
          </w:tblCellMar>
        </w:tblPrEx>
        <w:trPr>
          <w:jc w:val="center"/>
        </w:trPr>
        <w:tc>
          <w:tcPr>
            <w:tcW w:w="224" w:type="pct"/>
            <w:tcBorders>
              <w:top w:val="nil"/>
              <w:left w:val="nil"/>
              <w:bottom w:val="nil"/>
              <w:right w:val="nil"/>
            </w:tcBorders>
            <w:vAlign w:val="center"/>
          </w:tcPr>
          <w:p>
            <w:pPr>
              <w:pStyle w:val="9"/>
              <w:rPr>
                <w:rFonts w:hint="eastAsia" w:cs="Times New Roman"/>
              </w:rPr>
            </w:pPr>
          </w:p>
        </w:tc>
        <w:tc>
          <w:tcPr>
            <w:tcW w:w="1053" w:type="pct"/>
            <w:tcBorders>
              <w:top w:val="nil"/>
              <w:left w:val="nil"/>
              <w:bottom w:val="nil"/>
              <w:right w:val="nil"/>
            </w:tcBorders>
            <w:vAlign w:val="center"/>
          </w:tcPr>
          <w:p>
            <w:pPr>
              <w:pStyle w:val="9"/>
              <w:rPr>
                <w:rFonts w:hint="eastAsia" w:cs="Times New Roman"/>
              </w:rPr>
            </w:pPr>
          </w:p>
        </w:tc>
        <w:tc>
          <w:tcPr>
            <w:tcW w:w="538" w:type="pct"/>
            <w:tcBorders>
              <w:top w:val="nil"/>
              <w:left w:val="nil"/>
              <w:bottom w:val="nil"/>
              <w:right w:val="nil"/>
            </w:tcBorders>
            <w:vAlign w:val="center"/>
          </w:tcPr>
          <w:p>
            <w:pPr>
              <w:pStyle w:val="9"/>
              <w:rPr>
                <w:rFonts w:hint="eastAsia" w:cs="Times New Roman"/>
              </w:rPr>
            </w:pPr>
          </w:p>
        </w:tc>
        <w:tc>
          <w:tcPr>
            <w:tcW w:w="224" w:type="pct"/>
            <w:tcBorders>
              <w:top w:val="nil"/>
              <w:left w:val="nil"/>
              <w:bottom w:val="nil"/>
              <w:right w:val="nil"/>
            </w:tcBorders>
            <w:vAlign w:val="center"/>
          </w:tcPr>
          <w:p>
            <w:pPr>
              <w:pStyle w:val="9"/>
              <w:rPr>
                <w:rFonts w:hint="eastAsia" w:cs="Times New Roman"/>
              </w:rPr>
            </w:pPr>
          </w:p>
        </w:tc>
        <w:tc>
          <w:tcPr>
            <w:tcW w:w="829" w:type="pct"/>
            <w:tcBorders>
              <w:top w:val="nil"/>
              <w:left w:val="nil"/>
              <w:bottom w:val="nil"/>
              <w:right w:val="nil"/>
            </w:tcBorders>
            <w:vAlign w:val="center"/>
          </w:tcPr>
          <w:p>
            <w:pPr>
              <w:pStyle w:val="9"/>
              <w:rPr>
                <w:rFonts w:hint="eastAsia" w:cs="Times New Roman"/>
              </w:rPr>
            </w:pPr>
          </w:p>
        </w:tc>
        <w:tc>
          <w:tcPr>
            <w:tcW w:w="538" w:type="pct"/>
            <w:tcBorders>
              <w:top w:val="nil"/>
              <w:left w:val="nil"/>
              <w:bottom w:val="nil"/>
              <w:right w:val="nil"/>
            </w:tcBorders>
            <w:vAlign w:val="center"/>
          </w:tcPr>
          <w:p>
            <w:pPr>
              <w:pStyle w:val="9"/>
              <w:rPr>
                <w:rFonts w:hint="eastAsia" w:cs="Times New Roman"/>
              </w:rPr>
            </w:pPr>
          </w:p>
        </w:tc>
        <w:tc>
          <w:tcPr>
            <w:tcW w:w="224" w:type="pct"/>
            <w:tcBorders>
              <w:top w:val="nil"/>
              <w:left w:val="nil"/>
              <w:bottom w:val="nil"/>
              <w:right w:val="nil"/>
            </w:tcBorders>
            <w:vAlign w:val="center"/>
          </w:tcPr>
          <w:p>
            <w:pPr>
              <w:pStyle w:val="9"/>
              <w:rPr>
                <w:rFonts w:hint="eastAsia" w:cs="Times New Roman"/>
              </w:rPr>
            </w:pPr>
          </w:p>
        </w:tc>
        <w:tc>
          <w:tcPr>
            <w:tcW w:w="1367"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18"/>
                <w:szCs w:val="18"/>
              </w:rPr>
              <w:t xml:space="preserve">公开06表 </w:t>
            </w:r>
          </w:p>
        </w:tc>
      </w:tr>
      <w:tr>
        <w:tblPrEx>
          <w:tblCellMar>
            <w:top w:w="0" w:type="dxa"/>
            <w:left w:w="0" w:type="dxa"/>
            <w:bottom w:w="0" w:type="dxa"/>
            <w:right w:w="0" w:type="dxa"/>
          </w:tblCellMar>
        </w:tblPrEx>
        <w:trPr>
          <w:jc w:val="center"/>
        </w:trPr>
        <w:tc>
          <w:tcPr>
            <w:tcW w:w="3632" w:type="pct"/>
            <w:gridSpan w:val="7"/>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367"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18"/>
                <w:szCs w:val="18"/>
              </w:rPr>
              <w:t xml:space="preserve">金额单位：万元 </w:t>
            </w:r>
          </w:p>
        </w:tc>
      </w:tr>
      <w:tr>
        <w:tblPrEx>
          <w:tblCellMar>
            <w:top w:w="0" w:type="dxa"/>
            <w:left w:w="0" w:type="dxa"/>
            <w:bottom w:w="0" w:type="dxa"/>
            <w:right w:w="0" w:type="dxa"/>
          </w:tblCellMar>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人员经费 </w:t>
            </w:r>
          </w:p>
        </w:tc>
        <w:tc>
          <w:tcPr>
            <w:tcW w:w="3183" w:type="pct"/>
            <w:gridSpan w:val="6"/>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公用经费 </w:t>
            </w:r>
          </w:p>
        </w:tc>
      </w:tr>
      <w:tr>
        <w:tblPrEx>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科目编码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科目编码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决算数 </w:t>
            </w:r>
          </w:p>
        </w:tc>
      </w:tr>
      <w:tr>
        <w:tblPrEx>
          <w:tblCellMar>
            <w:top w:w="0" w:type="dxa"/>
            <w:left w:w="0" w:type="dxa"/>
            <w:bottom w:w="0" w:type="dxa"/>
            <w:right w:w="0" w:type="dxa"/>
          </w:tblCellMar>
        </w:tblPrEx>
        <w:trPr>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301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工资福利支出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65.13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302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商品和服务支出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34.73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307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债务利息及费用支出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30101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基本工资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17.42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办公费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9.21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30701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国内债务付息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30102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津贴补贴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13.48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印刷费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30702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国外债务付息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30103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奖金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17.89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30203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咨询费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310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资本性支出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30106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伙食补助费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30204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手续费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房屋建筑物购建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30107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绩效工资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30205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0.36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办公设备购置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30108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机关事业单位基本养老保险缴费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5.61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30206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电费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31003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专用设备购置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30109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职业年金缴费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邮电费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0.11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31005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基础设施建设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30110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职工基本医疗保险缴费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4.88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30208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取暖费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31006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大型修缮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30111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公务员医疗补助缴费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30209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物业管理费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信息网络及软件购置更新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30112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其他社会保障缴费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差旅费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0.56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31008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物资储备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30113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住房公积金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5.84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因公出国（境）费用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31009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土地补偿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30114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医疗费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30213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维修（护）费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0.20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31010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安置补助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30199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其他工资福利支出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30214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租赁费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31011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地上附着物和青苗补偿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303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对个人和家庭的补助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30215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会议费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0.10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31012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拆迁补偿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30301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离休费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30216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培训费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0.23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31013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公务用车购置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30302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退休费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公务接待费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31019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其他交通工具购置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30303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退职（役）费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30218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专用材料费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31021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文物和陈列品购置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30304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抚恤金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30224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被装购置费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31022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无形资产购置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30305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生活补助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30225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专用燃料费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31099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其他资本性支出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30306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救济费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30226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劳务费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6.30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399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b/>
                <w:bCs/>
                <w:sz w:val="22"/>
                <w:szCs w:val="22"/>
              </w:rPr>
              <w:t xml:space="preserve">其他支出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30307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医疗费补助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委托业务费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39906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赠与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30308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助学金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30228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工会经费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4.00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39907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国家赔偿费用支出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30309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奖励金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30229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福利费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39908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对民间非营利组织和群众性自治组织补贴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30310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个人农业生产补贴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30231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公务用车运行维护费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39999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30311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代缴社会保险费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30239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其他交通费用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4.14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30399 </w:t>
            </w: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其他对个人和家庭的补助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30240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税金及附加费用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53"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30299 </w:t>
            </w: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其他商品和服务支出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9.52 </w:t>
            </w:r>
          </w:p>
        </w:tc>
        <w:tc>
          <w:tcPr>
            <w:tcW w:w="224"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29"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人员经费合计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65.13 </w:t>
            </w:r>
          </w:p>
        </w:tc>
        <w:tc>
          <w:tcPr>
            <w:tcW w:w="2645" w:type="pct"/>
            <w:gridSpan w:val="5"/>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b/>
                <w:bCs/>
                <w:sz w:val="22"/>
                <w:szCs w:val="22"/>
              </w:rPr>
              <w:t xml:space="preserve">公用经费合计 </w:t>
            </w:r>
          </w:p>
        </w:tc>
        <w:tc>
          <w:tcPr>
            <w:tcW w:w="53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34.73 </w:t>
            </w:r>
          </w:p>
        </w:tc>
      </w:tr>
      <w:tr>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注：本表反映部门本年度一般公共预算财政拨款基本支出明细情况。本表金额转换为万元时，因四舍五入可能存在尾数误差。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CellMar>
            <w:top w:w="0" w:type="dxa"/>
            <w:left w:w="0" w:type="dxa"/>
            <w:bottom w:w="0" w:type="dxa"/>
            <w:right w:w="0" w:type="dxa"/>
          </w:tblCellMar>
        </w:tblPrEx>
        <w:trPr>
          <w:jc w:val="center"/>
        </w:trPr>
        <w:tc>
          <w:tcPr>
            <w:tcW w:w="5000" w:type="pct"/>
            <w:gridSpan w:val="12"/>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一般公共预算财政拨款“三公”经费支出决算表 </w:t>
            </w:r>
          </w:p>
        </w:tc>
      </w:tr>
      <w:tr>
        <w:tblPrEx>
          <w:tblCellMar>
            <w:top w:w="0" w:type="dxa"/>
            <w:left w:w="0" w:type="dxa"/>
            <w:bottom w:w="0" w:type="dxa"/>
            <w:right w:w="0" w:type="dxa"/>
          </w:tblCellMar>
        </w:tblPrEx>
        <w:trPr>
          <w:jc w:val="center"/>
        </w:trPr>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416" w:type="pct"/>
            <w:tcBorders>
              <w:top w:val="nil"/>
              <w:left w:val="nil"/>
              <w:bottom w:val="nil"/>
              <w:right w:val="nil"/>
            </w:tcBorders>
            <w:vAlign w:val="center"/>
          </w:tcPr>
          <w:p>
            <w:pPr>
              <w:pStyle w:val="9"/>
              <w:rPr>
                <w:rFonts w:hint="eastAsia" w:cs="Times New Roman"/>
              </w:rPr>
            </w:pPr>
          </w:p>
        </w:tc>
        <w:tc>
          <w:tcPr>
            <w:tcW w:w="833"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公开07表 </w:t>
            </w:r>
          </w:p>
        </w:tc>
      </w:tr>
      <w:tr>
        <w:tblPrEx>
          <w:tblCellMar>
            <w:top w:w="0" w:type="dxa"/>
            <w:left w:w="0" w:type="dxa"/>
            <w:bottom w:w="0" w:type="dxa"/>
            <w:right w:w="0" w:type="dxa"/>
          </w:tblCellMar>
        </w:tblPrEx>
        <w:trPr>
          <w:jc w:val="center"/>
        </w:trPr>
        <w:tc>
          <w:tcPr>
            <w:tcW w:w="4166" w:type="pct"/>
            <w:gridSpan w:val="10"/>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833"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预算数 </w:t>
            </w:r>
          </w:p>
        </w:tc>
        <w:tc>
          <w:tcPr>
            <w:tcW w:w="2500" w:type="pct"/>
            <w:gridSpan w:val="6"/>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决算数 </w:t>
            </w:r>
          </w:p>
        </w:tc>
      </w:tr>
      <w:tr>
        <w:tblPrEx>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因公出国（境）费 </w:t>
            </w:r>
          </w:p>
        </w:tc>
        <w:tc>
          <w:tcPr>
            <w:tcW w:w="1250" w:type="pct"/>
            <w:gridSpan w:val="3"/>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公务接待费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因公出国（境）费 </w:t>
            </w:r>
          </w:p>
        </w:tc>
        <w:tc>
          <w:tcPr>
            <w:tcW w:w="1250" w:type="pct"/>
            <w:gridSpan w:val="3"/>
            <w:tcBorders>
              <w:top w:val="single" w:color="666666" w:sz="6" w:space="0"/>
              <w:left w:val="nil"/>
              <w:bottom w:val="nil"/>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公务接待费 </w:t>
            </w:r>
          </w:p>
        </w:tc>
      </w:tr>
      <w:tr>
        <w:tblPrEx>
          <w:tblCellMar>
            <w:top w:w="0" w:type="dxa"/>
            <w:left w:w="0" w:type="dxa"/>
            <w:bottom w:w="0" w:type="dxa"/>
            <w:right w:w="0" w:type="dxa"/>
          </w:tblCellMar>
        </w:tblPrEx>
        <w:trPr>
          <w:jc w:val="center"/>
        </w:trPr>
        <w:tc>
          <w:tcPr>
            <w:tcW w:w="0" w:type="auto"/>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小计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公务用车运行费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小计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公务用车运行费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7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8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9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10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11 </w:t>
            </w:r>
          </w:p>
        </w:tc>
        <w:tc>
          <w:tcPr>
            <w:tcW w:w="416"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12 </w:t>
            </w:r>
          </w:p>
        </w:tc>
      </w:tr>
      <w:tr>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0.30 </w:t>
            </w: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sz w:val="22"/>
                <w:szCs w:val="22"/>
              </w:rPr>
              <w:t xml:space="preserve">0.30 </w:t>
            </w: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16"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12"/>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政府性基金预算财政拨款收入支出决算表 </w:t>
            </w:r>
          </w:p>
        </w:tc>
      </w:tr>
      <w:tr>
        <w:tblPrEx>
          <w:tblCellMar>
            <w:top w:w="0" w:type="dxa"/>
            <w:left w:w="0" w:type="dxa"/>
            <w:bottom w:w="0" w:type="dxa"/>
            <w:right w:w="0" w:type="dxa"/>
          </w:tblCellMar>
        </w:tblPrEx>
        <w:trPr>
          <w:jc w:val="center"/>
        </w:trPr>
        <w:tc>
          <w:tcPr>
            <w:tcW w:w="104" w:type="pct"/>
            <w:tcBorders>
              <w:top w:val="nil"/>
              <w:left w:val="nil"/>
              <w:bottom w:val="nil"/>
              <w:right w:val="nil"/>
            </w:tcBorders>
            <w:vAlign w:val="center"/>
          </w:tcPr>
          <w:p>
            <w:pPr>
              <w:pStyle w:val="9"/>
              <w:rPr>
                <w:rFonts w:hint="eastAsia" w:cs="Times New Roman"/>
              </w:rPr>
            </w:pPr>
          </w:p>
        </w:tc>
        <w:tc>
          <w:tcPr>
            <w:tcW w:w="104" w:type="pct"/>
            <w:tcBorders>
              <w:top w:val="nil"/>
              <w:left w:val="nil"/>
              <w:bottom w:val="nil"/>
              <w:right w:val="nil"/>
            </w:tcBorders>
            <w:vAlign w:val="center"/>
          </w:tcPr>
          <w:p>
            <w:pPr>
              <w:pStyle w:val="9"/>
              <w:rPr>
                <w:rFonts w:hint="eastAsia" w:cs="Times New Roman"/>
              </w:rPr>
            </w:pPr>
          </w:p>
        </w:tc>
        <w:tc>
          <w:tcPr>
            <w:tcW w:w="104" w:type="pct"/>
            <w:tcBorders>
              <w:top w:val="nil"/>
              <w:left w:val="nil"/>
              <w:bottom w:val="nil"/>
              <w:right w:val="nil"/>
            </w:tcBorders>
            <w:vAlign w:val="center"/>
          </w:tcPr>
          <w:p>
            <w:pPr>
              <w:pStyle w:val="9"/>
              <w:rPr>
                <w:rFonts w:hint="eastAsia" w:cs="Times New Roman"/>
              </w:rPr>
            </w:pPr>
          </w:p>
        </w:tc>
        <w:tc>
          <w:tcPr>
            <w:tcW w:w="1078" w:type="pct"/>
            <w:tcBorders>
              <w:top w:val="nil"/>
              <w:left w:val="nil"/>
              <w:bottom w:val="nil"/>
              <w:right w:val="nil"/>
            </w:tcBorders>
            <w:vAlign w:val="center"/>
          </w:tcPr>
          <w:p>
            <w:pPr>
              <w:pStyle w:val="9"/>
              <w:rPr>
                <w:rFonts w:hint="eastAsia" w:cs="Times New Roman"/>
              </w:rPr>
            </w:pPr>
          </w:p>
        </w:tc>
        <w:tc>
          <w:tcPr>
            <w:tcW w:w="368" w:type="pct"/>
            <w:tcBorders>
              <w:top w:val="nil"/>
              <w:left w:val="nil"/>
              <w:bottom w:val="nil"/>
              <w:right w:val="nil"/>
            </w:tcBorders>
            <w:vAlign w:val="center"/>
          </w:tcPr>
          <w:p>
            <w:pPr>
              <w:pStyle w:val="9"/>
              <w:rPr>
                <w:rFonts w:hint="eastAsia" w:cs="Times New Roman"/>
              </w:rPr>
            </w:pPr>
          </w:p>
        </w:tc>
        <w:tc>
          <w:tcPr>
            <w:tcW w:w="614" w:type="pct"/>
            <w:tcBorders>
              <w:top w:val="nil"/>
              <w:left w:val="nil"/>
              <w:bottom w:val="nil"/>
              <w:right w:val="nil"/>
            </w:tcBorders>
            <w:vAlign w:val="center"/>
          </w:tcPr>
          <w:p>
            <w:pPr>
              <w:pStyle w:val="9"/>
              <w:rPr>
                <w:rFonts w:hint="eastAsia" w:cs="Times New Roman"/>
              </w:rPr>
            </w:pPr>
          </w:p>
        </w:tc>
        <w:tc>
          <w:tcPr>
            <w:tcW w:w="335" w:type="pct"/>
            <w:tcBorders>
              <w:top w:val="nil"/>
              <w:left w:val="nil"/>
              <w:bottom w:val="nil"/>
              <w:right w:val="nil"/>
            </w:tcBorders>
            <w:vAlign w:val="center"/>
          </w:tcPr>
          <w:p>
            <w:pPr>
              <w:pStyle w:val="9"/>
              <w:rPr>
                <w:rFonts w:hint="eastAsia" w:cs="Times New Roman"/>
              </w:rPr>
            </w:pPr>
          </w:p>
        </w:tc>
        <w:tc>
          <w:tcPr>
            <w:tcW w:w="473" w:type="pct"/>
            <w:tcBorders>
              <w:top w:val="nil"/>
              <w:left w:val="nil"/>
              <w:bottom w:val="nil"/>
              <w:right w:val="nil"/>
            </w:tcBorders>
            <w:vAlign w:val="center"/>
          </w:tcPr>
          <w:p>
            <w:pPr>
              <w:pStyle w:val="9"/>
              <w:rPr>
                <w:rFonts w:hint="eastAsia" w:cs="Times New Roman"/>
              </w:rPr>
            </w:pPr>
          </w:p>
        </w:tc>
        <w:tc>
          <w:tcPr>
            <w:tcW w:w="1816"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公开08表 </w:t>
            </w:r>
          </w:p>
        </w:tc>
      </w:tr>
      <w:tr>
        <w:tblPrEx>
          <w:tblCellMar>
            <w:top w:w="0" w:type="dxa"/>
            <w:left w:w="0" w:type="dxa"/>
            <w:bottom w:w="0" w:type="dxa"/>
            <w:right w:w="0" w:type="dxa"/>
          </w:tblCellMar>
        </w:tblPrEx>
        <w:trPr>
          <w:jc w:val="center"/>
        </w:trPr>
        <w:tc>
          <w:tcPr>
            <w:tcW w:w="3183" w:type="pct"/>
            <w:gridSpan w:val="8"/>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816"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年初结转和结余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本年收入 </w:t>
            </w:r>
          </w:p>
        </w:tc>
        <w:tc>
          <w:tcPr>
            <w:tcW w:w="1281" w:type="pct"/>
            <w:gridSpan w:val="3"/>
            <w:tcBorders>
              <w:top w:val="single" w:color="666666" w:sz="6" w:space="0"/>
              <w:left w:val="nil"/>
              <w:bottom w:val="nil"/>
              <w:right w:val="single" w:color="666666" w:sz="6" w:space="0"/>
            </w:tcBorders>
            <w:vAlign w:val="center"/>
          </w:tcPr>
          <w:p>
            <w:pPr>
              <w:pStyle w:val="9"/>
              <w:jc w:val="center"/>
              <w:rPr>
                <w:rFonts w:hint="eastAsia" w:cs="Times New Roman"/>
              </w:rPr>
            </w:pPr>
            <w:r>
              <w:rPr>
                <w:rFonts w:hint="eastAsia" w:cs="Times New Roman"/>
                <w:sz w:val="22"/>
                <w:szCs w:val="22"/>
              </w:rPr>
              <w:t xml:space="preserve">本年支出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年末结转和结余 </w:t>
            </w:r>
          </w:p>
        </w:tc>
      </w:tr>
      <w:tr>
        <w:tblPrEx>
          <w:tblCellMar>
            <w:top w:w="0" w:type="dxa"/>
            <w:left w:w="0" w:type="dxa"/>
            <w:bottom w:w="0" w:type="dxa"/>
            <w:right w:w="0" w:type="dxa"/>
          </w:tblCellMar>
        </w:tblPrEx>
        <w:trPr>
          <w:jc w:val="center"/>
        </w:trPr>
        <w:tc>
          <w:tcPr>
            <w:tcW w:w="312" w:type="pct"/>
            <w:gridSpan w:val="3"/>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功能分类科目编码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项目支出 </w:t>
            </w: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368"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614"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335"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c>
          <w:tcPr>
            <w:tcW w:w="47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4 </w:t>
            </w:r>
          </w:p>
        </w:tc>
        <w:tc>
          <w:tcPr>
            <w:tcW w:w="47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5 </w:t>
            </w:r>
          </w:p>
        </w:tc>
        <w:tc>
          <w:tcPr>
            <w:tcW w:w="134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6 </w:t>
            </w:r>
          </w:p>
        </w:tc>
      </w:tr>
      <w:tr>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本年度无该项支出 </w:t>
            </w: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078"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368"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614"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335"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47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13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注：本表反映部门本年度政府性基金预算财政拨款收入、支出及结转和结余情况。本表金额转换为万元时，因四舍五入可能存在尾数误差。 </w:t>
            </w:r>
          </w:p>
        </w:tc>
      </w:tr>
    </w:tbl>
    <w:p>
      <w:pPr>
        <w:pStyle w:val="9"/>
        <w:rPr>
          <w:rFonts w:hint="eastAsia"/>
        </w:rPr>
      </w:pPr>
      <w:r>
        <w:rPr>
          <w:rFonts w:hint="eastAsia"/>
        </w:rPr>
        <w:t xml:space="preserve"> </w:t>
      </w:r>
    </w:p>
    <w:p>
      <w:pPr>
        <w:spacing w:after="2"/>
        <w:jc w:val="center"/>
        <w:rPr>
          <w:rFonts w:hint="eastAsia"/>
        </w:rPr>
      </w:pPr>
      <w:r>
        <w:rPr>
          <w:rFonts w:hint="eastAsia"/>
        </w:rPr>
        <w:t xml:space="preserve"> </w:t>
      </w:r>
    </w:p>
    <w:tbl>
      <w:tblPr>
        <w:tblStyle w:val="10"/>
        <w:tblW w:w="5000" w:type="pct"/>
        <w:jc w:val="center"/>
        <w:tblLayout w:type="autofit"/>
        <w:tblCellMar>
          <w:top w:w="0" w:type="dxa"/>
          <w:left w:w="0" w:type="dxa"/>
          <w:bottom w:w="0" w:type="dxa"/>
          <w:right w:w="0" w:type="dxa"/>
        </w:tblCellMar>
      </w:tblPr>
      <w:tblGrid>
        <w:gridCol w:w="529"/>
        <w:gridCol w:w="529"/>
        <w:gridCol w:w="532"/>
        <w:gridCol w:w="6329"/>
        <w:gridCol w:w="2707"/>
        <w:gridCol w:w="2704"/>
        <w:gridCol w:w="2708"/>
      </w:tblGrid>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9"/>
              <w:jc w:val="center"/>
              <w:rPr>
                <w:rFonts w:hint="eastAsia" w:cs="Times New Roman"/>
              </w:rPr>
            </w:pPr>
            <w:r>
              <w:rPr>
                <w:rFonts w:hint="eastAsia" w:cs="Times New Roman"/>
                <w:sz w:val="40"/>
                <w:szCs w:val="40"/>
              </w:rPr>
              <w:t xml:space="preserve">国有资本经营预算财政拨款支出决算表 </w:t>
            </w:r>
          </w:p>
        </w:tc>
      </w:tr>
      <w:tr>
        <w:tblPrEx>
          <w:tblCellMar>
            <w:top w:w="0" w:type="dxa"/>
            <w:left w:w="0" w:type="dxa"/>
            <w:bottom w:w="0" w:type="dxa"/>
            <w:right w:w="0" w:type="dxa"/>
          </w:tblCellMar>
        </w:tblPrEx>
        <w:trPr>
          <w:jc w:val="center"/>
        </w:trPr>
        <w:tc>
          <w:tcPr>
            <w:tcW w:w="165" w:type="pct"/>
            <w:tcBorders>
              <w:top w:val="nil"/>
              <w:left w:val="nil"/>
              <w:bottom w:val="nil"/>
              <w:right w:val="nil"/>
            </w:tcBorders>
            <w:vAlign w:val="center"/>
          </w:tcPr>
          <w:p>
            <w:pPr>
              <w:pStyle w:val="9"/>
              <w:rPr>
                <w:rFonts w:hint="eastAsia" w:cs="Times New Roman"/>
              </w:rPr>
            </w:pPr>
          </w:p>
        </w:tc>
        <w:tc>
          <w:tcPr>
            <w:tcW w:w="165" w:type="pct"/>
            <w:tcBorders>
              <w:top w:val="nil"/>
              <w:left w:val="nil"/>
              <w:bottom w:val="nil"/>
              <w:right w:val="nil"/>
            </w:tcBorders>
            <w:vAlign w:val="center"/>
          </w:tcPr>
          <w:p>
            <w:pPr>
              <w:pStyle w:val="9"/>
              <w:rPr>
                <w:rFonts w:hint="eastAsia" w:cs="Times New Roman"/>
              </w:rPr>
            </w:pPr>
          </w:p>
        </w:tc>
        <w:tc>
          <w:tcPr>
            <w:tcW w:w="165" w:type="pct"/>
            <w:tcBorders>
              <w:top w:val="nil"/>
              <w:left w:val="nil"/>
              <w:bottom w:val="nil"/>
              <w:right w:val="nil"/>
            </w:tcBorders>
            <w:vAlign w:val="center"/>
          </w:tcPr>
          <w:p>
            <w:pPr>
              <w:pStyle w:val="9"/>
              <w:rPr>
                <w:rFonts w:hint="eastAsia" w:cs="Times New Roman"/>
              </w:rPr>
            </w:pPr>
          </w:p>
        </w:tc>
        <w:tc>
          <w:tcPr>
            <w:tcW w:w="1972" w:type="pct"/>
            <w:tcBorders>
              <w:top w:val="nil"/>
              <w:left w:val="nil"/>
              <w:bottom w:val="nil"/>
              <w:right w:val="nil"/>
            </w:tcBorders>
            <w:vAlign w:val="center"/>
          </w:tcPr>
          <w:p>
            <w:pPr>
              <w:pStyle w:val="9"/>
              <w:rPr>
                <w:rFonts w:hint="eastAsia" w:cs="Times New Roman"/>
              </w:rPr>
            </w:pPr>
          </w:p>
        </w:tc>
        <w:tc>
          <w:tcPr>
            <w:tcW w:w="843" w:type="pct"/>
            <w:tcBorders>
              <w:top w:val="nil"/>
              <w:left w:val="nil"/>
              <w:bottom w:val="nil"/>
              <w:right w:val="nil"/>
            </w:tcBorders>
            <w:vAlign w:val="center"/>
          </w:tcPr>
          <w:p>
            <w:pPr>
              <w:pStyle w:val="9"/>
              <w:rPr>
                <w:rFonts w:hint="eastAsia" w:cs="Times New Roman"/>
              </w:rPr>
            </w:pPr>
          </w:p>
        </w:tc>
        <w:tc>
          <w:tcPr>
            <w:tcW w:w="1686" w:type="pct"/>
            <w:gridSpan w:val="2"/>
            <w:tcBorders>
              <w:top w:val="nil"/>
              <w:left w:val="nil"/>
              <w:bottom w:val="nil"/>
              <w:right w:val="nil"/>
            </w:tcBorders>
            <w:vAlign w:val="center"/>
          </w:tcPr>
          <w:p>
            <w:pPr>
              <w:pStyle w:val="9"/>
              <w:jc w:val="right"/>
              <w:rPr>
                <w:rFonts w:hint="eastAsia" w:cs="Times New Roman"/>
              </w:rPr>
            </w:pPr>
            <w:r>
              <w:rPr>
                <w:rFonts w:hint="eastAsia" w:cs="Times New Roman"/>
                <w:sz w:val="20"/>
                <w:szCs w:val="20"/>
              </w:rPr>
              <w:t xml:space="preserve">公开09表 </w:t>
            </w:r>
          </w:p>
        </w:tc>
      </w:tr>
      <w:tr>
        <w:tblPrEx>
          <w:tblCellMar>
            <w:top w:w="0" w:type="dxa"/>
            <w:left w:w="0" w:type="dxa"/>
            <w:bottom w:w="0" w:type="dxa"/>
            <w:right w:w="0" w:type="dxa"/>
          </w:tblCellMar>
        </w:tblPrEx>
        <w:trPr>
          <w:jc w:val="center"/>
        </w:trPr>
        <w:tc>
          <w:tcPr>
            <w:tcW w:w="3313" w:type="pct"/>
            <w:gridSpan w:val="5"/>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部门：石鼓区乡村振兴局 </w:t>
            </w:r>
          </w:p>
        </w:tc>
        <w:tc>
          <w:tcPr>
            <w:tcW w:w="1686" w:type="pct"/>
            <w:gridSpan w:val="2"/>
            <w:tcBorders>
              <w:top w:val="nil"/>
              <w:left w:val="nil"/>
              <w:bottom w:val="single" w:color="666666" w:sz="6" w:space="0"/>
              <w:right w:val="nil"/>
            </w:tcBorders>
            <w:vAlign w:val="center"/>
          </w:tcPr>
          <w:p>
            <w:pPr>
              <w:pStyle w:val="9"/>
              <w:jc w:val="right"/>
              <w:rPr>
                <w:rFonts w:hint="eastAsia" w:cs="Times New Roman"/>
              </w:rPr>
            </w:pPr>
            <w:r>
              <w:rPr>
                <w:rFonts w:hint="eastAsia" w:cs="Times New Roman"/>
                <w:sz w:val="20"/>
                <w:szCs w:val="20"/>
              </w:rPr>
              <w:t xml:space="preserve">金额单位：万元 </w:t>
            </w: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 </w:t>
            </w:r>
          </w:p>
        </w:tc>
        <w:tc>
          <w:tcPr>
            <w:tcW w:w="2530" w:type="pct"/>
            <w:gridSpan w:val="3"/>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本年支出 </w:t>
            </w:r>
          </w:p>
        </w:tc>
      </w:tr>
      <w:tr>
        <w:tblPrEx>
          <w:tblCellMar>
            <w:top w:w="0" w:type="dxa"/>
            <w:left w:w="0" w:type="dxa"/>
            <w:bottom w:w="0" w:type="dxa"/>
            <w:right w:w="0" w:type="dxa"/>
          </w:tblCellMar>
        </w:tblPrEx>
        <w:trPr>
          <w:jc w:val="center"/>
        </w:trPr>
        <w:tc>
          <w:tcPr>
            <w:tcW w:w="496" w:type="pct"/>
            <w:gridSpan w:val="3"/>
            <w:vMerge w:val="restart"/>
            <w:tcBorders>
              <w:top w:val="nil"/>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功能分类科目编码 </w:t>
            </w:r>
          </w:p>
        </w:tc>
        <w:tc>
          <w:tcPr>
            <w:tcW w:w="0" w:type="pct"/>
            <w:vMerge w:val="restart"/>
            <w:tcBorders>
              <w:top w:val="nil"/>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项目支出 </w:t>
            </w: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pPr>
              <w:widowControl/>
              <w:jc w:val="left"/>
              <w:rPr>
                <w:rFonts w:ascii="宋体" w:eastAsia="宋体"/>
                <w:kern w:val="0"/>
                <w:sz w:val="24"/>
                <w:szCs w:val="24"/>
              </w:rPr>
            </w:pP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栏次 </w:t>
            </w:r>
          </w:p>
        </w:tc>
        <w:tc>
          <w:tcPr>
            <w:tcW w:w="84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1 </w:t>
            </w:r>
          </w:p>
        </w:tc>
        <w:tc>
          <w:tcPr>
            <w:tcW w:w="84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2 </w:t>
            </w:r>
          </w:p>
        </w:tc>
        <w:tc>
          <w:tcPr>
            <w:tcW w:w="843" w:type="pct"/>
            <w:tcBorders>
              <w:top w:val="single" w:color="666666" w:sz="6" w:space="0"/>
              <w:left w:val="nil"/>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3 </w:t>
            </w:r>
          </w:p>
        </w:tc>
      </w:tr>
      <w:tr>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9"/>
              <w:jc w:val="center"/>
              <w:rPr>
                <w:rFonts w:hint="eastAsia" w:cs="Times New Roman"/>
              </w:rPr>
            </w:pPr>
            <w:r>
              <w:rPr>
                <w:rFonts w:hint="eastAsia" w:cs="Times New Roman"/>
                <w:sz w:val="22"/>
                <w:szCs w:val="22"/>
              </w:rPr>
              <w:t xml:space="preserve">合计 </w:t>
            </w: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r>
              <w:rPr>
                <w:rFonts w:hint="eastAsia" w:cs="Times New Roman"/>
                <w:b/>
                <w:bCs/>
                <w:sz w:val="22"/>
                <w:szCs w:val="22"/>
              </w:rPr>
              <w:t xml:space="preserve">0.00 </w:t>
            </w: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r>
              <w:rPr>
                <w:rFonts w:hint="eastAsia" w:cs="Times New Roman"/>
                <w:sz w:val="22"/>
                <w:szCs w:val="22"/>
              </w:rPr>
              <w:t xml:space="preserve">本年度无该项支出 </w:t>
            </w: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pStyle w:val="9"/>
              <w:rPr>
                <w:rFonts w:hint="eastAsia" w:cs="Times New Roman"/>
              </w:rPr>
            </w:pPr>
          </w:p>
        </w:tc>
        <w:tc>
          <w:tcPr>
            <w:tcW w:w="1972" w:type="pct"/>
            <w:tcBorders>
              <w:top w:val="single" w:color="666666" w:sz="6" w:space="0"/>
              <w:left w:val="nil"/>
              <w:bottom w:val="single" w:color="666666" w:sz="6" w:space="0"/>
              <w:right w:val="single" w:color="666666" w:sz="6" w:space="0"/>
            </w:tcBorders>
            <w:vAlign w:val="center"/>
          </w:tcPr>
          <w:p>
            <w:pPr>
              <w:pStyle w:val="9"/>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c>
          <w:tcPr>
            <w:tcW w:w="843" w:type="pct"/>
            <w:tcBorders>
              <w:top w:val="single" w:color="666666" w:sz="6" w:space="0"/>
              <w:left w:val="nil"/>
              <w:bottom w:val="single" w:color="666666" w:sz="6" w:space="0"/>
              <w:right w:val="single" w:color="666666" w:sz="6" w:space="0"/>
            </w:tcBorders>
            <w:vAlign w:val="center"/>
          </w:tcPr>
          <w:p>
            <w:pPr>
              <w:pStyle w:val="9"/>
              <w:jc w:val="right"/>
              <w:rPr>
                <w:rFonts w:hint="eastAsia" w:cs="Times New Roman"/>
              </w:rPr>
            </w:pPr>
          </w:p>
        </w:tc>
      </w:tr>
      <w:tr>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pPr>
              <w:pStyle w:val="9"/>
              <w:rPr>
                <w:rFonts w:hint="eastAsia" w:cs="Times New Roman"/>
              </w:rPr>
            </w:pPr>
            <w:r>
              <w:rPr>
                <w:rFonts w:hint="eastAsia" w:cs="Times New Roman"/>
                <w:sz w:val="22"/>
                <w:szCs w:val="22"/>
              </w:rPr>
              <w:t xml:space="preserve">注：本表反映部门本年度国有资本经营预算财政拨款支出情况。本表金额转换为万元时，因四舍五入可能存在尾数误差。 </w:t>
            </w:r>
          </w:p>
        </w:tc>
      </w:tr>
    </w:tbl>
    <w:p>
      <w:pPr>
        <w:pStyle w:val="9"/>
        <w:rPr>
          <w:rFonts w:hint="eastAsia"/>
        </w:rPr>
      </w:pPr>
      <w:r>
        <w:rPr>
          <w:rFonts w:hint="eastAsia"/>
        </w:rPr>
        <w:t xml:space="preserve"> </w:t>
      </w:r>
    </w:p>
    <w:p>
      <w:pPr>
        <w:widowControl/>
        <w:jc w:val="left"/>
        <w:rPr>
          <w:rFonts w:ascii="宋体" w:eastAsia="宋体" w:cs="宋体"/>
          <w:b/>
          <w:bCs/>
          <w:color w:val="000000"/>
          <w:sz w:val="36"/>
          <w:szCs w:val="36"/>
        </w:rPr>
        <w:sectPr>
          <w:pgSz w:w="16838" w:h="11906"/>
          <w:pgMar w:top="1080" w:right="400" w:bottom="1080" w:left="400" w:header="720" w:footer="720" w:gutter="0"/>
          <w:cols w:space="720" w:num="1"/>
          <w:docGrid w:type="lines" w:linePitch="160" w:charSpace="0"/>
        </w:sectPr>
      </w:pPr>
    </w:p>
    <w:p>
      <w:pPr>
        <w:spacing w:after="2"/>
        <w:jc w:val="center"/>
        <w:rPr>
          <w:rFonts w:hint="eastAsia"/>
        </w:rPr>
      </w:pPr>
      <w:r>
        <w:rPr>
          <w:rFonts w:hint="eastAsia" w:ascii="宋体" w:eastAsia="宋体"/>
          <w:b/>
          <w:bCs/>
          <w:color w:val="000000"/>
          <w:sz w:val="36"/>
          <w:szCs w:val="36"/>
        </w:rPr>
        <w:t>第三部分 2021年度部门决算情况说明</w:t>
      </w:r>
      <w:r>
        <w:rPr>
          <w:rFonts w:hint="eastAsia"/>
          <w:color w:val="000000"/>
        </w:rPr>
        <w:t xml:space="preserve"> </w:t>
      </w:r>
    </w:p>
    <w:p>
      <w:pPr>
        <w:rPr>
          <w:rFonts w:hint="eastAsia"/>
        </w:rPr>
      </w:pPr>
      <w:r>
        <w:rPr>
          <w:rFonts w:hint="eastAsia"/>
        </w:rPr>
        <w:t xml:space="preserve"> </w:t>
      </w:r>
    </w:p>
    <w:p>
      <w:pPr>
        <w:pStyle w:val="22"/>
        <w:spacing w:after="2"/>
        <w:ind w:firstLine="641"/>
        <w:rPr>
          <w:rFonts w:hint="eastAsia"/>
          <w:sz w:val="27"/>
          <w:szCs w:val="27"/>
        </w:rPr>
      </w:pPr>
      <w:r>
        <w:rPr>
          <w:rFonts w:hint="eastAsia" w:ascii="宋体" w:eastAsia="宋体"/>
          <w:b/>
          <w:bCs/>
          <w:color w:val="000000"/>
          <w:sz w:val="32"/>
          <w:szCs w:val="32"/>
        </w:rPr>
        <w:t>一、收入支出决算总体情况说明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2021年度收、支总计1,797.32万元。与上一年度相比，收、支总计各增加276.33万元，增长18.17%。主要是因为各级衔接资金逐年增加，收支增加。</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二、收入决算情况说明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2021年度收入合计1,789.76万元，其中：财政拨款收入1,789.56万元，占99.99%；上级补助收入0万元，占0%；事业收入0万元，占0%；经营收入0万元，占0%；附属单位上缴收入0万元，占0%；其他收入0.2万元，占0.01%。</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三、支出决算情况说明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2021年度支出合计1,797.12万元，其中：基本支出100.66万元，占5.6%；项目支出1,696.46万元，占94.4%；上缴上级支出0万元，占0%；经营支出0万元，占0%；对附属单位补助支出0万元，占0%。</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四、财政拨款收入支出决算总体情况说明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财政拨款收、支总计1,796.32万元，其中：一般公共预算财政拨款1,796.32万元，政府性基金财政拨款0万元。与上一年度相比，财政拨款收、支总计各增加276.42万元，增长18.19%。主要是因为各级衔接资金逐年增加，财政拨款收支增加。</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五、一般公共预算财政拨款支出决算情况说明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（一）财政拨款支出决算总体情况</w:t>
      </w:r>
      <w:r>
        <w:rPr>
          <w:rFonts w:hint="eastAsia"/>
          <w:color w:val="000000"/>
          <w:sz w:val="27"/>
          <w:szCs w:val="27"/>
        </w:rPr>
        <w:t xml:space="preserve"> </w:t>
      </w:r>
    </w:p>
    <w:p>
      <w:pPr>
        <w:pStyle w:val="22"/>
        <w:spacing w:after="2"/>
        <w:ind w:firstLine="855"/>
        <w:rPr>
          <w:rFonts w:hint="eastAsia"/>
          <w:sz w:val="27"/>
          <w:szCs w:val="27"/>
        </w:rPr>
      </w:pPr>
      <w:r>
        <w:rPr>
          <w:rFonts w:hint="eastAsia" w:ascii="宋体" w:eastAsia="宋体"/>
          <w:color w:val="000000"/>
          <w:sz w:val="32"/>
          <w:szCs w:val="32"/>
        </w:rPr>
        <w:t xml:space="preserve">2021年度财政拨款支出1,796.32万元，其中：基本支出99.86万元，项目支出1,696.46万元。占本年支出合计的99.96%。与上一年度相比，财政拨款支出增加281.02万元，增长18.55%。主要是因为各级衔接资金逐年增加，财政拨款支出增加。 </w:t>
      </w:r>
    </w:p>
    <w:p>
      <w:pPr>
        <w:pStyle w:val="22"/>
        <w:spacing w:after="2"/>
        <w:ind w:firstLine="641"/>
        <w:rPr>
          <w:rFonts w:hint="eastAsia"/>
          <w:sz w:val="27"/>
          <w:szCs w:val="27"/>
        </w:rPr>
      </w:pPr>
      <w:r>
        <w:rPr>
          <w:rFonts w:hint="eastAsia" w:ascii="宋体" w:eastAsia="宋体"/>
          <w:b/>
          <w:bCs/>
          <w:color w:val="000000"/>
          <w:sz w:val="32"/>
          <w:szCs w:val="32"/>
        </w:rPr>
        <w:t>（二）财政拨款支出决算结构情况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财政拨款支出1,796.32万元，主要用于以下方面：一般公共服务支出9.97万元，占0.56%；社会保障和就业支出5.61万元，占0.31%；卫生健康支出2.99万元，占0.17%；农林水支出1,773.8万元，占98.74%；住房保障支出3.95万元，占0.22%。</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b/>
          <w:bCs/>
          <w:color w:val="000000"/>
          <w:sz w:val="32"/>
          <w:szCs w:val="32"/>
        </w:rPr>
        <w:t>（三）财政拨款支出决算具体情况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2021年度财政拨款支出年初预算数为76.39万元，支出决算数为1,796.32万元，完成年初预算的2,351.51%，其中：</w:t>
      </w:r>
    </w:p>
    <w:p>
      <w:pPr>
        <w:pStyle w:val="22"/>
        <w:spacing w:after="2"/>
        <w:ind w:firstLine="641"/>
        <w:rPr>
          <w:rFonts w:hint="eastAsia"/>
          <w:sz w:val="27"/>
          <w:szCs w:val="27"/>
        </w:rPr>
      </w:pPr>
      <w:r>
        <w:rPr>
          <w:rStyle w:val="24"/>
          <w:rFonts w:hint="eastAsia" w:ascii="宋体" w:hAnsi="宋体" w:eastAsia="宋体"/>
          <w:color w:val="000000"/>
          <w:sz w:val="32"/>
          <w:szCs w:val="32"/>
        </w:rPr>
        <w:t>1、一般公共服务支出（类）政府办公厅（室）及相关机构事务（款）行政运行（项）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年初预算为0万元，支出决算为9.07万元，决算数大于年初预算数的主要原因是：该支出为预发2020年绩效奖，未纳入2021年预算。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2、一般公共服务支出（类）其他一般公共服务支出（款）其他一般公共服务支出（项）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年初预算为0万元，支出决算为0.9万元，决算数大于年初预算数的主要原因是：该支出分别为2020年单位绩效奖0.6万元，各项考核奖励奖金0.3万元，未纳入2021年预算。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3、社会保障和就业支出（类）行政事业单位养老支出（款）机关事业单位基本养老保险缴费支出（项）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年初预算为5.12万元，支出决算为5.61万元，完成年初预算的109.57%。决算数大于年初预算数的主要原因是：使用年初结转结余资金0.49万元。</w:t>
      </w:r>
    </w:p>
    <w:p>
      <w:pPr>
        <w:pStyle w:val="22"/>
        <w:spacing w:after="2"/>
        <w:ind w:firstLine="641"/>
        <w:rPr>
          <w:rFonts w:hint="eastAsia"/>
          <w:sz w:val="27"/>
          <w:szCs w:val="27"/>
        </w:rPr>
      </w:pPr>
      <w:r>
        <w:rPr>
          <w:rStyle w:val="24"/>
          <w:rFonts w:hint="eastAsia" w:ascii="宋体" w:hAnsi="宋体" w:eastAsia="宋体"/>
          <w:color w:val="000000"/>
          <w:sz w:val="32"/>
          <w:szCs w:val="32"/>
        </w:rPr>
        <w:t>4、卫生健康支出（类）行政事业单位医疗（款）行政单位医疗（项）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年初预算为2.66万元，支出决算为2.99万元，完成年初预算的112.41%。决算数大于年初预算数的主要原因是：使用年初结转结余资金0.33万元。</w:t>
      </w:r>
    </w:p>
    <w:p>
      <w:pPr>
        <w:pStyle w:val="22"/>
        <w:spacing w:after="2"/>
        <w:ind w:firstLine="641"/>
        <w:rPr>
          <w:rFonts w:hint="eastAsia"/>
          <w:sz w:val="27"/>
          <w:szCs w:val="27"/>
        </w:rPr>
      </w:pPr>
      <w:r>
        <w:rPr>
          <w:rStyle w:val="24"/>
          <w:rFonts w:hint="eastAsia" w:ascii="宋体" w:hAnsi="宋体" w:eastAsia="宋体"/>
          <w:color w:val="000000"/>
          <w:sz w:val="32"/>
          <w:szCs w:val="32"/>
        </w:rPr>
        <w:t>5、农林水支出（类）农业农村（款）农村道路建设（项）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年初预算为0万元，支出决算为199万元，决算数大于年初预算数的主要原因是：该支出为各级衔接资金，未纳入2021年预算。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6、农林水支出（类）农业农村（款）其他农业农村支出（项）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年初预算为0万元，支出决算为76.1万元，决算数大于年初预算数的主要原因是：该支出分别为对口帮扶资金60万元和衔接资金16.1万，未纳入2021年预算。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7、农林水支出（类）扶贫（款）行政运行（项）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年初预算为64.94万元，支出决算为75.38万元，完成年初预算的116.08%。决算数大于年初预算数的主要原因是：2020年度绩效奖及年终一次性奖金和增人增资经费等未纳入2021年预算。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8、农林水支出（类）扶贫（款）其他扶贫支出（项）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年初预算为0万元，支出决算为1,423.32万元，决算数大于年初预算数的主要原因是：各级衔接资金未纳入2021年预算。</w:t>
      </w:r>
    </w:p>
    <w:p>
      <w:pPr>
        <w:pStyle w:val="22"/>
        <w:spacing w:after="2"/>
        <w:ind w:firstLine="641"/>
        <w:rPr>
          <w:rFonts w:hint="eastAsia"/>
          <w:sz w:val="27"/>
          <w:szCs w:val="27"/>
        </w:rPr>
      </w:pPr>
      <w:r>
        <w:rPr>
          <w:rStyle w:val="24"/>
          <w:rFonts w:hint="eastAsia" w:ascii="宋体" w:hAnsi="宋体" w:eastAsia="宋体"/>
          <w:color w:val="000000"/>
          <w:sz w:val="32"/>
          <w:szCs w:val="32"/>
        </w:rPr>
        <w:t>9、住房保障支出（类）住房改革支出（款）住房公积金（项）</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年初预算为3.67万元，支出决算为3.95万元，完成年初预算的107.63%。决算数大于年初预算数的主要原因是：使用年初结转与结余0.28万元。</w:t>
      </w:r>
    </w:p>
    <w:p>
      <w:pPr>
        <w:pStyle w:val="22"/>
        <w:spacing w:after="2"/>
        <w:ind w:firstLine="641"/>
        <w:rPr>
          <w:rFonts w:hint="eastAsia"/>
          <w:sz w:val="27"/>
          <w:szCs w:val="27"/>
        </w:rPr>
      </w:pPr>
      <w:r>
        <w:rPr>
          <w:rFonts w:hint="eastAsia" w:ascii="宋体" w:eastAsia="宋体"/>
          <w:b/>
          <w:bCs/>
          <w:color w:val="000000"/>
          <w:sz w:val="32"/>
          <w:szCs w:val="32"/>
        </w:rPr>
        <w:t>六、一般公共预算财政拨款基本支出决算情况说明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2021年度财政拨款基本支出99.86万元，其中：人员经费65.13万元，占基本支出的65.22%，主要包括：基本工资、津贴补贴、奖金、机关事业单位基本养老保险缴费、职工基本医疗保险缴费、住房公积金。公用经费34.73万元，占基本支出的34.78%，主要包括：办公费、水费、邮电费、差旅费、维修（护）费、会议费、培训费、劳务费、工会经费、其他交通费用、其他商品和服务支出。</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七、一般公共预算财政拨款三公经费支出决算情况说明</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（一）“三公”经费财政拨款支出决算总体情况说明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2021年度“三公”经费财政拨款支出预算为0.3万元，支出决算为0万元，完成预算的0%，其中：</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因公出国（境）费支出预算为0万元，支出决算为0万元，决算数与预算数一致，我单位严格按预算执行决算，因公出国（境）费支出与上年持平。</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公务接待费支出预算为0.3万元，支出决算为0万元，完成预算的0%，决算数小于预算数的主要原因是本年度无公务接待费支出 ，与上年相比减少0.08万元，下降100%，下降的主要原因是本年度无公务接待费支出。</w:t>
      </w:r>
    </w:p>
    <w:p>
      <w:pPr>
        <w:pStyle w:val="22"/>
        <w:spacing w:after="2"/>
        <w:ind w:firstLine="640"/>
        <w:rPr>
          <w:rFonts w:hint="eastAsia"/>
          <w:sz w:val="27"/>
          <w:szCs w:val="27"/>
        </w:rPr>
      </w:pPr>
      <w:r>
        <w:rPr>
          <w:rFonts w:hint="eastAsia" w:ascii="宋体" w:eastAsia="宋体"/>
          <w:color w:val="000000"/>
          <w:sz w:val="32"/>
          <w:szCs w:val="32"/>
        </w:rPr>
        <w:t>公务用车购置费支出预算为0万元，支出决算为0万元，决算数与预算数一致，我单位严格按预算执行决算，公务用车购置费支出与上年持平。</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公务用车运行维护费支出预算为0万元，支出决算为0万元，决算数与预算数一致，我单位严格按预算执行决算，公务用车运行维护费支出与上年持平。</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（二）“三公”经费财政拨款支出决算具体情况说明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2021年度“三公”经费财政拨款支出决算中，公务接待费支出决算0万元，占0%，因公出国（境）费支出决算0万元，占0%，公务用车购置费及运行维护费支出决算0万元，占0%。其中：</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1、因公出国（境）费支出决算为0万元，全年安排因公出国（境）团组0个，累计0人次，我单位2021年度无因公出国（境）费支出。</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2、公务接待费支出决算为0万元，全年共接待来访团组0个、来宾0人次，我单位2021年度无公务接待费支出。</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3、公务用车购置费及运行维护费支出决算为0万元，其中：公务用车购置费0万元</w:t>
      </w:r>
      <w:r>
        <w:rPr>
          <w:rFonts w:hint="eastAsia" w:ascii="宋体" w:eastAsia="宋体"/>
          <w:color w:val="000000"/>
          <w:sz w:val="32"/>
          <w:szCs w:val="32"/>
          <w:lang w:eastAsia="zh-CN"/>
        </w:rPr>
        <w:t>，本单位及二级机构更新公务用车</w:t>
      </w:r>
      <w:r>
        <w:rPr>
          <w:rFonts w:hint="eastAsia" w:ascii="宋体" w:eastAsia="宋体"/>
          <w:color w:val="000000"/>
          <w:sz w:val="32"/>
          <w:szCs w:val="32"/>
          <w:lang w:val="en-US" w:eastAsia="zh-CN"/>
        </w:rPr>
        <w:t>0辆</w:t>
      </w:r>
      <w:r>
        <w:rPr>
          <w:rFonts w:hint="eastAsia" w:ascii="宋体" w:eastAsia="宋体"/>
          <w:color w:val="000000"/>
          <w:sz w:val="32"/>
          <w:szCs w:val="32"/>
        </w:rPr>
        <w:t>。公务用车运行维护费0万元，截至2021年12月31日</w:t>
      </w:r>
      <w:r>
        <w:rPr>
          <w:rFonts w:hint="eastAsia" w:ascii="宋体" w:eastAsia="宋体"/>
          <w:color w:val="000000"/>
          <w:sz w:val="32"/>
          <w:szCs w:val="32"/>
          <w:lang w:eastAsia="zh-CN"/>
        </w:rPr>
        <w:t>；本级机关和二级机构</w:t>
      </w:r>
      <w:r>
        <w:rPr>
          <w:rFonts w:hint="eastAsia" w:ascii="宋体" w:eastAsia="宋体"/>
          <w:color w:val="000000"/>
          <w:sz w:val="32"/>
          <w:szCs w:val="32"/>
        </w:rPr>
        <w:t>开支财政拨款的公务用车保有量为0辆</w:t>
      </w:r>
      <w:r>
        <w:rPr>
          <w:rFonts w:hint="eastAsia" w:ascii="宋体" w:eastAsia="宋体"/>
          <w:color w:val="000000"/>
          <w:sz w:val="32"/>
          <w:szCs w:val="32"/>
          <w:lang w:eastAsia="zh-CN"/>
        </w:rPr>
        <w:t>。本级机关和二级机构</w:t>
      </w:r>
      <w:bookmarkStart w:id="0" w:name="_GoBack"/>
      <w:bookmarkEnd w:id="0"/>
      <w:r>
        <w:rPr>
          <w:rFonts w:hint="eastAsia" w:ascii="宋体" w:eastAsia="宋体"/>
          <w:color w:val="000000"/>
          <w:sz w:val="32"/>
          <w:szCs w:val="32"/>
        </w:rPr>
        <w:t>2021年度无公务用车购置费及运行维护费支出。</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b/>
          <w:bCs/>
          <w:color w:val="000000"/>
          <w:sz w:val="32"/>
          <w:szCs w:val="32"/>
        </w:rPr>
        <w:t>八、政府性基金预算收入支出决算情况</w:t>
      </w:r>
      <w:r>
        <w:rPr>
          <w:rFonts w:hint="eastAsia"/>
          <w:color w:val="000000"/>
          <w:sz w:val="27"/>
          <w:szCs w:val="27"/>
        </w:rPr>
        <w:t xml:space="preserve"> </w:t>
      </w:r>
    </w:p>
    <w:p>
      <w:pPr>
        <w:pStyle w:val="22"/>
        <w:spacing w:after="2"/>
        <w:ind w:firstLine="641"/>
        <w:rPr>
          <w:rFonts w:hint="eastAsia"/>
          <w:sz w:val="27"/>
          <w:szCs w:val="27"/>
        </w:rPr>
      </w:pPr>
      <w:r>
        <w:rPr>
          <w:rFonts w:hint="eastAsia" w:ascii="宋体" w:eastAsia="宋体"/>
          <w:color w:val="000000"/>
          <w:sz w:val="32"/>
          <w:szCs w:val="32"/>
        </w:rPr>
        <w:t xml:space="preserve">石鼓区乡村振兴局2021年度没有政府性基金收入，也没有使用政府性基金安排的支出，并已公开空表。 </w:t>
      </w:r>
    </w:p>
    <w:p>
      <w:pPr>
        <w:pStyle w:val="22"/>
        <w:spacing w:after="2"/>
        <w:ind w:firstLine="641"/>
        <w:rPr>
          <w:rFonts w:hint="eastAsia"/>
          <w:sz w:val="27"/>
          <w:szCs w:val="27"/>
        </w:rPr>
      </w:pPr>
      <w:r>
        <w:rPr>
          <w:rFonts w:hint="eastAsia" w:ascii="宋体" w:eastAsia="宋体"/>
          <w:b/>
          <w:bCs/>
          <w:color w:val="000000"/>
          <w:sz w:val="32"/>
          <w:szCs w:val="32"/>
        </w:rPr>
        <w:t>九、关于机关运行经费支出说明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石鼓区乡村振兴局2021年度机关运行经费支出34.73万元，比上一年决算数减少8.49万元，下降19.64%。主要原因是：上年度为决战脱贫攻坚年，所需机关运行经费多，本年厉行节约，压缩开支。</w:t>
      </w:r>
    </w:p>
    <w:p>
      <w:pPr>
        <w:pStyle w:val="22"/>
        <w:spacing w:after="2"/>
        <w:ind w:firstLine="640"/>
        <w:rPr>
          <w:rFonts w:hint="eastAsia"/>
          <w:sz w:val="27"/>
          <w:szCs w:val="27"/>
        </w:rPr>
      </w:pPr>
      <w:r>
        <w:rPr>
          <w:rFonts w:hint="eastAsia" w:ascii="宋体" w:eastAsia="宋体"/>
          <w:b/>
          <w:bCs/>
          <w:color w:val="000000"/>
          <w:sz w:val="32"/>
          <w:szCs w:val="32"/>
        </w:rPr>
        <w:t>十、一般性支出情况</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2021年度石鼓区乡村振兴局开支会议费0.1万元，分别为2021年防返贫监测与帮扶工作培训会、区委实施乡村振兴战略领导小组（扩大）会议、2021年乡村振兴迎检调度会；开支培训费0.23万元，具体为2021年事业单位工作人员培训工作费用；举办0场节庆、晚会、论坛、赛事活动，开支0万元，无相关活动计划。</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b/>
          <w:bCs/>
          <w:color w:val="000000"/>
          <w:sz w:val="32"/>
          <w:szCs w:val="32"/>
        </w:rPr>
        <w:t>十一、关于政府采购支出说明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 xml:space="preserve">石鼓区乡村振兴局2021年度政府采购支出总额0.01万元，其中：政府采购货物支出0.01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pPr>
        <w:pStyle w:val="22"/>
        <w:spacing w:after="2"/>
        <w:ind w:firstLine="640"/>
        <w:rPr>
          <w:rFonts w:hint="eastAsia"/>
          <w:sz w:val="27"/>
          <w:szCs w:val="27"/>
        </w:rPr>
      </w:pPr>
      <w:r>
        <w:rPr>
          <w:rFonts w:hint="eastAsia" w:ascii="宋体" w:eastAsia="宋体"/>
          <w:b/>
          <w:bCs/>
          <w:color w:val="000000"/>
          <w:sz w:val="32"/>
          <w:szCs w:val="32"/>
        </w:rPr>
        <w:t>十二、关于国有资产占用情况说明</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截至2021年12月31日，石鼓区乡村振兴局共有车辆0辆（台），其中：机要通信用车0辆、应急保障用车0辆、执法执勤用车0辆、特种专业技术用车0辆、其他用车0辆；单价50万元（含）以上通用设备0台（套），单价100万元（含）以上专用设备0台（套）。</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b/>
          <w:bCs/>
          <w:color w:val="000000"/>
          <w:sz w:val="32"/>
          <w:szCs w:val="32"/>
        </w:rPr>
        <w:t>十三、关于2021年度预算绩效情况说明</w:t>
      </w:r>
      <w:r>
        <w:rPr>
          <w:rFonts w:hint="eastAsia"/>
          <w:color w:val="000000"/>
          <w:sz w:val="27"/>
          <w:szCs w:val="27"/>
        </w:rPr>
        <w:t xml:space="preserve"> </w:t>
      </w:r>
    </w:p>
    <w:p>
      <w:pPr>
        <w:pStyle w:val="22"/>
        <w:spacing w:after="2"/>
        <w:ind w:firstLine="640"/>
        <w:rPr>
          <w:rFonts w:hint="eastAsia"/>
          <w:sz w:val="27"/>
          <w:szCs w:val="27"/>
        </w:rPr>
      </w:pPr>
      <w:r>
        <w:rPr>
          <w:rStyle w:val="24"/>
          <w:rFonts w:hint="eastAsia" w:ascii="宋体" w:hAnsi="宋体" w:eastAsia="宋体"/>
          <w:color w:val="000000"/>
          <w:sz w:val="36"/>
          <w:szCs w:val="36"/>
        </w:rPr>
        <w:t>（1）绩效管理评价工作开展情况</w:t>
      </w:r>
    </w:p>
    <w:p>
      <w:pPr>
        <w:pStyle w:val="22"/>
        <w:spacing w:after="2"/>
        <w:ind w:firstLine="640"/>
        <w:rPr>
          <w:rFonts w:hint="eastAsia"/>
          <w:sz w:val="27"/>
          <w:szCs w:val="27"/>
        </w:rPr>
      </w:pPr>
      <w:r>
        <w:rPr>
          <w:rFonts w:hint="eastAsia" w:ascii="宋体" w:eastAsia="宋体"/>
          <w:color w:val="000000"/>
          <w:sz w:val="32"/>
          <w:szCs w:val="32"/>
        </w:rPr>
        <w:t>根据预算绩效管理要求，我部门组织对2021年度一般公共预算项目支出全面开展绩效自评，项目1个，共涉及资金27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组织对扶贫宣传经费等1个项目开展了部门评价，涉及一般公共预算支出27万元，政府性基金预算支出0万元，国有资本经营预算支出0万元。从评价情况来看，2021年度项目立项符合部门职责和相关管理规定，绩效目标合理，任务完成质量良好，项目实施的效益比较显著。</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组织对本单位开展整体支出绩效评价，涉及一般公共预算支出1796.32万元，政府性基金预算支出0万元。从评价情况来看，2021年把巩固拓展脱贫攻坚成果同乡村振兴有效衔接作为重大政治任务，取得了有效成果：防贫监测不落一人；政策巩固不漏一人；常态化帮扶不少一人。石鼓区乡村振兴局2021年根据年初计划安排，积极履行职责职能，强化管理，较好的完成了年度工作目标。</w:t>
      </w:r>
    </w:p>
    <w:p>
      <w:pPr>
        <w:pStyle w:val="22"/>
        <w:spacing w:after="2"/>
        <w:ind w:firstLine="640"/>
        <w:rPr>
          <w:rFonts w:hint="eastAsia"/>
          <w:sz w:val="27"/>
          <w:szCs w:val="27"/>
        </w:rPr>
      </w:pPr>
      <w:r>
        <w:rPr>
          <w:rStyle w:val="24"/>
          <w:rFonts w:hint="eastAsia" w:ascii="宋体" w:hAnsi="宋体" w:eastAsia="宋体"/>
          <w:color w:val="000000"/>
          <w:sz w:val="36"/>
          <w:szCs w:val="36"/>
        </w:rPr>
        <w:t>（2）部门决算中项目绩效自评结果</w:t>
      </w:r>
      <w:r>
        <w:rPr>
          <w:rFonts w:hint="eastAsia"/>
          <w:color w:val="000000"/>
          <w:sz w:val="27"/>
          <w:szCs w:val="27"/>
        </w:rPr>
        <w:t xml:space="preserve"> </w:t>
      </w:r>
    </w:p>
    <w:p>
      <w:pPr>
        <w:pStyle w:val="22"/>
        <w:spacing w:after="2"/>
        <w:ind w:firstLine="640"/>
        <w:rPr>
          <w:rFonts w:hint="eastAsia"/>
          <w:sz w:val="27"/>
          <w:szCs w:val="27"/>
        </w:rPr>
      </w:pPr>
      <w:r>
        <w:rPr>
          <w:rFonts w:hint="eastAsia" w:ascii="宋体" w:eastAsia="宋体"/>
          <w:color w:val="000000"/>
          <w:sz w:val="32"/>
          <w:szCs w:val="32"/>
        </w:rPr>
        <w:t>扶贫宣传经费项目绩效自评综述：根据年初设定的绩效目标，项目绩效自评得分为98分。项目全年预算数为27万元，执行数为27万元，完成预算的100%。项目绩效目标完成情况：一是与脱贫及乡村振兴相关的宣传落实情况良好；二是巩固拓展脱贫攻坚成果，让脱贫基础更稳固，成效更可持续。</w:t>
      </w:r>
      <w:r>
        <w:rPr>
          <w:rFonts w:hint="eastAsia"/>
          <w:color w:val="000000"/>
          <w:sz w:val="27"/>
          <w:szCs w:val="27"/>
        </w:rPr>
        <w:t xml:space="preserve"> </w:t>
      </w:r>
    </w:p>
    <w:p>
      <w:pPr>
        <w:pStyle w:val="22"/>
        <w:spacing w:after="2"/>
        <w:ind w:firstLine="640"/>
        <w:rPr>
          <w:rFonts w:hint="eastAsia"/>
          <w:sz w:val="27"/>
          <w:szCs w:val="27"/>
        </w:rPr>
      </w:pPr>
      <w:r>
        <w:rPr>
          <w:rStyle w:val="24"/>
          <w:rFonts w:hint="eastAsia" w:ascii="宋体" w:hAnsi="宋体" w:eastAsia="宋体"/>
          <w:color w:val="000000"/>
          <w:sz w:val="36"/>
          <w:szCs w:val="36"/>
        </w:rPr>
        <w:t>（3）部门评价项目绩效评价结果</w:t>
      </w:r>
    </w:p>
    <w:p>
      <w:pPr>
        <w:pStyle w:val="22"/>
        <w:spacing w:after="2"/>
        <w:ind w:firstLine="640"/>
        <w:rPr>
          <w:rFonts w:hint="eastAsia"/>
          <w:sz w:val="27"/>
          <w:szCs w:val="27"/>
        </w:rPr>
      </w:pPr>
      <w:r>
        <w:rPr>
          <w:rFonts w:hint="eastAsia" w:ascii="宋体" w:eastAsia="宋体"/>
          <w:color w:val="000000"/>
          <w:sz w:val="32"/>
          <w:szCs w:val="32"/>
        </w:rPr>
        <w:t>部门评价项目绩效评价结果详见附件。</w:t>
      </w:r>
    </w:p>
    <w:p>
      <w:pPr>
        <w:widowControl/>
        <w:jc w:val="left"/>
        <w:rPr>
          <w:rFonts w:hint="eastAsia"/>
        </w:rPr>
      </w:pPr>
      <w:r>
        <w:rPr>
          <w:rFonts w:hint="eastAsia"/>
        </w:rPr>
        <w:t xml:space="preserve"> </w:t>
      </w:r>
    </w:p>
    <w:p>
      <w:pPr>
        <w:pStyle w:val="9"/>
        <w:spacing w:before="0" w:beforeAutospacing="0" w:after="2" w:afterAutospacing="0"/>
        <w:rPr>
          <w:rFonts w:hint="eastAsia"/>
        </w:rPr>
      </w:pPr>
      <w:r>
        <w:rPr>
          <w:rFonts w:hint="eastAsia"/>
        </w:rPr>
        <w:t xml:space="preserve"> </w:t>
      </w:r>
    </w:p>
    <w:p>
      <w:pPr>
        <w:pStyle w:val="9"/>
        <w:spacing w:before="0" w:beforeAutospacing="0" w:after="2" w:afterAutospacing="0"/>
        <w:rPr>
          <w:rFonts w:hint="eastAsia"/>
        </w:rPr>
      </w:pPr>
      <w:r>
        <w:rPr>
          <w:rFonts w:hint="eastAsia"/>
        </w:rPr>
        <w:t xml:space="preserve"> </w:t>
      </w:r>
    </w:p>
    <w:p>
      <w:pPr>
        <w:rPr>
          <w:rFonts w:hint="eastAsia"/>
        </w:rPr>
      </w:pPr>
      <w:r>
        <w:rPr>
          <w:rFonts w:hint="eastAsia"/>
        </w:rPr>
        <w:t xml:space="preserve"> </w:t>
      </w:r>
    </w:p>
    <w:p>
      <w:pPr>
        <w:spacing w:after="2"/>
        <w:jc w:val="center"/>
        <w:rPr>
          <w:rFonts w:hint="eastAsia"/>
        </w:rPr>
      </w:pPr>
      <w:r>
        <w:rPr>
          <w:rFonts w:hint="eastAsia" w:ascii="宋体" w:eastAsia="宋体"/>
          <w:b/>
          <w:bCs/>
          <w:color w:val="000000"/>
          <w:sz w:val="36"/>
          <w:szCs w:val="36"/>
        </w:rPr>
        <w:t>第四部分 名词解释</w:t>
      </w:r>
      <w:r>
        <w:rPr>
          <w:rFonts w:hint="eastAsia"/>
          <w:color w:val="000000"/>
        </w:rPr>
        <w:t xml:space="preserve"> </w:t>
      </w:r>
    </w:p>
    <w:p>
      <w:pPr>
        <w:spacing w:after="2" w:line="336" w:lineRule="atLeast"/>
        <w:ind w:firstLine="643"/>
        <w:rPr>
          <w:rFonts w:hint="eastAsia" w:ascii="Calibri" w:hAnsi="Calibri" w:cs="Calibri"/>
        </w:rPr>
      </w:pPr>
      <w:r>
        <w:rPr>
          <w:rFonts w:hint="eastAsia" w:ascii="宋体" w:eastAsia="宋体"/>
          <w:b/>
          <w:bCs/>
          <w:color w:val="000000"/>
          <w:sz w:val="32"/>
          <w:szCs w:val="32"/>
        </w:rPr>
        <w:t>财政拨款收入</w:t>
      </w:r>
      <w:r>
        <w:rPr>
          <w:rFonts w:hint="eastAsia" w:ascii="宋体" w:eastAsia="宋体"/>
          <w:color w:val="000000"/>
          <w:sz w:val="32"/>
          <w:szCs w:val="32"/>
        </w:rPr>
        <w:t>：指财政当年拨付的资金。包括一般公共预算财政拨款和政府性基金财政拨款。</w:t>
      </w:r>
      <w:r>
        <w:rPr>
          <w:rFonts w:ascii="Calibri" w:hAnsi="Calibri"/>
          <w:color w:val="000000"/>
        </w:rPr>
        <w:t xml:space="preserve"> </w:t>
      </w:r>
    </w:p>
    <w:p>
      <w:pPr>
        <w:spacing w:after="2" w:line="336" w:lineRule="atLeast"/>
        <w:ind w:firstLine="643"/>
        <w:rPr>
          <w:rFonts w:hint="eastAsia" w:ascii="Calibri" w:hAnsi="Calibri"/>
        </w:rPr>
      </w:pPr>
      <w:r>
        <w:rPr>
          <w:rFonts w:hint="eastAsia" w:ascii="宋体" w:eastAsia="宋体"/>
          <w:b/>
          <w:bCs/>
          <w:color w:val="000000"/>
          <w:sz w:val="32"/>
          <w:szCs w:val="32"/>
        </w:rPr>
        <w:t>上级补助收入</w:t>
      </w:r>
      <w:r>
        <w:rPr>
          <w:rFonts w:hint="eastAsia" w:ascii="宋体" w:eastAsia="宋体"/>
          <w:color w:val="000000"/>
          <w:sz w:val="32"/>
          <w:szCs w:val="32"/>
        </w:rPr>
        <w:t>：指事业单位从主管部门和上级单位取得的非财政补助收入。</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事业收入：</w:t>
      </w:r>
      <w:r>
        <w:rPr>
          <w:rFonts w:hint="eastAsia" w:ascii="宋体" w:eastAsia="宋体"/>
          <w:color w:val="000000"/>
          <w:sz w:val="32"/>
          <w:szCs w:val="32"/>
        </w:rPr>
        <w:t>指事业单位开展专业业务活动及辅助活动所取得的收入。</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经营收入：</w:t>
      </w:r>
      <w:r>
        <w:rPr>
          <w:rFonts w:hint="eastAsia" w:ascii="宋体" w:eastAsia="宋体"/>
          <w:color w:val="000000"/>
          <w:sz w:val="32"/>
          <w:szCs w:val="32"/>
        </w:rPr>
        <w:t>指事业单位在专业业务活动及其辅助活动之外开展非独立核算经营活动取得的收入。</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附属单位上缴收入</w:t>
      </w:r>
      <w:r>
        <w:rPr>
          <w:rFonts w:hint="eastAsia" w:ascii="宋体" w:eastAsia="宋体"/>
          <w:color w:val="000000"/>
          <w:sz w:val="32"/>
          <w:szCs w:val="32"/>
        </w:rPr>
        <w:t>：指事业单位附属独立核算单位按照有关规定上缴的收入。</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其他收入</w:t>
      </w:r>
      <w:r>
        <w:rPr>
          <w:rFonts w:hint="eastAsia" w:ascii="宋体" w:eastAsia="宋体"/>
          <w:color w:val="000000"/>
          <w:sz w:val="32"/>
          <w:szCs w:val="32"/>
        </w:rPr>
        <w:t>：指除上述“财政拨款收入”、“事业收入”、“经营收入”等以外的收入。</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用事业基金弥补收支差额</w:t>
      </w:r>
      <w:r>
        <w:rPr>
          <w:rFonts w:hint="eastAsia" w:ascii="宋体" w:eastAsia="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年初结转和结余</w:t>
      </w:r>
      <w:r>
        <w:rPr>
          <w:rFonts w:hint="eastAsia" w:ascii="宋体" w:eastAsia="宋体"/>
          <w:color w:val="000000"/>
          <w:sz w:val="32"/>
          <w:szCs w:val="32"/>
        </w:rPr>
        <w:t>：指以前年度尚未完成、结转到本年按有关规定继续使用的资金。</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结余分配</w:t>
      </w:r>
      <w:r>
        <w:rPr>
          <w:rFonts w:hint="eastAsia" w:ascii="宋体" w:eastAsia="宋体"/>
          <w:color w:val="000000"/>
          <w:sz w:val="32"/>
          <w:szCs w:val="32"/>
        </w:rPr>
        <w:t>：指事业事位按规定从非财政补助结余中分配的事业基金和职工福利基金等。</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年末结转和结余</w:t>
      </w:r>
      <w:r>
        <w:rPr>
          <w:rFonts w:hint="eastAsia" w:ascii="宋体" w:eastAsia="宋体"/>
          <w:color w:val="000000"/>
          <w:sz w:val="32"/>
          <w:szCs w:val="32"/>
        </w:rPr>
        <w:t>：指本年度或以前年度预算安排、因客观条件发生变化无法按原计划实施，需要延迟到以后年度按有关规定继续使用的资金。</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基本支出</w:t>
      </w:r>
      <w:r>
        <w:rPr>
          <w:rFonts w:hint="eastAsia" w:ascii="宋体" w:eastAsia="宋体"/>
          <w:color w:val="000000"/>
          <w:sz w:val="32"/>
          <w:szCs w:val="32"/>
        </w:rPr>
        <w:t>：指为保障机构正常运转、完成日常工作任务而发生的人员支出和公用支出。</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项目支出</w:t>
      </w:r>
      <w:r>
        <w:rPr>
          <w:rFonts w:hint="eastAsia" w:ascii="宋体" w:eastAsia="宋体"/>
          <w:color w:val="000000"/>
          <w:sz w:val="32"/>
          <w:szCs w:val="32"/>
        </w:rPr>
        <w:t>：指在基本支出之外为完成特定行政任务和事业发展目标所发生的支出。</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经营支出</w:t>
      </w:r>
      <w:r>
        <w:rPr>
          <w:rFonts w:hint="eastAsia" w:ascii="宋体" w:eastAsia="宋体"/>
          <w:color w:val="000000"/>
          <w:sz w:val="32"/>
          <w:szCs w:val="32"/>
        </w:rPr>
        <w:t>：指事业单位在专业业务活动及其辅助活动之外开展非独立核算经营活动所发生的支出。</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“三公”经费</w:t>
      </w:r>
      <w:r>
        <w:rPr>
          <w:rFonts w:hint="eastAsia" w:ascii="宋体" w:eastAsia="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olor w:val="000000"/>
        </w:rPr>
        <w:t xml:space="preserve"> </w:t>
      </w:r>
    </w:p>
    <w:p>
      <w:pPr>
        <w:spacing w:after="2" w:line="336" w:lineRule="atLeast"/>
        <w:ind w:firstLine="643"/>
        <w:rPr>
          <w:rFonts w:ascii="Calibri" w:hAnsi="Calibri"/>
        </w:rPr>
      </w:pPr>
      <w:r>
        <w:rPr>
          <w:rFonts w:hint="eastAsia" w:ascii="宋体" w:eastAsia="宋体"/>
          <w:b/>
          <w:bCs/>
          <w:color w:val="000000"/>
          <w:sz w:val="32"/>
          <w:szCs w:val="32"/>
        </w:rPr>
        <w:t>机关运行经费</w:t>
      </w:r>
      <w:r>
        <w:rPr>
          <w:rFonts w:hint="eastAsia" w:ascii="宋体" w:eastAsia="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rPr>
        <w:t xml:space="preserve"> </w:t>
      </w:r>
    </w:p>
    <w:p>
      <w:pPr>
        <w:widowControl/>
        <w:jc w:val="left"/>
      </w:pPr>
      <w:r>
        <w:rPr>
          <w:rFonts w:hint="eastAsia"/>
        </w:rPr>
        <w:t xml:space="preserve"> </w:t>
      </w:r>
    </w:p>
    <w:p>
      <w:pPr>
        <w:pStyle w:val="9"/>
        <w:spacing w:before="0" w:beforeAutospacing="0" w:after="2" w:afterAutospacing="0"/>
        <w:rPr>
          <w:rFonts w:hint="eastAsia"/>
        </w:rPr>
      </w:pPr>
      <w:r>
        <w:rPr>
          <w:rFonts w:hint="eastAsia"/>
        </w:rPr>
        <w:t xml:space="preserve"> </w:t>
      </w:r>
    </w:p>
    <w:p>
      <w:pPr>
        <w:pStyle w:val="9"/>
        <w:spacing w:before="0" w:beforeAutospacing="0" w:after="2" w:afterAutospacing="0"/>
        <w:rPr>
          <w:rFonts w:hint="eastAsia"/>
        </w:rPr>
      </w:pPr>
      <w:r>
        <w:rPr>
          <w:rFonts w:hint="eastAsia"/>
        </w:rPr>
        <w:t xml:space="preserve"> </w:t>
      </w:r>
    </w:p>
    <w:p>
      <w:pPr>
        <w:spacing w:after="2" w:line="336" w:lineRule="atLeast"/>
        <w:ind w:firstLine="643"/>
        <w:rPr>
          <w:rFonts w:hint="eastAsia" w:ascii="Calibri" w:hAnsi="Calibri"/>
        </w:rPr>
      </w:pPr>
      <w:r>
        <w:rPr>
          <w:rFonts w:ascii="Calibri" w:hAnsi="Calibri"/>
        </w:rPr>
        <w:t xml:space="preserve"> </w:t>
      </w:r>
    </w:p>
    <w:p>
      <w:pPr>
        <w:spacing w:after="2"/>
        <w:jc w:val="center"/>
      </w:pPr>
      <w:r>
        <w:rPr>
          <w:rFonts w:hint="eastAsia" w:ascii="宋体" w:eastAsia="宋体"/>
          <w:b/>
          <w:bCs/>
          <w:color w:val="000000"/>
          <w:sz w:val="36"/>
          <w:szCs w:val="36"/>
        </w:rPr>
        <w:t>第五部分 附件</w:t>
      </w:r>
      <w:r>
        <w:rPr>
          <w:rFonts w:hint="eastAsia"/>
          <w:color w:val="000000"/>
        </w:rPr>
        <w:t xml:space="preserve"> </w:t>
      </w:r>
    </w:p>
    <w:p>
      <w:pPr>
        <w:spacing w:after="2"/>
        <w:jc w:val="center"/>
        <w:rPr>
          <w:rFonts w:hint="eastAsia"/>
        </w:rPr>
      </w:pPr>
      <w:r>
        <w:fldChar w:fldCharType="begin"/>
      </w:r>
      <w:r>
        <w:instrText xml:space="preserve"> HYPERLINK "http://10.105.94.22:9000/home/downloadAttachment?attachGUID=cc6432737b814d8d95409fee28154867" </w:instrText>
      </w:r>
      <w:r>
        <w:fldChar w:fldCharType="separate"/>
      </w:r>
      <w:r>
        <w:rPr>
          <w:rStyle w:val="25"/>
          <w:rFonts w:hint="eastAsia" w:ascii="宋体" w:hAnsi="宋体" w:eastAsia="宋体"/>
          <w:sz w:val="28"/>
          <w:szCs w:val="28"/>
          <w:shd w:val="clear" w:color="auto" w:fill="FFFFFF"/>
        </w:rPr>
        <w:t>2021年度部门整体支出绩效评价报告（乡村振兴局）.doc</w:t>
      </w:r>
      <w:r>
        <w:rPr>
          <w:rStyle w:val="25"/>
          <w:rFonts w:hint="eastAsia" w:ascii="宋体" w:hAnsi="宋体" w:eastAsia="宋体"/>
          <w:sz w:val="28"/>
          <w:szCs w:val="28"/>
          <w:shd w:val="clear" w:color="auto" w:fill="FFFFFF"/>
        </w:rPr>
        <w:fldChar w:fldCharType="end"/>
      </w:r>
    </w:p>
    <w:p>
      <w:pPr>
        <w:spacing w:after="2"/>
        <w:jc w:val="center"/>
        <w:rPr>
          <w:rFonts w:hint="eastAsia"/>
        </w:rPr>
      </w:pPr>
      <w:r>
        <w:rPr>
          <w:rFonts w:hint="eastAsia"/>
        </w:rPr>
        <w:t xml:space="preserve"> </w:t>
      </w:r>
    </w:p>
    <w:p>
      <w:pPr>
        <w:spacing w:after="2"/>
        <w:jc w:val="center"/>
        <w:rPr>
          <w:rFonts w:hint="eastAsia"/>
        </w:rPr>
      </w:pPr>
      <w:r>
        <w:rPr>
          <w:rFonts w:hint="eastAsia"/>
        </w:rPr>
        <w:t xml:space="preserve"> </w:t>
      </w:r>
    </w:p>
    <w:sectPr>
      <w:pgSz w:w="11906" w:h="16838" w:orient="landscape"/>
      <w:pgMar w:top="1440" w:right="1080" w:bottom="1440" w:left="1080" w:header="720" w:footer="720" w:gutter="0"/>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DengXian">
    <w:altName w:val="宋体"/>
    <w:panose1 w:val="02010600030101010101"/>
    <w:charset w:val="86"/>
    <w:family w:val="modern"/>
    <w:pitch w:val="default"/>
    <w:sig w:usb0="00000000" w:usb1="00000000" w:usb2="0000001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YTFmZDNlOTBkM2UzOGI3OGZkYzE1ZDM0NGFkN2JlODYifQ=="/>
  </w:docVars>
  <w:rsids>
    <w:rsidRoot w:val="006B7C59"/>
    <w:rsid w:val="006B7C59"/>
    <w:rsid w:val="00FF170A"/>
    <w:rsid w:val="0BA25A73"/>
    <w:rsid w:val="2523195F"/>
    <w:rsid w:val="3B2A2330"/>
    <w:rsid w:val="63D0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宋体" w:eastAsia="DengXian"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eastAsia="宋体" w:cs="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eastAsia="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eastAsia="宋体" w:cs="宋体"/>
      <w:b/>
      <w:bCs/>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eastAsia="宋体" w:cs="宋体"/>
      <w:b/>
      <w:bCs/>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eastAsia="宋体" w:cs="宋体"/>
      <w:b/>
      <w:bCs/>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eastAsia="宋体" w:cs="宋体"/>
      <w:b/>
      <w:bCs/>
      <w:kern w:val="0"/>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HTML Preformatted"/>
    <w:basedOn w:val="1"/>
    <w:qFormat/>
    <w:uiPriority w:val="0"/>
    <w:pPr>
      <w:widowControl/>
      <w:jc w:val="left"/>
    </w:pPr>
    <w:rPr>
      <w:rFonts w:ascii="宋体" w:eastAsia="宋体" w:cs="宋体"/>
      <w:kern w:val="0"/>
      <w:sz w:val="24"/>
      <w:szCs w:val="24"/>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customStyle="1" w:styleId="14">
    <w:name w:val="标题 1 字符"/>
    <w:basedOn w:val="11"/>
    <w:qFormat/>
    <w:uiPriority w:val="0"/>
    <w:rPr>
      <w:rFonts w:ascii="DengXian" w:hAnsi="宋体" w:eastAsia="DengXian"/>
      <w:b/>
      <w:bCs/>
      <w:kern w:val="44"/>
      <w:sz w:val="44"/>
      <w:szCs w:val="44"/>
    </w:rPr>
  </w:style>
  <w:style w:type="character" w:customStyle="1" w:styleId="15">
    <w:name w:val="标题 2 字符"/>
    <w:basedOn w:val="11"/>
    <w:qFormat/>
    <w:uiPriority w:val="0"/>
    <w:rPr>
      <w:rFonts w:asciiTheme="majorHAnsi" w:hAnsiTheme="majorHAnsi" w:eastAsiaTheme="majorEastAsia" w:cstheme="majorBidi"/>
      <w:b/>
      <w:bCs/>
      <w:kern w:val="2"/>
      <w:sz w:val="32"/>
      <w:szCs w:val="32"/>
    </w:rPr>
  </w:style>
  <w:style w:type="character" w:customStyle="1" w:styleId="16">
    <w:name w:val="标题 3 字符"/>
    <w:basedOn w:val="11"/>
    <w:qFormat/>
    <w:uiPriority w:val="0"/>
    <w:rPr>
      <w:rFonts w:ascii="DengXian" w:hAnsi="宋体" w:eastAsia="DengXian"/>
      <w:b/>
      <w:bCs/>
      <w:kern w:val="2"/>
      <w:sz w:val="32"/>
      <w:szCs w:val="32"/>
    </w:rPr>
  </w:style>
  <w:style w:type="character" w:customStyle="1" w:styleId="17">
    <w:name w:val="标题 4 字符"/>
    <w:basedOn w:val="11"/>
    <w:qFormat/>
    <w:uiPriority w:val="0"/>
    <w:rPr>
      <w:rFonts w:asciiTheme="majorHAnsi" w:hAnsiTheme="majorHAnsi" w:eastAsiaTheme="majorEastAsia" w:cstheme="majorBidi"/>
      <w:b/>
      <w:bCs/>
      <w:kern w:val="2"/>
      <w:sz w:val="28"/>
      <w:szCs w:val="28"/>
    </w:rPr>
  </w:style>
  <w:style w:type="character" w:customStyle="1" w:styleId="18">
    <w:name w:val="标题 5 字符"/>
    <w:basedOn w:val="11"/>
    <w:qFormat/>
    <w:uiPriority w:val="0"/>
    <w:rPr>
      <w:rFonts w:ascii="DengXian" w:hAnsi="宋体" w:eastAsia="DengXian"/>
      <w:b/>
      <w:bCs/>
      <w:kern w:val="2"/>
      <w:sz w:val="28"/>
      <w:szCs w:val="28"/>
    </w:rPr>
  </w:style>
  <w:style w:type="character" w:customStyle="1" w:styleId="19">
    <w:name w:val="标题 6 字符"/>
    <w:basedOn w:val="11"/>
    <w:qFormat/>
    <w:uiPriority w:val="0"/>
    <w:rPr>
      <w:rFonts w:asciiTheme="majorHAnsi" w:hAnsiTheme="majorHAnsi" w:eastAsiaTheme="majorEastAsia" w:cstheme="majorBidi"/>
      <w:b/>
      <w:bCs/>
      <w:kern w:val="2"/>
      <w:sz w:val="24"/>
      <w:szCs w:val="24"/>
    </w:rPr>
  </w:style>
  <w:style w:type="paragraph" w:customStyle="1" w:styleId="20">
    <w:name w:val="msonormal"/>
    <w:basedOn w:val="1"/>
    <w:qFormat/>
    <w:uiPriority w:val="0"/>
    <w:pPr>
      <w:widowControl/>
      <w:spacing w:before="100" w:beforeAutospacing="1" w:after="100" w:afterAutospacing="1"/>
      <w:jc w:val="left"/>
    </w:pPr>
    <w:rPr>
      <w:rFonts w:ascii="宋体" w:eastAsia="宋体" w:cs="宋体"/>
      <w:kern w:val="0"/>
      <w:sz w:val="24"/>
      <w:szCs w:val="24"/>
    </w:rPr>
  </w:style>
  <w:style w:type="character" w:customStyle="1" w:styleId="21">
    <w:name w:val="HTML 预设格式 字符"/>
    <w:basedOn w:val="11"/>
    <w:qFormat/>
    <w:uiPriority w:val="0"/>
    <w:rPr>
      <w:rFonts w:ascii="Courier New" w:hAnsi="Courier New" w:eastAsia="DengXian" w:cs="Courier New"/>
      <w:kern w:val="2"/>
    </w:rPr>
  </w:style>
  <w:style w:type="paragraph" w:customStyle="1" w:styleId="22">
    <w:name w:val="18"/>
    <w:basedOn w:val="1"/>
    <w:qFormat/>
    <w:uiPriority w:val="0"/>
  </w:style>
  <w:style w:type="character" w:customStyle="1" w:styleId="23">
    <w:name w:val="10"/>
    <w:basedOn w:val="11"/>
    <w:qFormat/>
    <w:uiPriority w:val="0"/>
    <w:rPr>
      <w:rFonts w:hint="default" w:ascii="Times New Roman" w:hAnsi="Times New Roman" w:cs="Times New Roman"/>
    </w:rPr>
  </w:style>
  <w:style w:type="character" w:customStyle="1" w:styleId="24">
    <w:name w:val="15"/>
    <w:basedOn w:val="11"/>
    <w:qFormat/>
    <w:uiPriority w:val="0"/>
    <w:rPr>
      <w:rFonts w:hint="default" w:ascii="Times New Roman" w:hAnsi="Times New Roman" w:cs="Times New Roman"/>
      <w:b/>
      <w:bCs/>
    </w:rPr>
  </w:style>
  <w:style w:type="character" w:customStyle="1" w:styleId="25">
    <w:name w:val="16"/>
    <w:basedOn w:val="11"/>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2166</Words>
  <Characters>12350</Characters>
  <Lines>102</Lines>
  <Paragraphs>28</Paragraphs>
  <TotalTime>1</TotalTime>
  <ScaleCrop>false</ScaleCrop>
  <LinksUpToDate>false</LinksUpToDate>
  <CharactersWithSpaces>14488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2022-11-07T07:06:00Z</dcterms:created>
  <dc:creator>Administrator</dc:creator>
  <cp:lastModifiedBy>Administrator</cp:lastModifiedBy>
  <dcterms:modified xsi:type="dcterms:W3CDTF">2023-09-27T11:07:07Z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F888D92D40A340B6B8DF03777DD69ACB_12</vt:lpwstr>
  </property>
</Properties>
</file>