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color w:val="000000"/>
          <w:kern w:val="2"/>
          <w:sz w:val="44"/>
          <w:szCs w:val="44"/>
        </w:rPr>
        <w:t>2021年度中共石鼓区委巡察工作领导小组办公室部门决算</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color w:val="000000"/>
          <w:kern w:val="2"/>
          <w:sz w:val="32"/>
          <w:szCs w:val="32"/>
        </w:rPr>
        <w:t xml:space="preserve"> </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eastAsia" w:ascii="宋体" w:hAnsi="宋体" w:eastAsia="宋体" w:cs="宋体"/>
          <w:kern w:val="2"/>
          <w:sz w:val="21"/>
          <w:szCs w:val="21"/>
        </w:rPr>
      </w:pPr>
      <w:r>
        <w:rPr>
          <w:rFonts w:hint="eastAsia" w:ascii="宋体" w:hAnsi="宋体" w:eastAsia="宋体" w:cs="宋体"/>
          <w:color w:val="000000"/>
          <w:kern w:val="2"/>
          <w:sz w:val="32"/>
          <w:szCs w:val="32"/>
        </w:rPr>
        <w:t>目 录</w:t>
      </w:r>
      <w:r>
        <w:rPr>
          <w:rFonts w:hint="eastAsia" w:ascii="宋体" w:hAnsi="宋体" w:eastAsia="宋体" w:cs="宋体"/>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第一部分 中共石鼓区委巡察工作领导小组办公室概况</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一、部门职责</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二、机构设置</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第二部分 2021年度部门决算表</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一、收入支出决算总表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二、收入决算表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三、支出决算表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四、财政拨款收入支出决算总表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五、一般公共预算财政拨款支出决算表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六、一般公共预算财政拨款基本支出决算明细表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七、一般公共预算财政拨款“三公”经费支出决算表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八、政府性基金预算财政拨款收入支出决算表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九、国有资本经营预算财政拨款支出决算表</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b/>
          <w:bCs/>
          <w:color w:val="000000"/>
          <w:kern w:val="2"/>
          <w:sz w:val="32"/>
          <w:szCs w:val="32"/>
        </w:rPr>
        <w:t>第三部分 2021年度部门决算情况说明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一、收入支出决算总体情况说明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二、收入决算情况说明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三、支出决算情况说明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四、财政拨款收入支出决算总体情况说明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五、一般公共预算财政拨款支出决算情况说明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六、一般公共预算财政拨款基本支出决算情况说明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七、一般公共预算财政拨款“三公”经费支出决算情况说明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八、政府性基金预算收入支出决算情况</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九、机关运行经费支出说明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十、一般性支出情况</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十一、政府采购支出说明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十二、国有资产占用情况说明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700"/>
        <w:rPr>
          <w:rFonts w:hint="default" w:ascii="等线" w:hAnsi="等线" w:eastAsia="等线" w:cs="Times New Roman"/>
          <w:kern w:val="2"/>
          <w:sz w:val="21"/>
          <w:szCs w:val="21"/>
        </w:rPr>
      </w:pPr>
      <w:r>
        <w:rPr>
          <w:rFonts w:hint="eastAsia" w:ascii="宋体" w:hAnsi="宋体" w:eastAsia="宋体" w:cs="宋体"/>
          <w:color w:val="000000"/>
          <w:kern w:val="2"/>
          <w:sz w:val="28"/>
          <w:szCs w:val="28"/>
        </w:rPr>
        <w:t>十三、2021年度预算绩效情况的说明</w:t>
      </w:r>
      <w:r>
        <w:rPr>
          <w:rFonts w:hint="default" w:ascii="等线" w:hAnsi="等线" w:eastAsia="等线" w:cs="Times New Roman"/>
          <w:color w:val="000000"/>
          <w:kern w:val="2"/>
          <w:sz w:val="21"/>
          <w:szCs w:val="21"/>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第四部分 名词解释</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第五部分 附件</w:t>
      </w:r>
      <w:r>
        <w:rPr>
          <w:rFonts w:hint="default" w:ascii="等线" w:hAnsi="等线" w:eastAsia="等线" w:cs="Times New Roman"/>
          <w:color w:val="000000"/>
          <w:kern w:val="2"/>
          <w:sz w:val="27"/>
          <w:szCs w:val="27"/>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line="600" w:lineRule="atLeast"/>
        <w:ind w:left="0" w:right="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第一部分 中共石鼓区委巡察工作领导小组办公室概况</w:t>
      </w:r>
      <w:r>
        <w:rPr>
          <w:rFonts w:hint="default" w:ascii="等线" w:hAnsi="等线" w:eastAsia="等线" w:cs="Times New Roman"/>
          <w:b/>
          <w:bCs/>
          <w:color w:val="000000"/>
          <w:kern w:val="2"/>
          <w:sz w:val="21"/>
          <w:szCs w:val="21"/>
        </w:rPr>
        <w:t xml:space="preserve"> </w:t>
      </w:r>
    </w:p>
    <w:p>
      <w:pPr>
        <w:pStyle w:val="18"/>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8"/>
        <w:keepNext w:val="0"/>
        <w:keepLines w:val="0"/>
        <w:widowControl/>
        <w:suppressLineNumbers w:val="0"/>
        <w:spacing w:before="0" w:beforeAutospacing="0" w:after="2" w:afterAutospacing="0"/>
        <w:ind w:left="0" w:right="0" w:firstLine="0"/>
        <w:rPr>
          <w:rFonts w:hint="eastAsia" w:ascii="宋体" w:hAnsi="宋体" w:eastAsia="宋体" w:cs="宋体"/>
          <w:kern w:val="0"/>
          <w:sz w:val="24"/>
          <w:szCs w:val="24"/>
        </w:rPr>
      </w:pPr>
      <w:r>
        <w:rPr>
          <w:rFonts w:hint="eastAsia" w:ascii="黑体" w:hAnsi="宋体" w:eastAsia="黑体" w:cs="黑体"/>
          <w:color w:val="000000"/>
          <w:kern w:val="0"/>
          <w:sz w:val="32"/>
          <w:szCs w:val="32"/>
        </w:rPr>
        <w:t xml:space="preserve"> </w:t>
      </w:r>
      <w:r>
        <w:rPr>
          <w:rFonts w:hint="eastAsia" w:ascii="宋体" w:hAnsi="宋体" w:eastAsia="宋体" w:cs="宋体"/>
          <w:color w:val="000000"/>
          <w:kern w:val="0"/>
          <w:sz w:val="24"/>
          <w:szCs w:val="24"/>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一、部门职责</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（一）向区委巡察工作领导小组、市委巡察工作领导小组办公室报告巡察工作情况，传达贯彻中央、省委、市委、区委巡察工作领导小组的决策和部署。</w:t>
      </w:r>
      <w:r>
        <w:rPr>
          <w:rFonts w:hint="default" w:ascii="等线" w:hAnsi="等线" w:eastAsia="等线" w:cs="Times New Roman"/>
          <w:color w:val="000000"/>
          <w:kern w:val="2"/>
          <w:sz w:val="32"/>
          <w:szCs w:val="32"/>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（二）承担巡察工作有关政策研究、制度建设等工作。</w:t>
      </w:r>
      <w:r>
        <w:rPr>
          <w:rFonts w:hint="default" w:ascii="等线" w:hAnsi="等线" w:eastAsia="等线" w:cs="Times New Roman"/>
          <w:color w:val="000000"/>
          <w:kern w:val="2"/>
          <w:sz w:val="32"/>
          <w:szCs w:val="32"/>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（三）统筹、协调、指导区委巡察组开展工作。</w:t>
      </w:r>
      <w:r>
        <w:rPr>
          <w:rFonts w:hint="default" w:ascii="等线" w:hAnsi="等线" w:eastAsia="等线" w:cs="Times New Roman"/>
          <w:color w:val="000000"/>
          <w:kern w:val="2"/>
          <w:sz w:val="32"/>
          <w:szCs w:val="32"/>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（四）对区委、区委巡察工作领导小组决定的事项及巡察移交事项进行督办。</w:t>
      </w:r>
      <w:r>
        <w:rPr>
          <w:rFonts w:hint="default" w:ascii="等线" w:hAnsi="等线" w:eastAsia="等线" w:cs="Times New Roman"/>
          <w:color w:val="000000"/>
          <w:kern w:val="2"/>
          <w:sz w:val="32"/>
          <w:szCs w:val="32"/>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（五）配合有关部门对巡察工作人员进行培训、考核、监督和管理。</w:t>
      </w:r>
      <w:r>
        <w:rPr>
          <w:rFonts w:hint="default" w:ascii="等线" w:hAnsi="等线" w:eastAsia="等线" w:cs="Times New Roman"/>
          <w:color w:val="000000"/>
          <w:kern w:val="2"/>
          <w:sz w:val="32"/>
          <w:szCs w:val="32"/>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（六）完成区委和区委巡察工作领导小组交办的其他任务。</w:t>
      </w:r>
      <w:r>
        <w:rPr>
          <w:rFonts w:hint="default" w:ascii="等线" w:hAnsi="等线" w:eastAsia="等线" w:cs="Times New Roman"/>
          <w:color w:val="000000"/>
          <w:kern w:val="2"/>
          <w:sz w:val="32"/>
          <w:szCs w:val="32"/>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二、机构设置及决算单位构成</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（一）内设机构设置</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    中共石鼓区委巡察工作领导小组办公室内设机构包括：本部门共有编制人数14人，实有人数12人。内设股室4个，分别为：综合室、巡察指导室、巡察督导室、巡察信息室。</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（二）决算单位构成</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    中共石鼓区委巡察工作领导小组办公室2021年部门决算汇总公开单位构成包括：巡察办单位本级（因区委巡察事务中心未纳入独立核算单位，未单独进行决算，在巡察办一级预算单位下统一决算）。</w:t>
      </w:r>
      <w:r>
        <w:rPr>
          <w:rFonts w:hint="default" w:ascii="等线" w:hAnsi="等线" w:eastAsia="等线" w:cs="Times New Roman"/>
          <w:color w:val="000000"/>
          <w:kern w:val="2"/>
          <w:sz w:val="27"/>
          <w:szCs w:val="27"/>
        </w:rPr>
        <w:t xml:space="preserve"> </w:t>
      </w:r>
    </w:p>
    <w:p>
      <w:pPr>
        <w:rPr>
          <w:rFonts w:hint="default" w:ascii="等线" w:hAnsi="等线" w:eastAsia="等线" w:cs="Times New Roman"/>
          <w:color w:val="000000"/>
          <w:kern w:val="2"/>
          <w:sz w:val="32"/>
          <w:szCs w:val="32"/>
        </w:rPr>
        <w:sectPr>
          <w:pgSz w:w="11906" w:h="16838" w:orient="landscape"/>
          <w:pgMar w:top="1440" w:right="1080" w:bottom="1440" w:left="1080" w:header="851" w:footer="992" w:gutter="0"/>
          <w:cols w:space="0" w:num="1"/>
          <w:docGrid w:type="lines" w:linePitch="160" w:charSpace="0"/>
        </w:sectPr>
      </w:pPr>
    </w:p>
    <w:p>
      <w:pPr>
        <w:spacing w:before="0" w:beforeAutospacing="0" w:after="2" w:afterAutospacing="0"/>
        <w:ind w:left="0" w:firstLine="721"/>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ind w:left="0" w:firstLine="721"/>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第二部分 2021年度部门决算表</w:t>
      </w:r>
      <w:r>
        <w:rPr>
          <w:rFonts w:hint="default" w:ascii="等线" w:hAnsi="等线" w:eastAsia="等线" w:cs="Times New Roman"/>
          <w:color w:val="000000"/>
          <w:kern w:val="2"/>
          <w:sz w:val="21"/>
          <w:szCs w:val="21"/>
        </w:rPr>
        <w:t xml:space="preserve"> </w:t>
      </w:r>
    </w:p>
    <w:p>
      <w:pPr>
        <w:pStyle w:val="18"/>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799"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02"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7" w:type="pct"/>
            <w:gridSpan w:val="4"/>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1002" w:type="pct"/>
            <w:gridSpan w:val="2"/>
            <w:tcBorders>
              <w:top w:val="nil"/>
              <w:left w:val="nil"/>
              <w:bottom w:val="single" w:color="666666" w:sz="6" w:space="0"/>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收入</w:t>
            </w:r>
          </w:p>
        </w:tc>
        <w:tc>
          <w:tcPr>
            <w:tcW w:w="2500" w:type="pct"/>
            <w:gridSpan w:val="3"/>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金额</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一、一般公共预算财政拨款收入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264.73</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一、一般公共服务支出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二、政府性基金预算财政拨款收入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二、外交支出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三、国有资本经营预算财政拨款收入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三、国防支出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四、上级补助收入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四、公共安全支出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五、事业收入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五、教育支出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六、经营收入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六、科学技术支出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七、附属单位上缴收入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七、文化旅游体育与传媒支出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八、其他收入</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八、社会保障和就业支出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九、卫生健康支出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十、节能环保支出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十一、城乡社区支出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十二、农林水支出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十三、交通运输支出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十四、资源勘探工业信息等支出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十五、商业服务业等支出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十六、金融支出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十七、援助其他地区支出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十八、自然资源海洋气象等支出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十九、住房保障支出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二十、粮油物资储备支出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二十一、国有资本经营预算支出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二十二、灾害防治及应急管理支出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23</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二十三、其他支出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24</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二十四、债务还本支出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25</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二十五、债务付息支出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0"/>
                <w:szCs w:val="20"/>
              </w:rPr>
              <w:t>26</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二十六、抗疫特别国债安排的支出</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本年收入合计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27</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264.73</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本年支出合计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使用非财政拨款结余</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28</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结余分配</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年初结转和结余</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29</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3.17</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年末结转和结余</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30</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497"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97"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31</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1497"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20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62</w:t>
            </w:r>
          </w:p>
        </w:tc>
        <w:tc>
          <w:tcPr>
            <w:tcW w:w="799"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6"/>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注：本表反映部门本年度的总收支和年末结转结余情况。本表金额转换为万元时，因四舍五入可能存在尾数误差。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8"/>
        <w:gridCol w:w="359"/>
        <w:gridCol w:w="369"/>
        <w:gridCol w:w="3192"/>
        <w:gridCol w:w="2175"/>
        <w:gridCol w:w="1591"/>
        <w:gridCol w:w="1591"/>
        <w:gridCol w:w="1591"/>
        <w:gridCol w:w="1617"/>
        <w:gridCol w:w="1591"/>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9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67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94"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04" w:type="pct"/>
            <w:gridSpan w:val="9"/>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994"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本年收入合计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财政拨款收入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上级补助收入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事业收入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经营收入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附属单位上缴收入</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39"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264.73</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264.73</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一般公共服务支出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237.05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237.05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纪检监察事务</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235.85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235.85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155.85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155.85</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2011106</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巡视工作</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80.00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2019999</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社会保障和就业支出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行政事业单位养老支出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2080505</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11.82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11.82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2080506</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机关事业单位职业年金缴费支出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1.30</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卫生健康支出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行政事业单位医疗</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行政单位医疗</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住房保障支出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住房改革支出</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2210201</w:t>
            </w:r>
          </w:p>
        </w:tc>
        <w:tc>
          <w:tcPr>
            <w:tcW w:w="99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6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9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1"/>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注：本表反映部门本年度取得的各项收入情况。本表金额转换为万元时，因四舍五入可能存在尾数误差。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1"/>
        <w:gridCol w:w="3551"/>
        <w:gridCol w:w="2415"/>
        <w:gridCol w:w="1771"/>
        <w:gridCol w:w="1771"/>
        <w:gridCol w:w="1777"/>
        <w:gridCol w:w="1771"/>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2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2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0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75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05"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93" w:type="pct"/>
            <w:gridSpan w:val="8"/>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1105"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上缴上级支出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经营支出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一般公共服务支出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238.67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238.67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纪检监察事务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237.47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237.47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157.47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157.47</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2011106</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巡视工作</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80.00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2019999</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206</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科学技术支出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20601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科学技术管理事务</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2060101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社会保障和就业支出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行政事业单位养老支出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2080505</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11.82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11.82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2080506</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机关事业单位职业年金缴费支出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1.30</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卫生健康支出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行政事业单位医疗</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行政单位医疗</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住房保障支出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住房改革支出</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2210201</w:t>
            </w:r>
          </w:p>
        </w:tc>
        <w:tc>
          <w:tcPr>
            <w:tcW w:w="110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7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52"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注：本表反映部门本年度各项支出情况。本表金额转换为万元时，因四舍五入可能存在尾数误差。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3"/>
        <w:gridCol w:w="145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8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66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11"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86" w:type="pct"/>
            <w:gridSpan w:val="7"/>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911" w:type="pct"/>
            <w:gridSpan w:val="2"/>
            <w:tcBorders>
              <w:top w:val="nil"/>
              <w:left w:val="nil"/>
              <w:bottom w:val="single" w:color="666666" w:sz="6" w:space="0"/>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收 入</w:t>
            </w:r>
          </w:p>
        </w:tc>
        <w:tc>
          <w:tcPr>
            <w:tcW w:w="3349" w:type="pct"/>
            <w:gridSpan w:val="6"/>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金额</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行次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一般公共预算财政拨款</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政府性基金预算财政拨款</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264.73</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一、一般公共服务支出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238.67</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238.67</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二、政府性基金预算财政拨款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二、外交支出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三、国有资本经营财政拨款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三、国防支出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35</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四、公共安全支出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36</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五、教育支出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37</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六、科学技术支出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38</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七、文化旅游体育与传媒支出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39</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8</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八、社会保障和就业支出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40</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9</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九、卫生健康支出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41</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10</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十、节能环保支出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42</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十一、城乡社区支出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十二、农林水支出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13</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十三、交通运输支出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45</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14</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十四、资源勘探工业信息等支出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46</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15</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十五、商业服务业等支出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47</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16</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十六、金融支出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48</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17</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十七、援助其他地区支出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49</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18</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十八、自然资源海洋气象等支出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50</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19</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十九、住房保障支出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51</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20</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二十、粮油物资储备支出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52</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二十一、国有资本经营预算支出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二十二、灾害防治及应急管理支出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23</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二十三、其他支出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55</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24</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二十四、债务还本支出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56</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25</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二十五、债务付息支出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57</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0"/>
                <w:szCs w:val="20"/>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26</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二十六、抗疫特别国债安排的支出</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58</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本年收入合计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27</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264.73</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本年支出合计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59</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年初财政拨款结转和结余</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28</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3.17</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年末财政拨款结转和结余</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60</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29</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3.17</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61</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政府性基金预算财政拨款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30</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62</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国有资本经营预算财政拨款</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31</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15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63</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99"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32</w:t>
            </w:r>
          </w:p>
        </w:tc>
        <w:tc>
          <w:tcPr>
            <w:tcW w:w="48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115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总计</w:t>
            </w:r>
          </w:p>
        </w:tc>
        <w:tc>
          <w:tcPr>
            <w:tcW w:w="16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64</w:t>
            </w:r>
          </w:p>
        </w:tc>
        <w:tc>
          <w:tcPr>
            <w:tcW w:w="6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c>
          <w:tcPr>
            <w:tcW w:w="45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注：本表反映部门本年度一般公共预算财政拨款、政府性基金预算财政拨款和国有资本经营预算财政拨款的总收支和年末结转结余情况。本表金额转换为万元时，因四舍五入可能存在尾数误差。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4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4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82"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96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928"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1" w:type="pct"/>
            <w:gridSpan w:val="5"/>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1928" w:type="pct"/>
            <w:gridSpan w:val="2"/>
            <w:tcBorders>
              <w:top w:val="nil"/>
              <w:left w:val="nil"/>
              <w:bottom w:val="single" w:color="666666" w:sz="6" w:space="0"/>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892" w:type="pct"/>
            <w:gridSpan w:val="3"/>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267.90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一般公共服务支出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238.67</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238.67</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纪检监察事务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237.47</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237.47</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157.47</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157.47</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2011106</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巡视工作</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80.00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80.00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2019999</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其他一般公共服务支出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1.20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206</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科学技术支出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20601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科学技术管理事务</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2060101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行政运行</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1.56</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社会保障和就业支出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行政事业单位养老支出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2080505</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11.82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11.82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2080506</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机关事业单位职业年金缴费支出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1.30</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卫生健康支出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行政事业单位医疗</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2101101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行政单位医疗</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住房保障支出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住房改革支出</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2210201</w:t>
            </w:r>
          </w:p>
        </w:tc>
        <w:tc>
          <w:tcPr>
            <w:tcW w:w="1682"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96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注：本表反映部门本年度一般公共预算财政拨款支出情况。本表金额转换为万元时，因四舍五入可能存在尾数误差。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6"/>
        <w:gridCol w:w="1726"/>
        <w:gridCol w:w="725"/>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5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366"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632" w:type="pct"/>
            <w:gridSpan w:val="7"/>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1366" w:type="pct"/>
            <w:gridSpan w:val="2"/>
            <w:tcBorders>
              <w:top w:val="nil"/>
              <w:left w:val="nil"/>
              <w:bottom w:val="single" w:color="666666" w:sz="6" w:space="0"/>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人员经费</w:t>
            </w:r>
          </w:p>
        </w:tc>
        <w:tc>
          <w:tcPr>
            <w:tcW w:w="3182" w:type="pct"/>
            <w:gridSpan w:val="6"/>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科目编码</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科目编码</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工资福利支出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181.56</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商品和服务支出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80.00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债务利息及费用支出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基本工资</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43.65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办公费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35.00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30701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国内债务付息</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30102</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津贴补贴</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28.53</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印刷费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14.34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30702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国外债务付息</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奖金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59.63</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咨询费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310</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资本性支出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30106</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伙食补助费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30204</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手续费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房屋建筑物购建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30107</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绩效工资</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办公设备购置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30108</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机关事业单位基本养老保险缴费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11.82</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电费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专用设备购置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30109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职业年金缴费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邮电费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3.77</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基础设施建设</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30110</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职工基本医疗保险缴费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6.12</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取暖费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大型修缮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公务员医疗补助缴费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30209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物业管理费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信息网络及软件购置更新</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30112</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其他社会保障缴费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差旅费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0.10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物资储备</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住房公积金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8.44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因公出国（境）费用</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31009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土地补偿</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30114</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医疗费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维修（护）费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0.32</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31010</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安置补助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30199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其他工资福利支出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22.07</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30214</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租赁费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0.09</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地上附着物和青苗补偿</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303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对个人和家庭的补助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6.34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会议费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拆迁补偿</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离休费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培训费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0.65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31013</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30302</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退休费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公务接待费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31019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其他交通工具购置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30303</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退职（役）费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30218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专用材料费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31021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文物和陈列品购置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30304</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抚恤金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30224</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被装购置费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31022</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无形资产购置</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30305</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生活补助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3.70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30225</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专用燃料费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31099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其他资本性支出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30306</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救济费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劳务费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1.35</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399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bCs/>
                <w:kern w:val="0"/>
                <w:sz w:val="22"/>
                <w:szCs w:val="22"/>
              </w:rPr>
              <w:t>其他支出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bCs/>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30307</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医疗费补助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委托业务费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0.14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39906</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赠与</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30308</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助学金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工会经费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5.50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39907</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国家赔偿费用支出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30309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奖励金</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1.50</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30229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福利费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39908</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对民间非营利组织和群众性自治组织补贴</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30310</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个人农业生产补贴</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30231</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公务用车运行维护费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39999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30311</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代缴社会保险费</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30239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其他交通费用</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30399</w:t>
            </w:r>
          </w:p>
        </w:tc>
        <w:tc>
          <w:tcPr>
            <w:tcW w:w="105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其他对个人和家庭的补助</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1.14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30240</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税金及附加费用</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4" w:type="pct"/>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5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22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30299</w:t>
            </w:r>
          </w:p>
        </w:tc>
        <w:tc>
          <w:tcPr>
            <w:tcW w:w="82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其他商品和服务支出</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18.74</w:t>
            </w:r>
          </w:p>
        </w:tc>
        <w:tc>
          <w:tcPr>
            <w:tcW w:w="22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2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53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人员经费合计</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187.90</w:t>
            </w:r>
          </w:p>
        </w:tc>
        <w:tc>
          <w:tcPr>
            <w:tcW w:w="2645" w:type="pct"/>
            <w:gridSpan w:val="5"/>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2"/>
                <w:szCs w:val="22"/>
              </w:rPr>
              <w:t>公用经费合计</w:t>
            </w:r>
          </w:p>
        </w:tc>
        <w:tc>
          <w:tcPr>
            <w:tcW w:w="53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9"/>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注：本表反映部门本年度一般公共预算财政拨款基本支出明细情况。本表金额转换为万元时，因四舍五入可能存在尾数误差。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2"/>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16"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833"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6" w:type="pct"/>
            <w:gridSpan w:val="10"/>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833" w:type="pct"/>
            <w:gridSpan w:val="2"/>
            <w:tcBorders>
              <w:top w:val="nil"/>
              <w:left w:val="nil"/>
              <w:bottom w:val="single" w:color="666666" w:sz="6" w:space="0"/>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预算数</w:t>
            </w:r>
          </w:p>
        </w:tc>
        <w:tc>
          <w:tcPr>
            <w:tcW w:w="2500" w:type="pct"/>
            <w:gridSpan w:val="6"/>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因公出国（境）费</w:t>
            </w:r>
          </w:p>
        </w:tc>
        <w:tc>
          <w:tcPr>
            <w:tcW w:w="1250" w:type="pct"/>
            <w:gridSpan w:val="3"/>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公务用车购置及运行费</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公务接待费</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因公出国（境）费</w:t>
            </w:r>
          </w:p>
        </w:tc>
        <w:tc>
          <w:tcPr>
            <w:tcW w:w="1250" w:type="pct"/>
            <w:gridSpan w:val="3"/>
            <w:tcBorders>
              <w:top w:val="single" w:color="666666" w:sz="6" w:space="0"/>
              <w:left w:val="nil"/>
              <w:bottom w:val="nil"/>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公务用车购置及运行费</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pct"/>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公务用车购置费</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公务用车运行费</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公务用车购置费</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公务用车运行费</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7</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8</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9</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11</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16" w:type="pct"/>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c>
          <w:tcPr>
            <w:tcW w:w="416"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2"/>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4"/>
        <w:gridCol w:w="1517"/>
        <w:gridCol w:w="4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816"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82" w:type="pct"/>
            <w:gridSpan w:val="8"/>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1816"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年初结转和结余</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本年收入</w:t>
            </w:r>
          </w:p>
        </w:tc>
        <w:tc>
          <w:tcPr>
            <w:tcW w:w="1281" w:type="pct"/>
            <w:gridSpan w:val="3"/>
            <w:tcBorders>
              <w:top w:val="single" w:color="666666" w:sz="6" w:space="0"/>
              <w:left w:val="nil"/>
              <w:bottom w:val="nil"/>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小计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4</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5</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614"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335"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47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13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本年度无该项支出</w:t>
            </w: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07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68"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614"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335"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47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3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10"/>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注：本表反映部门本年度政府性基金预算财政拨款收入、支出及结转和结余情况。本表金额转换为万元时，因四舍五入可能存在尾数误差。</w:t>
            </w:r>
          </w:p>
        </w:tc>
      </w:tr>
    </w:tbl>
    <w:p>
      <w:pPr>
        <w:spacing w:before="0" w:beforeAutospacing="0" w:after="2" w:afterAutospacing="0"/>
        <w:ind w:left="0" w:right="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tbl>
      <w:tblPr>
        <w:tblStyle w:val="1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5"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nil"/>
              <w:left w:val="nil"/>
              <w:bottom w:val="nil"/>
              <w:right w:val="nil"/>
            </w:tcBorders>
            <w:shd w:val="clear" w:color="auto" w:fill="auto"/>
            <w:vAlign w:val="center"/>
          </w:tcPr>
          <w:p>
            <w:pPr>
              <w:rPr>
                <w:rFonts w:hint="default" w:ascii="宋体" w:hAnsi="等线" w:eastAsia="等线" w:cs="Times New Roman"/>
                <w:b w:val="0"/>
                <w:bCs w:val="0"/>
                <w:kern w:val="2"/>
                <w:sz w:val="22"/>
                <w:szCs w:val="22"/>
              </w:rPr>
            </w:pPr>
          </w:p>
        </w:tc>
        <w:tc>
          <w:tcPr>
            <w:tcW w:w="1686" w:type="pct"/>
            <w:gridSpan w:val="2"/>
            <w:tcBorders>
              <w:top w:val="nil"/>
              <w:left w:val="nil"/>
              <w:bottom w:val="nil"/>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3" w:type="pct"/>
            <w:gridSpan w:val="5"/>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部门：中共衡阳市石鼓区委员会巡察工作领导小组办公室</w:t>
            </w:r>
          </w:p>
        </w:tc>
        <w:tc>
          <w:tcPr>
            <w:tcW w:w="1686" w:type="pct"/>
            <w:gridSpan w:val="2"/>
            <w:tcBorders>
              <w:top w:val="nil"/>
              <w:left w:val="nil"/>
              <w:bottom w:val="single" w:color="666666" w:sz="6" w:space="0"/>
              <w:right w:val="nil"/>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val="0"/>
                <w:bCs w:val="0"/>
                <w:kern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w:t>
            </w:r>
          </w:p>
        </w:tc>
        <w:tc>
          <w:tcPr>
            <w:tcW w:w="2530" w:type="pct"/>
            <w:gridSpan w:val="3"/>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vMerge w:val="restart"/>
            <w:tcBorders>
              <w:top w:val="nil"/>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功能分类科目编码</w:t>
            </w:r>
          </w:p>
        </w:tc>
        <w:tc>
          <w:tcPr>
            <w:tcW w:w="0" w:type="pct"/>
            <w:vMerge w:val="restart"/>
            <w:tcBorders>
              <w:top w:val="nil"/>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科目名称</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基本支出</w:t>
            </w:r>
          </w:p>
        </w:tc>
        <w:tc>
          <w:tcPr>
            <w:tcW w:w="0" w:type="pct"/>
            <w:vMerge w:val="restar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vMerge w:val="continue"/>
            <w:tcBorders>
              <w:top w:val="nil"/>
              <w:left w:val="single" w:color="666666" w:sz="6" w:space="0"/>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nil"/>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c>
          <w:tcPr>
            <w:tcW w:w="0" w:type="pct"/>
            <w:vMerge w:val="continue"/>
            <w:tcBorders>
              <w:top w:val="single" w:color="666666" w:sz="6" w:space="0"/>
              <w:left w:val="nil"/>
              <w:bottom w:val="single" w:color="666666" w:sz="6" w:space="0"/>
              <w:right w:val="single" w:color="666666" w:sz="6"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栏次</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1</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2</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18"/>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val="0"/>
                <w:bCs w:val="0"/>
                <w:kern w:val="0"/>
                <w:sz w:val="22"/>
                <w:szCs w:val="22"/>
              </w:rPr>
              <w:t>合计</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right"/>
              <w:rPr>
                <w:rFonts w:hint="eastAsia" w:ascii="宋体" w:hAnsi="宋体" w:eastAsia="宋体" w:cs="宋体"/>
                <w:kern w:val="0"/>
                <w:sz w:val="24"/>
                <w:szCs w:val="24"/>
              </w:rPr>
            </w:pPr>
            <w:r>
              <w:rPr>
                <w:rFonts w:hint="eastAsia" w:ascii="宋体" w:hAnsi="宋体" w:eastAsia="宋体" w:cs="宋体"/>
                <w:b/>
                <w:bCs/>
                <w:kern w:val="0"/>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本年度无该项支出</w:t>
            </w: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1971"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c>
          <w:tcPr>
            <w:tcW w:w="843" w:type="pct"/>
            <w:tcBorders>
              <w:top w:val="single" w:color="666666" w:sz="6" w:space="0"/>
              <w:left w:val="nil"/>
              <w:bottom w:val="single" w:color="666666" w:sz="6" w:space="0"/>
              <w:right w:val="single" w:color="666666" w:sz="6" w:space="0"/>
            </w:tcBorders>
            <w:shd w:val="clear" w:color="auto" w:fill="auto"/>
            <w:vAlign w:val="center"/>
          </w:tcPr>
          <w:p>
            <w:pPr>
              <w:rPr>
                <w:rFonts w:hint="default" w:ascii="宋体" w:hAnsi="等线" w:eastAsia="等线" w:cs="Times New Roman"/>
                <w:b w:val="0"/>
                <w:b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7"/>
            <w:tcBorders>
              <w:top w:val="nil"/>
              <w:left w:val="nil"/>
              <w:bottom w:val="nil"/>
              <w:right w:val="nil"/>
            </w:tcBorders>
            <w:shd w:val="clear" w:color="auto" w:fill="auto"/>
            <w:vAlign w:val="center"/>
          </w:tcPr>
          <w:p>
            <w:pPr>
              <w:pStyle w:val="18"/>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b w:val="0"/>
                <w:bCs w:val="0"/>
                <w:kern w:val="0"/>
                <w:sz w:val="22"/>
                <w:szCs w:val="22"/>
              </w:rPr>
              <w:t>注：本表反映部门本年度国有资本经营预算财政拨款支出情况。本表金额转换为万元时，因四舍五入可能存在尾数误差。</w:t>
            </w:r>
          </w:p>
        </w:tc>
      </w:tr>
    </w:tbl>
    <w:p>
      <w:pPr>
        <w:rPr>
          <w:rFonts w:hint="default" w:ascii="等线" w:hAnsi="等线" w:eastAsia="等线" w:cs="Times New Roman"/>
          <w:color w:val="000000"/>
          <w:kern w:val="2"/>
          <w:sz w:val="32"/>
          <w:szCs w:val="32"/>
        </w:rPr>
        <w:sectPr>
          <w:pgSz w:w="16838" w:h="11906"/>
          <w:pgMar w:top="1080" w:right="400" w:bottom="1080" w:left="400" w:header="851" w:footer="992" w:gutter="0"/>
          <w:cols w:space="0" w:num="1"/>
          <w:docGrid w:type="lines" w:linePitch="160" w:charSpace="0"/>
        </w:sectPr>
      </w:pPr>
    </w:p>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第三部分 2021年度部门决算情况说明</w:t>
      </w:r>
      <w:r>
        <w:rPr>
          <w:rFonts w:hint="default" w:ascii="等线" w:hAnsi="等线" w:eastAsia="等线" w:cs="Times New Roman"/>
          <w:color w:val="000000"/>
          <w:kern w:val="2"/>
          <w:sz w:val="21"/>
          <w:szCs w:val="21"/>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一、收入支出决算总体情况说明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2021年度收、支总计267.9万元。与上一年度相比，收、支总计各增加32.9万元，增长14%。主要是因为巡察任务重，开支多。</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二、收入决算情况说明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2021年度收入合计264.73万元，其中：财政拨款收入264.73万元，占100%；上级补助收入0万元，占0%；事业收入0万元，占0%；经营收入0万元，占0%；附属单位上缴收入0万元，占0%；其他收入0万元，占0%。</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三、支出决算情况说明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2021年度支出合计267.9万元，其中：基本支出267.9万元，占100%；项目支出0万元，占0%；上缴上级支出0万元，占0%；经营支出0万元，占0%；对附属单位补助支出0万元，占0%。</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四、财政拨款收入支出决算总体情况说明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收、支总计267.9万元，其中：一般公共预算财政拨款267.9万元，政府性基金财政拨款0万元。与上一年度相比，财政拨款收、支总计各增加32.9万元，增长14%。主要是因为人员工资有变动，巡察任务不同，开支不同。</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五、一般公共预算财政拨款支出决算情况说明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（一）财政拨款支出决算总体情况</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855"/>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2021年度财政拨款支出267.9万元，其中：基本支出267.9万元，项目支出0万元。占本年支出合计的100%。与上一年度相比，财政拨款支出增加36.08万元，增长15.56%。主要是因为巡察业务增大，支出增多。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（二）财政拨款支出决算结构情况</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支出267.9万元，主要用于以下方面：一般公共服务支出238.67万元，占89.09%；科学技术支出1.56万元，占0.58%；社会保障和就业支出13.12万元，占4.9%；卫生健康支出6.12万元，占2.28%；住房保障支出8.44万元，占3.15%。</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（三）财政拨款支出决算具体情况</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2021年度财政拨款支出年初预算数为143.96万元，支出决算数为267.9万元，完成年初预算的186.09%，其中：</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1、一般公共服务支出（类）纪检监察事务（款）行政运行（项）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年初预算为117.58万元，支出决算为157.47万元，完成年初预算的133.93%。决算数大于年初预算数的主要原因是：巡察工作量的增加。</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2、一般公共服务支出（类）纪检监察事务（款）巡视工作（项）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年初预算为0万元，支出决算为80万元，决算数大于年初预算数的主要原因是：巡察任务重，开支多。</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3、一般公共服务支出（类）其他一般公共服务支出（款）其他一般公共服务支出（项）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年初预算为0万元，支出决算为1.2万元，决算数大于年初预算数的主要原因是：临时增加相关的业务支出。</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4、科学技术支出（类）科学技术管理事务（款）行政运行（项）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年初预算为0万元，支出决算为1.56万元，决算数大于年初预算数的主要原因是：年内增加了相关业务。</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5、社会保障和就业支出（类）行政事业单位养老支出（款）机关事业单位基本养老保险缴费支出（项）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年初预算为11.82万元，支出决算为11.82万元，完成年初预算的100%。决算数与年初预算数一致，我单位严格按预算执行决算。</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6、社会保障和就业支出（类）行政事业单位养老支出（款）机关事业单位职业年金缴费支出（项）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年初预算为0万元，支出决算为1.3万元，决算数大于年初预算数的主要原因是：职业年金基数变动。</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7、卫生健康支出（类）行政事业单位医疗（款）行政单位医疗（项）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年初预算为6.12万元，支出决算为6.12万元，完成年初预算的100%。决算数与年初预算数一致，我单位严格按预算执行决算。</w:t>
      </w:r>
    </w:p>
    <w:p>
      <w:pPr>
        <w:pStyle w:val="16"/>
        <w:spacing w:before="0" w:beforeAutospacing="0" w:after="2" w:afterAutospacing="0"/>
        <w:ind w:left="0" w:firstLine="641"/>
        <w:rPr>
          <w:rFonts w:hint="default" w:ascii="等线" w:hAnsi="等线" w:eastAsia="等线" w:cs="Times New Roman"/>
          <w:kern w:val="2"/>
          <w:sz w:val="27"/>
          <w:szCs w:val="27"/>
        </w:rPr>
      </w:pPr>
      <w:r>
        <w:rPr>
          <w:rStyle w:val="15"/>
          <w:rFonts w:hint="eastAsia" w:ascii="宋体" w:hAnsi="宋体" w:eastAsia="宋体" w:cs="宋体"/>
          <w:b/>
          <w:bCs w:val="0"/>
          <w:color w:val="000000"/>
          <w:sz w:val="32"/>
          <w:szCs w:val="32"/>
        </w:rPr>
        <w:t>8、住房保障支出（类）住房改革支出（款）住房公积金（项）</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年初预算为8.44万元，支出决算为8.44万元，完成年初预算的100%。决算数与年初预算数一致，我单位严格按预算执行决算。</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六、一般公共预算财政拨款基本支出决算情况说明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财政拨款基本支出267.9万元，其中：人员经费187.9万元，占基本支出的70.14%，主要包括：基本工资、津贴补贴、奖金、机关事业单位基本养老保险缴费、职业年金缴费、职工基本医疗保险缴费、住房公积金、其他工资福利支出、生活补助、奖励金、其他对个人和家庭的补助。公用经费80万元，占基本支出的29.86%，主要包括：办公费、印刷费、邮电费、差旅费、维修（护）费、租赁费、培训费、劳务费、委托业务费、工会经费、其他商品和服务支出。</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七、一般公共预算财政拨款三公经费支出决算情况说明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（一）“三公”经费财政拨款支出决算总体情况说明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eastAsia" w:ascii="等线" w:hAnsi="等线" w:eastAsia="宋体" w:cs="Times New Roman"/>
          <w:kern w:val="2"/>
          <w:sz w:val="27"/>
          <w:szCs w:val="27"/>
          <w:lang w:eastAsia="zh-CN"/>
        </w:rPr>
      </w:pPr>
      <w:r>
        <w:rPr>
          <w:rFonts w:hint="eastAsia" w:ascii="宋体" w:hAnsi="宋体" w:eastAsia="宋体" w:cs="宋体"/>
          <w:color w:val="000000"/>
          <w:kern w:val="2"/>
          <w:sz w:val="32"/>
          <w:szCs w:val="32"/>
        </w:rPr>
        <w:t>2021年度“三公”经费财政拨款支出预算为0万元，支出决算为0万元，</w:t>
      </w:r>
      <w:r>
        <w:rPr>
          <w:rFonts w:hint="eastAsia" w:ascii="宋体" w:hAnsi="宋体" w:eastAsia="宋体" w:cs="宋体"/>
          <w:color w:val="000000"/>
          <w:kern w:val="2"/>
          <w:sz w:val="32"/>
          <w:szCs w:val="32"/>
          <w:lang w:eastAsia="zh-CN"/>
        </w:rPr>
        <w:t>因数据为</w:t>
      </w:r>
      <w:r>
        <w:rPr>
          <w:rFonts w:hint="eastAsia" w:ascii="宋体" w:hAnsi="宋体" w:eastAsia="宋体" w:cs="宋体"/>
          <w:color w:val="000000"/>
          <w:kern w:val="2"/>
          <w:sz w:val="32"/>
          <w:szCs w:val="32"/>
          <w:lang w:val="en-US" w:eastAsia="zh-CN"/>
        </w:rPr>
        <w:t>0</w:t>
      </w:r>
      <w:r>
        <w:rPr>
          <w:rFonts w:hint="eastAsia" w:ascii="宋体" w:hAnsi="宋体" w:eastAsia="宋体" w:cs="宋体"/>
          <w:color w:val="000000"/>
          <w:kern w:val="2"/>
          <w:sz w:val="32"/>
          <w:szCs w:val="32"/>
        </w:rPr>
        <w:t>，</w:t>
      </w:r>
      <w:r>
        <w:rPr>
          <w:rFonts w:hint="eastAsia" w:ascii="宋体" w:hAnsi="宋体" w:eastAsia="宋体" w:cs="宋体"/>
          <w:color w:val="000000"/>
          <w:kern w:val="2"/>
          <w:sz w:val="32"/>
          <w:szCs w:val="32"/>
          <w:lang w:eastAsia="zh-CN"/>
        </w:rPr>
        <w:t>无法计算百分比，</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其中：</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因公出国（境）费支出预算为0万元，支出决算为0万元，决算数与预算数一致，我单位严格按预算执行决算，因公出国（境）费支出与上年持平。</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公务接待费支出预算为0万元，支出决算为0万元，决算数与预算数一致，我单位严格按预算执行决算，公务接待费支出与上年持平。</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公务用车购置费支出预算为0万元，支出决算为0万元，决算数与预算数一致，我单位严格按预算执行决算，公务用车购置费支出与上年持平。</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公务用车运行维护费支出预算为0万元，支出决算为0万元，决算数与预算数一致，我单位严格按预算执行决算，公务用车运行维护费支出与上年持平。</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（二）“三公”经费财政拨款支出决算具体情况说明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2021年度“三公”经费财政拨款支出决算中，公务接待费支出决算0万元，占0%，因公出国（境）费支出决算0万元，占0%，公务用车购置费及运行维护费支出决算0万元，占0%。其中：</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1、因公出国（境）费支出决算为0万元，全年安排因公出国（境）团组0个，累计0人次，我单位2021年度无因公出国（境）费支出。</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2、公务接待费支出决算为0万元，全年共接待来访团组0个、来宾0人次，我单位2021年度无公务接待费支出。</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3、公务用车购置费及运行维护费支出决算为0万元，其中：公务用车购置费0万元</w:t>
      </w:r>
      <w:r>
        <w:rPr>
          <w:rFonts w:hint="eastAsia" w:ascii="宋体" w:hAnsi="宋体" w:eastAsia="宋体" w:cs="宋体"/>
          <w:color w:val="000000"/>
          <w:sz w:val="32"/>
          <w:szCs w:val="32"/>
          <w:lang w:eastAsia="zh-CN"/>
        </w:rPr>
        <w:t>，单位本级及二级机构更新公务用车</w:t>
      </w:r>
      <w:r>
        <w:rPr>
          <w:rFonts w:hint="eastAsia" w:ascii="宋体" w:hAnsi="宋体" w:eastAsia="宋体" w:cs="宋体"/>
          <w:color w:val="000000"/>
          <w:sz w:val="32"/>
          <w:szCs w:val="32"/>
          <w:lang w:val="en-US" w:eastAsia="zh-CN"/>
        </w:rPr>
        <w:t>0辆</w:t>
      </w:r>
      <w:r>
        <w:rPr>
          <w:rFonts w:hint="eastAsia" w:ascii="宋体" w:hAnsi="宋体" w:eastAsia="宋体" w:cs="宋体"/>
          <w:color w:val="000000"/>
          <w:kern w:val="2"/>
          <w:sz w:val="32"/>
          <w:szCs w:val="32"/>
        </w:rPr>
        <w:t>。公务用车运行维护费0万元，截至2021年12月31日，我单位开支财政拨款的公务用车保有量为0辆。我单位2021年度无公务用车购置费及运行维护费支出。</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八、政府性基金预算收入支出决算情况</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color w:val="000000"/>
          <w:kern w:val="2"/>
          <w:sz w:val="32"/>
          <w:szCs w:val="32"/>
        </w:rPr>
        <w:t xml:space="preserve">中共石鼓区委巡察工作领导小组办公室2021年度没有政府性基金收入，也没有使用政府性基金安排的支出，并已公开空表。 </w:t>
      </w:r>
    </w:p>
    <w:p>
      <w:pPr>
        <w:pStyle w:val="1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九、关于机关运行经费支出说明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中共石鼓区委巡察工作领导小组办公室2021年度机关运行经费支出80万元，比上一年决算数增加5.34万元，增长7.15%。主要原因是：人员工资等调整，增加了机关运行费用。</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十、一般性支出情况</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2021年度中共石鼓区委巡察工作领导小组办公室开支会议费0万元，我单位2021年度无会议费支出；开支培训费0.65万元，用于开展巡察培训，人数50人，内容为巡察业务培训；举办0场节庆、晚会、论坛、赛事活动，开支0万元。</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十一、关于政府采购支出说明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firstLine="640" w:firstLineChars="200"/>
        <w:jc w:val="both"/>
        <w:rPr>
          <w:rFonts w:hint="default" w:ascii="等线" w:hAnsi="等线" w:eastAsia="等线" w:cs="Times New Roman"/>
          <w:kern w:val="2"/>
          <w:sz w:val="27"/>
          <w:szCs w:val="27"/>
        </w:rPr>
      </w:pPr>
      <w:r>
        <w:rPr>
          <w:rFonts w:hint="eastAsia" w:ascii="宋体" w:hAnsi="宋体" w:eastAsia="宋体" w:cs="宋体"/>
          <w:color w:val="000000"/>
          <w:kern w:val="2"/>
          <w:sz w:val="32"/>
          <w:szCs w:val="32"/>
        </w:rPr>
        <w:t>中共石鼓区委巡察工作领导小组办公室2021年度政府采购支出总额0万元，其中：政府采购货物支出0万元、政府采购工程支出0万元、政府采购服务支出0万元。授予中小企业合同金额0万元，占政府采购支出总额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政府采购支出总额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，其中：授予小微企业合同金额0万元，占授予中小企业合同金额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授予中小企业合同金额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；货物采购授予中小企业合同金额占货物支出金额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货物支出金额总额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，工程采购授予中小企业合同金额占工程支出金额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工程支出总额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r>
        <w:rPr>
          <w:rFonts w:hint="eastAsia" w:ascii="宋体" w:hAnsi="宋体" w:eastAsia="宋体" w:cs="宋体"/>
          <w:color w:val="000000"/>
          <w:kern w:val="2"/>
          <w:sz w:val="32"/>
          <w:szCs w:val="32"/>
        </w:rPr>
        <w:t>，服务采购授予中小企业合同金额占服务支出金额</w:t>
      </w:r>
      <w:r>
        <w:rPr>
          <w:rFonts w:hint="eastAsia" w:ascii="宋体" w:hAnsi="宋体" w:eastAsia="宋体" w:cs="宋体"/>
          <w:color w:val="000000"/>
          <w:kern w:val="2"/>
          <w:sz w:val="32"/>
          <w:szCs w:val="32"/>
          <w:lang w:eastAsia="zh-CN"/>
        </w:rPr>
        <w:t>的比例因</w:t>
      </w:r>
      <w:r>
        <w:rPr>
          <w:rFonts w:hint="eastAsia" w:ascii="宋体" w:hAnsi="宋体" w:eastAsia="宋体" w:cs="宋体"/>
          <w:color w:val="000000"/>
          <w:kern w:val="2"/>
          <w:sz w:val="32"/>
          <w:szCs w:val="32"/>
        </w:rPr>
        <w:t>服务支出总额</w:t>
      </w:r>
      <w:r>
        <w:rPr>
          <w:rFonts w:hint="eastAsia" w:ascii="宋体" w:hAnsi="宋体" w:eastAsia="宋体" w:cs="宋体"/>
          <w:color w:val="000000"/>
          <w:kern w:val="2"/>
          <w:sz w:val="32"/>
          <w:szCs w:val="32"/>
          <w:lang w:eastAsia="zh-CN"/>
        </w:rPr>
        <w:t>为</w:t>
      </w:r>
      <w:r>
        <w:rPr>
          <w:rFonts w:hint="eastAsia" w:ascii="宋体" w:hAnsi="宋体" w:eastAsia="宋体" w:cs="宋体"/>
          <w:color w:val="000000"/>
          <w:kern w:val="2"/>
          <w:sz w:val="32"/>
          <w:szCs w:val="32"/>
          <w:lang w:val="en-US" w:eastAsia="zh-CN"/>
        </w:rPr>
        <w:t>0，无法计算百分比</w:t>
      </w:r>
      <w:bookmarkStart w:id="0" w:name="_GoBack"/>
      <w:bookmarkEnd w:id="0"/>
      <w:r>
        <w:rPr>
          <w:rFonts w:hint="eastAsia" w:ascii="宋体" w:hAnsi="宋体" w:eastAsia="宋体" w:cs="宋体"/>
          <w:color w:val="000000"/>
          <w:kern w:val="2"/>
          <w:sz w:val="32"/>
          <w:szCs w:val="32"/>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十二、关于国有资产占用情况说明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截至2021年12月31日，中共石鼓区委巡察工作领导小组办公室共有车辆0辆（台），其中：机要通信用车0辆、应急保障用车0辆、执法执勤用车0辆、特种专业技术用车0辆、其他用车0辆；单价50万元（含）以上通用设备0台（套），单价100万元（含）以上专用设备0台（套）。</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b/>
          <w:bCs/>
          <w:color w:val="000000"/>
          <w:kern w:val="2"/>
          <w:sz w:val="32"/>
          <w:szCs w:val="32"/>
        </w:rPr>
        <w:t>十三、关于2021年度预算绩效情况说明</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Style w:val="15"/>
          <w:rFonts w:hint="eastAsia" w:ascii="宋体" w:hAnsi="宋体" w:eastAsia="宋体" w:cs="宋体"/>
          <w:b/>
          <w:bCs w:val="0"/>
          <w:color w:val="000000"/>
          <w:sz w:val="36"/>
          <w:szCs w:val="36"/>
        </w:rPr>
        <w:t>（1）绩效管理评价工作开展情况</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根据预算绩效管理要求，我部门组织对2021年度一般公共预算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组织对0个项目开展了部门评价，涉及一般公共预算支出0万元，政府性基金预算支出0万元，国有资本经营预算支出0万元。从评价情况来看，评价为0。</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组织对巡察办1个单位开展整体支出绩效评价，涉及一般公共预算支出267.9万元，政府性基金预算支出0万元。从评价情况来看，巡察办履职情况良好。一是对各项支出严格按照预算额度进行控制、努力节约经费。二是各项工作能够及时完成，且质量较高。三是部门整体支出使用效果达到了预期。</w:t>
      </w:r>
    </w:p>
    <w:p>
      <w:pPr>
        <w:pStyle w:val="16"/>
        <w:spacing w:before="0" w:beforeAutospacing="0" w:after="2" w:afterAutospacing="0"/>
        <w:ind w:left="0" w:firstLine="640"/>
        <w:rPr>
          <w:rFonts w:hint="default" w:ascii="等线" w:hAnsi="等线" w:eastAsia="等线" w:cs="Times New Roman"/>
          <w:kern w:val="2"/>
          <w:sz w:val="27"/>
          <w:szCs w:val="27"/>
        </w:rPr>
      </w:pPr>
      <w:r>
        <w:rPr>
          <w:rStyle w:val="15"/>
          <w:rFonts w:hint="eastAsia" w:ascii="宋体" w:hAnsi="宋体" w:eastAsia="宋体" w:cs="宋体"/>
          <w:b/>
          <w:bCs w:val="0"/>
          <w:color w:val="000000"/>
          <w:sz w:val="36"/>
          <w:szCs w:val="36"/>
        </w:rPr>
        <w:t>（2）部门决算中项目绩效自评结果</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项目绩效自评综述：根据年初设定的绩效目标，项目绩效自评得分为0分。项目全年预算数为0万元，执行数为0万元，完成预算的100%。项目绩效自评综述：无。</w:t>
      </w:r>
      <w:r>
        <w:rPr>
          <w:rFonts w:hint="default" w:ascii="等线" w:hAnsi="等线" w:eastAsia="等线" w:cs="Times New Roman"/>
          <w:color w:val="000000"/>
          <w:kern w:val="2"/>
          <w:sz w:val="27"/>
          <w:szCs w:val="27"/>
        </w:rPr>
        <w:t xml:space="preserve"> </w:t>
      </w:r>
    </w:p>
    <w:p>
      <w:pPr>
        <w:pStyle w:val="16"/>
        <w:spacing w:before="0" w:beforeAutospacing="0" w:after="2" w:afterAutospacing="0"/>
        <w:ind w:left="0" w:firstLine="640"/>
        <w:rPr>
          <w:rFonts w:hint="default" w:ascii="等线" w:hAnsi="等线" w:eastAsia="等线" w:cs="Times New Roman"/>
          <w:kern w:val="2"/>
          <w:sz w:val="27"/>
          <w:szCs w:val="27"/>
        </w:rPr>
      </w:pPr>
      <w:r>
        <w:rPr>
          <w:rStyle w:val="15"/>
          <w:rFonts w:hint="eastAsia" w:ascii="宋体" w:hAnsi="宋体" w:eastAsia="宋体" w:cs="宋体"/>
          <w:b/>
          <w:bCs w:val="0"/>
          <w:color w:val="000000"/>
          <w:sz w:val="36"/>
          <w:szCs w:val="36"/>
        </w:rPr>
        <w:t>（3）部门评价项目绩效评价结果</w:t>
      </w:r>
    </w:p>
    <w:p>
      <w:pPr>
        <w:pStyle w:val="16"/>
        <w:spacing w:before="0" w:beforeAutospacing="0" w:after="2" w:afterAutospacing="0"/>
        <w:ind w:left="0" w:firstLine="640"/>
        <w:rPr>
          <w:rFonts w:hint="default" w:ascii="等线" w:hAnsi="等线" w:eastAsia="等线" w:cs="Times New Roman"/>
          <w:kern w:val="2"/>
          <w:sz w:val="27"/>
          <w:szCs w:val="27"/>
        </w:rPr>
      </w:pPr>
      <w:r>
        <w:rPr>
          <w:rFonts w:hint="eastAsia" w:ascii="宋体" w:hAnsi="宋体" w:eastAsia="宋体" w:cs="宋体"/>
          <w:color w:val="000000"/>
          <w:kern w:val="2"/>
          <w:sz w:val="32"/>
          <w:szCs w:val="32"/>
        </w:rPr>
        <w:t>部门评价项目绩效评价结果详见附件。</w:t>
      </w:r>
    </w:p>
    <w:p>
      <w:pPr>
        <w:keepNext w:val="0"/>
        <w:keepLines w:val="0"/>
        <w:widowControl/>
        <w:suppressLineNumbers w:val="0"/>
        <w:jc w:val="left"/>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8"/>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8"/>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第四部分 名词解释</w:t>
      </w:r>
      <w:r>
        <w:rPr>
          <w:rFonts w:hint="default" w:ascii="等线" w:hAnsi="等线" w:eastAsia="等线" w:cs="Times New Roman"/>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财政拨款收入</w:t>
      </w:r>
      <w:r>
        <w:rPr>
          <w:rFonts w:hint="eastAsia" w:ascii="宋体" w:hAnsi="宋体" w:eastAsia="宋体" w:cs="宋体"/>
          <w:color w:val="000000"/>
          <w:kern w:val="2"/>
          <w:sz w:val="32"/>
          <w:szCs w:val="32"/>
        </w:rPr>
        <w:t>：指财政当年拨付的资金。包括一般公共预算财政拨款和政府性基金财政拨款。</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上级补助收入</w:t>
      </w:r>
      <w:r>
        <w:rPr>
          <w:rFonts w:hint="eastAsia" w:ascii="宋体" w:hAnsi="宋体" w:eastAsia="宋体" w:cs="宋体"/>
          <w:color w:val="000000"/>
          <w:kern w:val="2"/>
          <w:sz w:val="32"/>
          <w:szCs w:val="32"/>
        </w:rPr>
        <w:t>：指事业单位从主管部门和上级单位取得的非财政补助收入。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事业收入：</w:t>
      </w:r>
      <w:r>
        <w:rPr>
          <w:rFonts w:hint="eastAsia" w:ascii="宋体" w:hAnsi="宋体" w:eastAsia="宋体" w:cs="宋体"/>
          <w:color w:val="000000"/>
          <w:kern w:val="2"/>
          <w:sz w:val="32"/>
          <w:szCs w:val="32"/>
        </w:rPr>
        <w:t>指事业单位开展专业业务活动及辅助活动所取得的收入。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经营收入：</w:t>
      </w:r>
      <w:r>
        <w:rPr>
          <w:rFonts w:hint="eastAsia" w:ascii="宋体" w:hAnsi="宋体" w:eastAsia="宋体" w:cs="宋体"/>
          <w:color w:val="000000"/>
          <w:kern w:val="2"/>
          <w:sz w:val="32"/>
          <w:szCs w:val="32"/>
        </w:rPr>
        <w:t>指事业单位在专业业务活动及其辅助活动之外开展非独立核算经营活动取得的收入。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附属单位上缴收入</w:t>
      </w:r>
      <w:r>
        <w:rPr>
          <w:rFonts w:hint="eastAsia" w:ascii="宋体" w:hAnsi="宋体" w:eastAsia="宋体" w:cs="宋体"/>
          <w:color w:val="000000"/>
          <w:kern w:val="2"/>
          <w:sz w:val="32"/>
          <w:szCs w:val="32"/>
        </w:rPr>
        <w:t>：指事业单位附属独立核算单位按照有关规定上缴的收入。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其他收入</w:t>
      </w:r>
      <w:r>
        <w:rPr>
          <w:rFonts w:hint="eastAsia" w:ascii="宋体" w:hAnsi="宋体" w:eastAsia="宋体" w:cs="宋体"/>
          <w:color w:val="000000"/>
          <w:kern w:val="2"/>
          <w:sz w:val="32"/>
          <w:szCs w:val="32"/>
        </w:rPr>
        <w:t>：指除上述“财政拨款收入”、“事业收入”、“经营收入”等以外的收入。</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用事业基金弥补收支差额</w:t>
      </w:r>
      <w:r>
        <w:rPr>
          <w:rFonts w:hint="eastAsia" w:ascii="宋体" w:hAnsi="宋体" w:eastAsia="宋体" w:cs="宋体"/>
          <w:color w:val="000000"/>
          <w:kern w:val="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年初结转和结余</w:t>
      </w:r>
      <w:r>
        <w:rPr>
          <w:rFonts w:hint="eastAsia" w:ascii="宋体" w:hAnsi="宋体" w:eastAsia="宋体" w:cs="宋体"/>
          <w:color w:val="000000"/>
          <w:kern w:val="2"/>
          <w:sz w:val="32"/>
          <w:szCs w:val="32"/>
        </w:rPr>
        <w:t>：指以前年度尚未完成、结转到本年按有关规定继续使用的资金。</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结余分配</w:t>
      </w:r>
      <w:r>
        <w:rPr>
          <w:rFonts w:hint="eastAsia" w:ascii="宋体" w:hAnsi="宋体" w:eastAsia="宋体" w:cs="宋体"/>
          <w:color w:val="000000"/>
          <w:kern w:val="2"/>
          <w:sz w:val="32"/>
          <w:szCs w:val="32"/>
        </w:rPr>
        <w:t>：指事业事位按规定从非财政补助结余中分配的事业基金和职工福利基金等。</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年末结转和结余</w:t>
      </w:r>
      <w:r>
        <w:rPr>
          <w:rFonts w:hint="eastAsia" w:ascii="宋体" w:hAnsi="宋体" w:eastAsia="宋体" w:cs="宋体"/>
          <w:color w:val="000000"/>
          <w:kern w:val="2"/>
          <w:sz w:val="32"/>
          <w:szCs w:val="32"/>
        </w:rPr>
        <w:t>：指本年度或以前年度预算安排、因客观条件发生变化无法按原计划实施，需要延迟到以后年度按有关规定继续使用的资金。</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基本支出</w:t>
      </w:r>
      <w:r>
        <w:rPr>
          <w:rFonts w:hint="eastAsia" w:ascii="宋体" w:hAnsi="宋体" w:eastAsia="宋体" w:cs="宋体"/>
          <w:color w:val="000000"/>
          <w:kern w:val="2"/>
          <w:sz w:val="32"/>
          <w:szCs w:val="32"/>
        </w:rPr>
        <w:t>：指为保障机构正常运转、完成日常工作任务而发生的人员支出和公用支出。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项目支出</w:t>
      </w:r>
      <w:r>
        <w:rPr>
          <w:rFonts w:hint="eastAsia" w:ascii="宋体" w:hAnsi="宋体" w:eastAsia="宋体" w:cs="宋体"/>
          <w:color w:val="000000"/>
          <w:kern w:val="2"/>
          <w:sz w:val="32"/>
          <w:szCs w:val="32"/>
        </w:rPr>
        <w:t>：指在基本支出之外为完成特定行政任务和事业发展目标所发生的支出。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经营支出</w:t>
      </w:r>
      <w:r>
        <w:rPr>
          <w:rFonts w:hint="eastAsia" w:ascii="宋体" w:hAnsi="宋体" w:eastAsia="宋体" w:cs="宋体"/>
          <w:color w:val="000000"/>
          <w:kern w:val="2"/>
          <w:sz w:val="32"/>
          <w:szCs w:val="32"/>
        </w:rPr>
        <w:t>：指事业单位在专业业务活动及其辅助活动之外开展非独立核算经营活动所发生的支出。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“三公”经费</w:t>
      </w:r>
      <w:r>
        <w:rPr>
          <w:rFonts w:hint="eastAsia" w:ascii="宋体" w:hAnsi="宋体" w:eastAsia="宋体" w:cs="宋体"/>
          <w:color w:val="000000"/>
          <w:kern w:val="2"/>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eastAsia="等线" w:cs="Calibri"/>
          <w:color w:val="000000"/>
          <w:kern w:val="2"/>
          <w:sz w:val="21"/>
          <w:szCs w:val="21"/>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eastAsia" w:ascii="宋体" w:hAnsi="宋体" w:eastAsia="宋体" w:cs="宋体"/>
          <w:b/>
          <w:bCs/>
          <w:color w:val="000000"/>
          <w:kern w:val="2"/>
          <w:sz w:val="32"/>
          <w:szCs w:val="32"/>
        </w:rPr>
        <w:t>机关运行经费</w:t>
      </w:r>
      <w:r>
        <w:rPr>
          <w:rFonts w:hint="eastAsia" w:ascii="宋体" w:hAnsi="宋体" w:eastAsia="宋体" w:cs="宋体"/>
          <w:color w:val="000000"/>
          <w:kern w:val="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eastAsia="等线" w:cs="Calibri"/>
          <w:color w:val="000000"/>
          <w:kern w:val="2"/>
          <w:sz w:val="21"/>
          <w:szCs w:val="21"/>
        </w:rPr>
        <w:t xml:space="preserve"> </w:t>
      </w:r>
    </w:p>
    <w:p>
      <w:pPr>
        <w:keepNext w:val="0"/>
        <w:keepLines w:val="0"/>
        <w:widowControl/>
        <w:suppressLineNumbers w:val="0"/>
        <w:jc w:val="left"/>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8"/>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8"/>
        <w:keepNext w:val="0"/>
        <w:keepLines w:val="0"/>
        <w:widowControl/>
        <w:suppressLineNumbers w:val="0"/>
        <w:spacing w:before="0" w:beforeAutospacing="0" w:after="2"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0" w:beforeAutospacing="0" w:after="2" w:afterAutospacing="0" w:line="336" w:lineRule="atLeast"/>
        <w:ind w:left="0" w:right="0" w:firstLine="643"/>
        <w:rPr>
          <w:rFonts w:hint="default" w:ascii="Calibri" w:hAnsi="Calibri" w:eastAsia="等线" w:cs="Calibri"/>
          <w:kern w:val="2"/>
          <w:sz w:val="21"/>
          <w:szCs w:val="21"/>
        </w:rPr>
      </w:pPr>
      <w:r>
        <w:rPr>
          <w:rFonts w:hint="default" w:ascii="Calibri" w:hAnsi="Calibri" w:eastAsia="等线" w:cs="Calibri"/>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b/>
          <w:bCs/>
          <w:color w:val="000000"/>
          <w:kern w:val="2"/>
          <w:sz w:val="36"/>
          <w:szCs w:val="36"/>
        </w:rPr>
        <w:t>第五部分 附件</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fldChar w:fldCharType="begin"/>
      </w:r>
      <w:r>
        <w:instrText xml:space="preserve"> HYPERLINK "http://10.105.94.22:9000/home/downloadAttachment?attachGUID=fc2c21b09361450d86cd009e1f568bfb" </w:instrText>
      </w:r>
      <w:r>
        <w:fldChar w:fldCharType="separate"/>
      </w:r>
      <w:r>
        <w:rPr>
          <w:rStyle w:val="12"/>
          <w:rFonts w:hint="eastAsia" w:ascii="宋体" w:hAnsi="宋体" w:eastAsia="宋体" w:cs="宋体"/>
          <w:color w:val="0000FF"/>
          <w:sz w:val="28"/>
          <w:szCs w:val="28"/>
          <w:u w:val="single"/>
          <w:shd w:val="clear" w:fill="FFFFFF"/>
        </w:rPr>
        <w:t>2021年度部门整体支出绩效评价报告.docx</w:t>
      </w:r>
      <w:r>
        <w:fldChar w:fldCharType="end"/>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ZjZhM2ZlZTJkYzMwMzFkNjcwZGY0OTk1NjU1ZjkifQ=="/>
  </w:docVars>
  <w:rsids>
    <w:rsidRoot w:val="00000000"/>
    <w:rsid w:val="09544ED8"/>
    <w:rsid w:val="3CF376A9"/>
    <w:rsid w:val="5C8C1311"/>
    <w:rsid w:val="6DC63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2">
    <w:name w:val="Hyperlink"/>
    <w:basedOn w:val="11"/>
    <w:qFormat/>
    <w:uiPriority w:val="0"/>
    <w:rPr>
      <w:color w:val="0000FF"/>
      <w:u w:val="single"/>
    </w:rPr>
  </w:style>
  <w:style w:type="character" w:customStyle="1" w:styleId="13">
    <w:name w:val="16"/>
    <w:basedOn w:val="11"/>
    <w:qFormat/>
    <w:uiPriority w:val="0"/>
    <w:rPr>
      <w:rFonts w:hint="default" w:ascii="Times New Roman" w:hAnsi="Times New Roman" w:cs="Times New Roman"/>
      <w:color w:val="0000FF"/>
      <w:u w:val="single"/>
    </w:rPr>
  </w:style>
  <w:style w:type="character" w:customStyle="1" w:styleId="14">
    <w:name w:val="10"/>
    <w:basedOn w:val="11"/>
    <w:qFormat/>
    <w:uiPriority w:val="0"/>
    <w:rPr>
      <w:rFonts w:hint="default" w:ascii="Times New Roman" w:hAnsi="Times New Roman" w:cs="Times New Roman"/>
    </w:rPr>
  </w:style>
  <w:style w:type="character" w:customStyle="1" w:styleId="15">
    <w:name w:val="15"/>
    <w:basedOn w:val="11"/>
    <w:qFormat/>
    <w:uiPriority w:val="0"/>
    <w:rPr>
      <w:rFonts w:hint="default" w:ascii="Times New Roman" w:hAnsi="Times New Roman" w:cs="Times New Roman"/>
      <w:b/>
    </w:rPr>
  </w:style>
  <w:style w:type="paragraph" w:customStyle="1" w:styleId="16">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customStyle="1" w:styleId="17">
    <w:name w:val="HTML 预设格式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8">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2023-09-14T07:37:00Z</dcterms:created>
  <dc:creator>Administrator</dc:creator>
  <cp:lastModifiedBy>Administrator</cp:lastModifiedBy>
  <dcterms:modified xsi:type="dcterms:W3CDTF">2023-09-28T09:20:22Z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8FB1710A62FF4E0BBE532FBBE4A7CE51_13</vt:lpwstr>
  </property>
</Properties>
</file>