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left"/>
        <w:rPr>
          <w:rFonts w:hint="eastAsia" w:ascii="仿宋" w:hAnsi="仿宋" w:eastAsia="仿宋" w:cs="Times New Roman"/>
          <w:b/>
          <w:sz w:val="30"/>
          <w:lang w:val="en-US" w:eastAsia="zh-CN"/>
        </w:rPr>
      </w:pPr>
      <w:r>
        <w:rPr>
          <w:rFonts w:hint="eastAsia" w:ascii="仿宋" w:hAnsi="仿宋" w:eastAsia="仿宋" w:cs="Times New Roman"/>
          <w:b/>
          <w:sz w:val="30"/>
          <w:lang w:val="en-US" w:eastAsia="zh-CN"/>
        </w:rPr>
        <w:t>附件1：2023年石鼓区重点防治松林小班图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862695" cy="4024630"/>
            <wp:effectExtent l="0" t="0" r="14605" b="13970"/>
            <wp:docPr id="1" name="图片 1" descr="09c88fd4f2ca0d6b30f92e4115e1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c88fd4f2ca0d6b30f92e4115e10c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spacing w:line="520" w:lineRule="exact"/>
        <w:jc w:val="left"/>
        <w:rPr>
          <w:rFonts w:hint="eastAsia" w:ascii="仿宋" w:hAnsi="仿宋" w:eastAsia="仿宋"/>
          <w:b/>
          <w:sz w:val="30"/>
          <w:lang w:val="en-US" w:eastAsia="zh-CN"/>
        </w:rPr>
      </w:pPr>
      <w:r>
        <w:rPr>
          <w:rFonts w:hint="eastAsia" w:ascii="仿宋" w:hAnsi="仿宋" w:eastAsia="仿宋"/>
          <w:b/>
          <w:sz w:val="30"/>
          <w:lang w:eastAsia="zh-CN"/>
        </w:rPr>
        <w:t>附件</w:t>
      </w:r>
      <w:r>
        <w:rPr>
          <w:rFonts w:hint="eastAsia" w:ascii="仿宋" w:hAnsi="仿宋" w:eastAsia="仿宋"/>
          <w:b/>
          <w:sz w:val="30"/>
          <w:lang w:val="en-US" w:eastAsia="zh-CN"/>
        </w:rPr>
        <w:t>2：2023年石鼓区枯死松木分布示意图</w:t>
      </w:r>
    </w:p>
    <w:p>
      <w:pPr>
        <w:pStyle w:val="3"/>
        <w:rPr>
          <w:rFonts w:hint="eastAsia" w:ascii="仿宋" w:hAnsi="仿宋" w:eastAsia="仿宋"/>
          <w:b/>
          <w:sz w:val="30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862695" cy="4302760"/>
            <wp:effectExtent l="0" t="0" r="14605" b="2540"/>
            <wp:docPr id="2" name="图片 2" descr="2878837c7c47876c6f0b9fed56a9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78837c7c47876c6f0b9fed56a97d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autoSpaceDE w:val="0"/>
        <w:autoSpaceDN w:val="0"/>
        <w:rPr>
          <w:rFonts w:hint="eastAsia"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  <w:lang w:val="zh-CN"/>
        </w:rPr>
        <w:t>附件</w:t>
      </w:r>
      <w:r>
        <w:rPr>
          <w:rFonts w:hint="eastAsia" w:ascii="仿宋" w:hAnsi="仿宋" w:eastAsia="仿宋"/>
          <w:b/>
          <w:sz w:val="32"/>
          <w:lang w:val="en-US" w:eastAsia="zh-CN"/>
        </w:rPr>
        <w:t>3</w:t>
      </w:r>
      <w:r>
        <w:rPr>
          <w:rFonts w:hint="eastAsia" w:ascii="仿宋" w:hAnsi="仿宋" w:eastAsia="仿宋"/>
          <w:b/>
          <w:sz w:val="32"/>
        </w:rPr>
        <w:t>：</w:t>
      </w:r>
    </w:p>
    <w:p>
      <w:pPr>
        <w:autoSpaceDE w:val="0"/>
        <w:autoSpaceDN w:val="0"/>
        <w:jc w:val="center"/>
        <w:rPr>
          <w:rFonts w:hint="eastAsia"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  <w:lang w:val="en-US" w:eastAsia="zh-CN"/>
        </w:rPr>
        <w:t>石鼓区</w:t>
      </w:r>
      <w:r>
        <w:rPr>
          <w:rFonts w:hint="eastAsia" w:ascii="仿宋" w:hAnsi="仿宋" w:eastAsia="仿宋"/>
          <w:b/>
          <w:sz w:val="32"/>
          <w:lang w:eastAsia="zh-CN"/>
        </w:rPr>
        <w:t>202</w:t>
      </w:r>
      <w:r>
        <w:rPr>
          <w:rFonts w:hint="eastAsia" w:ascii="仿宋" w:hAnsi="仿宋" w:eastAsia="仿宋"/>
          <w:b/>
          <w:sz w:val="32"/>
          <w:lang w:val="en-US" w:eastAsia="zh-CN"/>
        </w:rPr>
        <w:t>3-2024</w:t>
      </w:r>
      <w:r>
        <w:rPr>
          <w:rFonts w:hint="eastAsia" w:ascii="仿宋" w:hAnsi="仿宋" w:eastAsia="仿宋"/>
          <w:b/>
          <w:sz w:val="32"/>
          <w:lang w:eastAsia="zh-CN"/>
        </w:rPr>
        <w:t>年度</w:t>
      </w:r>
      <w:r>
        <w:rPr>
          <w:rFonts w:hint="eastAsia" w:ascii="仿宋" w:hAnsi="仿宋" w:eastAsia="仿宋"/>
          <w:b/>
          <w:sz w:val="32"/>
        </w:rPr>
        <w:t>松材线虫病除治工作责任表</w:t>
      </w:r>
    </w:p>
    <w:tbl>
      <w:tblPr>
        <w:tblStyle w:val="5"/>
        <w:tblW w:w="0" w:type="auto"/>
        <w:tblInd w:w="8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2"/>
        <w:gridCol w:w="2082"/>
        <w:gridCol w:w="44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1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工作小组</w:t>
            </w:r>
          </w:p>
        </w:tc>
        <w:tc>
          <w:tcPr>
            <w:tcW w:w="20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成员</w:t>
            </w:r>
          </w:p>
        </w:tc>
        <w:tc>
          <w:tcPr>
            <w:tcW w:w="44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工作责任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4" w:hRule="atLeast"/>
        </w:trPr>
        <w:tc>
          <w:tcPr>
            <w:tcW w:w="16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</w:rPr>
              <w:t>作风</w:t>
            </w:r>
          </w:p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督导组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区纪委、区审计局分管负责人</w:t>
            </w:r>
          </w:p>
        </w:tc>
        <w:tc>
          <w:tcPr>
            <w:tcW w:w="4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负责督导检查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乡镇、街道</w:t>
            </w:r>
            <w:r>
              <w:rPr>
                <w:rFonts w:hint="eastAsia" w:ascii="仿宋" w:hAnsi="仿宋" w:eastAsia="仿宋"/>
                <w:sz w:val="24"/>
              </w:rPr>
              <w:t>、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自然资源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局</w:t>
            </w:r>
            <w:r>
              <w:rPr>
                <w:rFonts w:hint="eastAsia" w:ascii="仿宋" w:hAnsi="仿宋" w:eastAsia="仿宋"/>
                <w:sz w:val="24"/>
              </w:rPr>
              <w:t>、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林业站</w:t>
            </w:r>
            <w:r>
              <w:rPr>
                <w:rFonts w:hint="eastAsia" w:ascii="仿宋" w:hAnsi="仿宋" w:eastAsia="仿宋"/>
                <w:sz w:val="24"/>
              </w:rPr>
              <w:t>、除治专业队履职和工作开展情况。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2" w:hRule="atLeast"/>
        </w:trPr>
        <w:tc>
          <w:tcPr>
            <w:tcW w:w="16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</w:rPr>
              <w:t>综合</w:t>
            </w:r>
          </w:p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协调组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各乡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镇街道分管负责人</w:t>
            </w:r>
          </w:p>
        </w:tc>
        <w:tc>
          <w:tcPr>
            <w:tcW w:w="4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负责工作开展情况</w:t>
            </w:r>
            <w:r>
              <w:rPr>
                <w:rFonts w:hint="eastAsia" w:ascii="仿宋" w:hAnsi="仿宋" w:eastAsia="仿宋"/>
                <w:color w:val="000000"/>
                <w:sz w:val="24"/>
                <w:lang w:eastAsia="zh-CN"/>
              </w:rPr>
              <w:t>汇报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、指挥部成员单位工作对接、协调处理各类矛盾纠纷及其他工作。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8" w:hRule="atLeast"/>
        </w:trPr>
        <w:tc>
          <w:tcPr>
            <w:tcW w:w="16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</w:rPr>
              <w:t>技术指导</w:t>
            </w:r>
          </w:p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监督组</w:t>
            </w:r>
          </w:p>
        </w:tc>
        <w:tc>
          <w:tcPr>
            <w:tcW w:w="208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区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自然资源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管负责人，分管负责人、乡镇、街道林业站站长</w:t>
            </w:r>
          </w:p>
        </w:tc>
        <w:tc>
          <w:tcPr>
            <w:tcW w:w="447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负责制定除治方案、组织技术培训、样本采集鉴定、药品物品器械管理、资料整理归档及其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他</w:t>
            </w:r>
            <w:r>
              <w:rPr>
                <w:rFonts w:hint="eastAsia" w:ascii="仿宋" w:hAnsi="仿宋" w:eastAsia="仿宋"/>
                <w:sz w:val="24"/>
              </w:rPr>
              <w:t>专业技术性工作，指导监督专业队伍清除枯死木，确定枯死木销毁方式，指定销毁地点。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3" w:hRule="atLeast"/>
        </w:trPr>
        <w:tc>
          <w:tcPr>
            <w:tcW w:w="16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</w:rPr>
              <w:t>安全</w:t>
            </w:r>
          </w:p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维稳组</w:t>
            </w:r>
          </w:p>
        </w:tc>
        <w:tc>
          <w:tcPr>
            <w:tcW w:w="20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区公安分局、区信访局分管负责人</w:t>
            </w:r>
          </w:p>
        </w:tc>
        <w:tc>
          <w:tcPr>
            <w:tcW w:w="4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负责做好当地群众工作，及时处理突发性事件，维护疫区的安全稳定，确保除治工作有序开展。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16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4"/>
                <w:szCs w:val="22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2"/>
              </w:rPr>
              <w:t>除治</w:t>
            </w:r>
          </w:p>
          <w:p>
            <w:pPr>
              <w:jc w:val="center"/>
              <w:rPr>
                <w:rFonts w:hint="eastAsia" w:eastAsia="仿宋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2"/>
              </w:rPr>
              <w:t>作业组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外聘公司</w:t>
            </w:r>
          </w:p>
        </w:tc>
        <w:tc>
          <w:tcPr>
            <w:tcW w:w="4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负责枯死松木的采伐、伐桩除害处理、疫木和采伐剩余物运输、烧毁以及整个除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治</w:t>
            </w:r>
            <w:r>
              <w:rPr>
                <w:rFonts w:hint="eastAsia" w:ascii="仿宋" w:hAnsi="仿宋" w:eastAsia="仿宋"/>
                <w:sz w:val="24"/>
              </w:rPr>
              <w:t>工作的安全生产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、松褐天牛防治及资料的整理归档</w:t>
            </w:r>
            <w:r>
              <w:rPr>
                <w:rFonts w:hint="eastAsia" w:ascii="仿宋" w:hAnsi="仿宋" w:eastAsia="仿宋"/>
                <w:sz w:val="24"/>
              </w:rPr>
              <w:t>。</w:t>
            </w:r>
          </w:p>
        </w:tc>
      </w:tr>
    </w:tbl>
    <w:p>
      <w:pPr>
        <w:autoSpaceDE w:val="0"/>
        <w:autoSpaceDN w:val="0"/>
        <w:rPr>
          <w:rFonts w:hint="eastAsia" w:ascii="仿宋" w:hAnsi="仿宋" w:eastAsia="仿宋"/>
          <w:sz w:val="32"/>
          <w:lang w:val="zh-CN"/>
        </w:rPr>
      </w:pPr>
    </w:p>
    <w:p>
      <w:pPr>
        <w:autoSpaceDE w:val="0"/>
        <w:autoSpaceDN w:val="0"/>
        <w:rPr>
          <w:rFonts w:hint="eastAsia" w:ascii="仿宋" w:hAnsi="仿宋" w:eastAsia="仿宋"/>
          <w:sz w:val="32"/>
          <w:lang w:val="zh-CN"/>
        </w:rPr>
      </w:pPr>
    </w:p>
    <w:p>
      <w:pPr>
        <w:autoSpaceDE w:val="0"/>
        <w:autoSpaceDN w:val="0"/>
        <w:rPr>
          <w:rFonts w:hint="eastAsia" w:ascii="仿宋" w:hAnsi="仿宋" w:eastAsia="仿宋"/>
          <w:sz w:val="32"/>
          <w:lang w:val="zh-CN"/>
        </w:rPr>
      </w:pPr>
    </w:p>
    <w:p>
      <w:pPr>
        <w:pStyle w:val="3"/>
        <w:rPr>
          <w:rFonts w:hint="eastAsia" w:ascii="仿宋" w:hAnsi="仿宋" w:eastAsia="仿宋"/>
          <w:b/>
          <w:sz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autoSpaceDE w:val="0"/>
        <w:autoSpaceDN w:val="0"/>
        <w:rPr>
          <w:rFonts w:hint="eastAsia" w:ascii="仿宋" w:hAnsi="仿宋" w:eastAsia="仿宋"/>
          <w:b/>
          <w:sz w:val="32"/>
          <w:lang w:val="zh-CN"/>
        </w:rPr>
      </w:pPr>
      <w:r>
        <w:rPr>
          <w:rFonts w:hint="eastAsia" w:ascii="仿宋" w:hAnsi="仿宋" w:eastAsia="仿宋"/>
          <w:b/>
          <w:sz w:val="32"/>
          <w:lang w:val="zh-CN"/>
        </w:rPr>
        <w:t>附件</w:t>
      </w:r>
      <w:r>
        <w:rPr>
          <w:rFonts w:hint="eastAsia" w:ascii="仿宋" w:hAnsi="仿宋" w:eastAsia="仿宋"/>
          <w:b/>
          <w:sz w:val="32"/>
          <w:lang w:val="en-US" w:eastAsia="zh-CN"/>
        </w:rPr>
        <w:t>4</w:t>
      </w:r>
      <w:r>
        <w:rPr>
          <w:rFonts w:hint="eastAsia" w:ascii="仿宋" w:hAnsi="仿宋" w:eastAsia="仿宋"/>
          <w:b/>
          <w:sz w:val="32"/>
        </w:rPr>
        <w:t>：</w:t>
      </w:r>
    </w:p>
    <w:tbl>
      <w:tblPr>
        <w:tblStyle w:val="5"/>
        <w:tblW w:w="8623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3641"/>
        <w:gridCol w:w="848"/>
        <w:gridCol w:w="837"/>
        <w:gridCol w:w="1033"/>
        <w:gridCol w:w="120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623" w:type="dxa"/>
            <w:gridSpan w:val="6"/>
            <w:tcBorders>
              <w:top w:val="nil"/>
              <w:left w:val="nil"/>
              <w:bottom w:val="single" w:color="000000" w:sz="8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8"/>
                <w:lang w:val="en-US" w:eastAsia="zh-CN" w:bidi="ar"/>
              </w:rPr>
              <w:t>石鼓区2023-2024年度松材线虫病除治工作经费概算表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序号</w:t>
            </w:r>
          </w:p>
        </w:tc>
        <w:tc>
          <w:tcPr>
            <w:tcW w:w="3697" w:type="dxa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项目名称</w:t>
            </w:r>
          </w:p>
        </w:tc>
        <w:tc>
          <w:tcPr>
            <w:tcW w:w="3855" w:type="dxa"/>
            <w:gridSpan w:val="4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预算金额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7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97" w:type="dxa"/>
            <w:vMerge w:val="continue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单位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数量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单价（元）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金额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768" w:type="dxa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一、角山镇合计</w:t>
            </w:r>
          </w:p>
        </w:tc>
        <w:tc>
          <w:tcPr>
            <w:tcW w:w="3855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1128760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枯死松木清理（含枯死松木挂牌、清理、警示牌设置、山场清理）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株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2726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545200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枯死松木运送下山及无害化处理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株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2726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163560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打孔注药（含药剂与人工）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株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松褐天牛防治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亩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5600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松材线虫病秋季专项普查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次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松材线虫病日常监测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次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4768" w:type="dxa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二、黄沙湾街道合计</w:t>
            </w:r>
          </w:p>
        </w:tc>
        <w:tc>
          <w:tcPr>
            <w:tcW w:w="3855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839500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枯死松木清理（含枯死松木挂牌、清理、警示牌设置、山场清理）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株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枯死松木运送下山及无害化处理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株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打孔注药（含药剂与人工）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株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松褐天牛防治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亩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6700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松材线虫病秋季专项普查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次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松材线虫病日常监测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次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768" w:type="dxa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三、工作经费合计</w:t>
            </w:r>
          </w:p>
        </w:tc>
        <w:tc>
          <w:tcPr>
            <w:tcW w:w="3855" w:type="dxa"/>
            <w:gridSpan w:val="4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检疫执法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项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监管、培训和咨询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项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工作经费（设计、督查、验收等费用）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项　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369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其他不可预见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9"/>
                <w:lang w:val="en-US" w:eastAsia="zh-CN" w:bidi="ar"/>
              </w:rPr>
              <w:t>项　</w:t>
            </w:r>
          </w:p>
        </w:tc>
        <w:tc>
          <w:tcPr>
            <w:tcW w:w="8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07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合计</w:t>
            </w:r>
          </w:p>
        </w:tc>
        <w:tc>
          <w:tcPr>
            <w:tcW w:w="369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石鼓区合计</w:t>
            </w:r>
          </w:p>
        </w:tc>
        <w:tc>
          <w:tcPr>
            <w:tcW w:w="2730" w:type="dxa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一+二+三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2118260</w:t>
            </w:r>
          </w:p>
        </w:tc>
      </w:tr>
    </w:tbl>
    <w:p>
      <w:pPr>
        <w:autoSpaceDE w:val="0"/>
        <w:autoSpaceDN w:val="0"/>
        <w:rPr>
          <w:rFonts w:hint="eastAsia" w:ascii="仿宋" w:hAnsi="仿宋" w:eastAsia="仿宋"/>
          <w:sz w:val="32"/>
          <w:lang w:val="zh-CN"/>
        </w:rPr>
      </w:pPr>
    </w:p>
    <w:p>
      <w:pPr>
        <w:autoSpaceDE w:val="0"/>
        <w:autoSpaceDN w:val="0"/>
        <w:rPr>
          <w:rFonts w:hint="eastAsia" w:ascii="仿宋" w:hAnsi="仿宋" w:eastAsia="仿宋"/>
          <w:sz w:val="32"/>
          <w:lang w:val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modern"/>
    <w:pitch w:val="default"/>
    <w:sig w:usb0="E0002A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ViNDQ0OTM1ZjNmNWFkNDc5OTEyMTFmMDQ4YTYzY2YifQ=="/>
  </w:docVars>
  <w:rsids>
    <w:rsidRoot w:val="2A710CC9"/>
    <w:rsid w:val="2A71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宋体"/>
      <w:bCs/>
      <w:spacing w:val="11"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rFonts w:ascii="宋体" w:hAnsi="宋体" w:eastAsia="宋体"/>
      <w:color w:val="000000"/>
      <w:sz w:val="28"/>
      <w:lang w:val="zh-TW" w:eastAsia="zh-TW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font21"/>
    <w:basedOn w:val="6"/>
    <w:qFormat/>
    <w:uiPriority w:val="0"/>
    <w:rPr>
      <w:rFonts w:hint="eastAsia" w:ascii="仿宋" w:hAnsi="仿宋" w:eastAsia="仿宋" w:cs="仿宋"/>
      <w:b/>
      <w:bCs/>
      <w:color w:val="000000"/>
      <w:sz w:val="32"/>
      <w:szCs w:val="32"/>
      <w:u w:val="none"/>
    </w:rPr>
  </w:style>
  <w:style w:type="character" w:customStyle="1" w:styleId="9">
    <w:name w:val="font01"/>
    <w:basedOn w:val="6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2023-11-16T08:55:00Z</dcterms:created>
  <dc:creator>Administrator</dc:creator>
  <cp:lastModifiedBy>Administrator</cp:lastModifiedBy>
  <dcterms:modified xsi:type="dcterms:W3CDTF">2023-11-16T08:56:37Z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92035DD2DC1546CC995EA43EB4BD255C_11</vt:lpwstr>
  </property>
</Properties>
</file>