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202</w:t>
      </w:r>
      <w:r>
        <w:rPr>
          <w:rFonts w:hint="eastAsia" w:ascii="方正小标宋简体" w:hAnsi="仿宋" w:eastAsia="方正小标宋简体" w:cs="宋体"/>
          <w:sz w:val="44"/>
          <w:szCs w:val="44"/>
          <w:lang w:val="en-US" w:eastAsia="zh-CN"/>
        </w:rPr>
        <w:t>2</w:t>
      </w:r>
      <w:r>
        <w:rPr>
          <w:rFonts w:hint="eastAsia" w:ascii="方正小标宋简体" w:hAnsi="仿宋" w:eastAsia="方正小标宋简体" w:cs="宋体"/>
          <w:sz w:val="44"/>
          <w:szCs w:val="44"/>
        </w:rPr>
        <w:t>年度石鼓区商务局部门整体支出绩效自评报告</w:t>
      </w:r>
    </w:p>
    <w:p>
      <w:pPr>
        <w:spacing w:line="480" w:lineRule="exact"/>
        <w:rPr>
          <w:rFonts w:ascii="方正小标宋简体" w:hAnsi="仿宋" w:eastAsia="方正小标宋简体" w:cs="宋体"/>
          <w:sz w:val="44"/>
          <w:szCs w:val="44"/>
        </w:rPr>
      </w:pPr>
    </w:p>
    <w:p>
      <w:pPr>
        <w:spacing w:line="480" w:lineRule="exact"/>
        <w:rPr>
          <w:rFonts w:ascii="黑体" w:hAnsi="黑体" w:eastAsia="黑体" w:cs="宋体"/>
          <w:sz w:val="32"/>
          <w:szCs w:val="32"/>
        </w:rPr>
      </w:pPr>
      <w:r>
        <w:rPr>
          <w:rFonts w:hint="eastAsia" w:ascii="黑体" w:hAnsi="黑体" w:eastAsia="黑体" w:cs="宋体"/>
          <w:sz w:val="32"/>
          <w:szCs w:val="32"/>
        </w:rPr>
        <w:t>一、部门基本情况</w:t>
      </w:r>
    </w:p>
    <w:p>
      <w:pPr>
        <w:spacing w:line="480" w:lineRule="exact"/>
        <w:ind w:firstLine="320" w:firstLineChars="100"/>
        <w:rPr>
          <w:rFonts w:ascii="仿宋" w:hAnsi="仿宋" w:eastAsia="仿宋" w:cs="宋体"/>
          <w:sz w:val="32"/>
          <w:szCs w:val="32"/>
        </w:rPr>
      </w:pPr>
      <w:r>
        <w:rPr>
          <w:rFonts w:hint="eastAsia" w:ascii="仿宋" w:hAnsi="仿宋" w:eastAsia="仿宋" w:cs="宋体"/>
          <w:sz w:val="32"/>
          <w:szCs w:val="32"/>
        </w:rPr>
        <w:t>（一）部门职责</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1、贯彻执行有关国内外贸易、国际经济合作、区域经济合作的发展战略、政策，拟订全区国内外贸易、招商引资、承接产业转移、对外援助、对外投资和对外经济合作的中长期规划、政策措施和实施办法。</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2、推进流通产业结构调整，促进商贸服务业、社区商业发展，研究提出促进商贸中小企业发展的政策建议，推动流通标准化和连锁经营、商业特许经营、物流配送、电子商务等现代流通方式的发展。</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3、推进全区城乡市场发展，研究提出引导资金投向市场体系建设的政策建议，负责商业网点规划、商业体系建设工作，推进农村市场体系建设，组织实施农村现代流通网络工程。</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4、负责指导全区重要消费品储备管理和市场调控工作,承担重要生产资料流通管理的责任，负责建立健全生活必需品市场运行监测和供应应急管理机制。</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5、贯彻执行国家进出口贸易相关政策。拟订促进全区出口的规划、政策并组织实施；拟订促进全区外贸增长方式转变的政策措施；指导全区对外贸易促进活动和对外贸易促进体系建设；协调反倾销反补贴等进出口公平贸易相关的工作；指导全区各类进出口企业的贸易业务。</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6、负责组织参与商务部、省政府、市政府举办的内外贸易促销活动和招商引资、对外经济技术合作活动；负责组织、指导、协调以石鼓区名义在境内外举办的各种内外贸易交易会、展览会、展销会和招商引资等商务活动。</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7、负责全区对外经济合作工作，拟订并组织实施全市区外经济合作的政策措施和管理办法；指导对外承包工程、对外劳务合作等对外经济合作业务；负责牵头外派劳务和境外就业人员的权益保护工作。</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8、承担全区商务系统统计及其信息发布工作，提供信息咨询服务，指导全区流通领域信息网络和电子商务建设。</w:t>
      </w:r>
    </w:p>
    <w:p>
      <w:pPr>
        <w:spacing w:line="480" w:lineRule="exact"/>
        <w:ind w:firstLine="320" w:firstLineChars="100"/>
        <w:rPr>
          <w:rFonts w:hint="eastAsia" w:ascii="仿宋" w:hAnsi="仿宋" w:eastAsia="仿宋" w:cs="宋体"/>
          <w:sz w:val="32"/>
          <w:szCs w:val="32"/>
        </w:rPr>
      </w:pPr>
      <w:r>
        <w:rPr>
          <w:rFonts w:hint="eastAsia" w:ascii="仿宋" w:hAnsi="仿宋" w:eastAsia="仿宋" w:cs="宋体"/>
          <w:sz w:val="32"/>
          <w:szCs w:val="32"/>
        </w:rPr>
        <w:t>9、负责职责范围内对有关行业、领域的安全生产工作实施监督管理。</w:t>
      </w:r>
    </w:p>
    <w:p>
      <w:pPr>
        <w:spacing w:line="480" w:lineRule="exact"/>
        <w:ind w:firstLine="320" w:firstLineChars="1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0</w:t>
      </w:r>
      <w:r>
        <w:rPr>
          <w:rFonts w:hint="eastAsia" w:ascii="仿宋" w:hAnsi="仿宋" w:eastAsia="仿宋" w:cs="宋体"/>
          <w:sz w:val="32"/>
          <w:szCs w:val="32"/>
        </w:rPr>
        <w:t>、承办区人民政府交办的其他事项。</w:t>
      </w:r>
    </w:p>
    <w:p>
      <w:pPr>
        <w:spacing w:line="480" w:lineRule="exact"/>
        <w:ind w:firstLine="320" w:firstLineChars="100"/>
        <w:rPr>
          <w:rFonts w:ascii="仿宋" w:hAnsi="仿宋" w:eastAsia="仿宋" w:cs="宋体"/>
          <w:sz w:val="32"/>
          <w:szCs w:val="32"/>
        </w:rPr>
      </w:pPr>
      <w:r>
        <w:rPr>
          <w:rFonts w:hint="eastAsia" w:ascii="仿宋" w:hAnsi="仿宋" w:eastAsia="仿宋" w:cs="宋体"/>
          <w:sz w:val="32"/>
          <w:szCs w:val="32"/>
        </w:rPr>
        <w:t>（二）机构设置情况</w:t>
      </w:r>
    </w:p>
    <w:p>
      <w:pPr>
        <w:spacing w:line="480" w:lineRule="exact"/>
        <w:ind w:firstLine="640" w:firstLineChars="200"/>
        <w:rPr>
          <w:rFonts w:ascii="仿宋" w:hAnsi="仿宋" w:eastAsia="仿宋" w:cs="宋体"/>
          <w:sz w:val="32"/>
          <w:szCs w:val="32"/>
        </w:rPr>
      </w:pPr>
      <w:r>
        <w:rPr>
          <w:rFonts w:hint="eastAsia" w:ascii="仿宋" w:hAnsi="仿宋" w:eastAsia="仿宋" w:cs="宋体"/>
          <w:sz w:val="32"/>
          <w:szCs w:val="32"/>
        </w:rPr>
        <w:t>单位内设机构</w:t>
      </w:r>
      <w:r>
        <w:rPr>
          <w:rFonts w:ascii="仿宋" w:hAnsi="仿宋" w:eastAsia="仿宋" w:cs="宋体"/>
          <w:sz w:val="32"/>
          <w:szCs w:val="32"/>
        </w:rPr>
        <w:t>4</w:t>
      </w:r>
      <w:r>
        <w:rPr>
          <w:rFonts w:hint="eastAsia" w:ascii="仿宋" w:hAnsi="仿宋" w:eastAsia="仿宋" w:cs="宋体"/>
          <w:sz w:val="32"/>
          <w:szCs w:val="32"/>
        </w:rPr>
        <w:t>个（办公室、财务室、招商联络股、商贸流通股）。</w:t>
      </w:r>
    </w:p>
    <w:p>
      <w:pPr>
        <w:spacing w:line="480" w:lineRule="exact"/>
        <w:rPr>
          <w:rFonts w:ascii="仿宋" w:hAnsi="仿宋" w:eastAsia="仿宋" w:cs="宋体"/>
          <w:sz w:val="32"/>
          <w:szCs w:val="32"/>
        </w:rPr>
      </w:pPr>
      <w:r>
        <w:rPr>
          <w:rFonts w:hint="eastAsia" w:ascii="仿宋" w:hAnsi="仿宋" w:eastAsia="仿宋" w:cs="宋体"/>
          <w:sz w:val="32"/>
          <w:szCs w:val="32"/>
        </w:rPr>
        <w:t xml:space="preserve">   （三）人员编制情况</w:t>
      </w:r>
    </w:p>
    <w:p>
      <w:pPr>
        <w:spacing w:line="480" w:lineRule="exact"/>
        <w:ind w:firstLine="640" w:firstLineChars="200"/>
        <w:rPr>
          <w:rFonts w:ascii="仿宋" w:hAnsi="仿宋" w:eastAsia="仿宋" w:cs="宋体"/>
          <w:sz w:val="32"/>
          <w:szCs w:val="32"/>
        </w:rPr>
      </w:pPr>
      <w:r>
        <w:rPr>
          <w:rFonts w:hint="eastAsia" w:ascii="仿宋" w:hAnsi="仿宋" w:eastAsia="仿宋" w:cs="宋体"/>
          <w:sz w:val="32"/>
          <w:szCs w:val="32"/>
        </w:rPr>
        <w:t>在职人员9名，其中3名行政人员，6名参照公务员法管理事业人员。</w:t>
      </w:r>
    </w:p>
    <w:p>
      <w:pPr>
        <w:spacing w:line="480" w:lineRule="exact"/>
        <w:ind w:firstLine="640" w:firstLineChars="200"/>
        <w:rPr>
          <w:rFonts w:ascii="黑体" w:hAnsi="黑体" w:eastAsia="黑体" w:cs="宋体"/>
          <w:sz w:val="32"/>
          <w:szCs w:val="32"/>
        </w:rPr>
      </w:pPr>
      <w:r>
        <w:rPr>
          <w:rFonts w:hint="eastAsia" w:ascii="黑体" w:hAnsi="黑体" w:eastAsia="黑体" w:cs="宋体"/>
          <w:sz w:val="32"/>
          <w:szCs w:val="32"/>
        </w:rPr>
        <w:t>二、部门整体支出管理及使用情况</w:t>
      </w:r>
    </w:p>
    <w:p>
      <w:pPr>
        <w:spacing w:line="480" w:lineRule="exact"/>
        <w:ind w:firstLine="320" w:firstLineChars="100"/>
        <w:rPr>
          <w:rFonts w:ascii="仿宋" w:hAnsi="仿宋" w:eastAsia="仿宋" w:cs="宋体"/>
          <w:sz w:val="32"/>
          <w:szCs w:val="32"/>
        </w:rPr>
      </w:pPr>
      <w:r>
        <w:rPr>
          <w:rFonts w:hint="eastAsia" w:ascii="仿宋" w:hAnsi="仿宋" w:eastAsia="仿宋" w:cs="宋体"/>
          <w:sz w:val="32"/>
          <w:szCs w:val="32"/>
        </w:rPr>
        <w:t>（一）部门收支情况</w:t>
      </w:r>
    </w:p>
    <w:p>
      <w:pPr>
        <w:widowControl/>
        <w:spacing w:line="48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年度财政拨款收、支总计</w:t>
      </w:r>
      <w:r>
        <w:rPr>
          <w:rFonts w:hint="eastAsia" w:ascii="仿宋" w:hAnsi="仿宋" w:eastAsia="仿宋"/>
          <w:sz w:val="32"/>
          <w:szCs w:val="32"/>
          <w:lang w:val="en-US" w:eastAsia="zh-CN"/>
        </w:rPr>
        <w:t>241.16</w:t>
      </w:r>
      <w:r>
        <w:rPr>
          <w:rFonts w:hint="eastAsia" w:ascii="仿宋" w:hAnsi="仿宋" w:eastAsia="仿宋"/>
          <w:sz w:val="32"/>
          <w:szCs w:val="32"/>
        </w:rPr>
        <w:t>万元，与上年相比，减少</w:t>
      </w:r>
      <w:r>
        <w:rPr>
          <w:rFonts w:hint="eastAsia" w:ascii="仿宋" w:hAnsi="仿宋" w:eastAsia="仿宋"/>
          <w:sz w:val="32"/>
          <w:szCs w:val="32"/>
          <w:lang w:val="en-US" w:eastAsia="zh-CN"/>
        </w:rPr>
        <w:t>230.53</w:t>
      </w:r>
      <w:r>
        <w:rPr>
          <w:rFonts w:hint="eastAsia" w:ascii="仿宋" w:hAnsi="仿宋" w:eastAsia="仿宋"/>
          <w:sz w:val="32"/>
          <w:szCs w:val="32"/>
        </w:rPr>
        <w:t>万元,减少</w:t>
      </w:r>
      <w:r>
        <w:rPr>
          <w:rFonts w:hint="eastAsia" w:ascii="仿宋" w:hAnsi="仿宋" w:eastAsia="仿宋"/>
          <w:sz w:val="32"/>
          <w:szCs w:val="32"/>
          <w:lang w:val="en-US" w:eastAsia="zh-CN"/>
        </w:rPr>
        <w:t>48.87</w:t>
      </w:r>
      <w:r>
        <w:rPr>
          <w:rFonts w:hint="eastAsia" w:ascii="仿宋" w:hAnsi="仿宋" w:eastAsia="仿宋"/>
          <w:sz w:val="32"/>
          <w:szCs w:val="32"/>
        </w:rPr>
        <w:t xml:space="preserve">%，主要是因为缩减开支。 </w:t>
      </w:r>
      <w:r>
        <w:rPr>
          <w:rFonts w:ascii="仿宋" w:hAnsi="仿宋" w:eastAsia="仿宋"/>
          <w:sz w:val="32"/>
          <w:szCs w:val="32"/>
        </w:rPr>
        <w:t xml:space="preserve">  </w:t>
      </w:r>
    </w:p>
    <w:p>
      <w:pPr>
        <w:widowControl/>
        <w:spacing w:line="480" w:lineRule="exact"/>
        <w:ind w:firstLine="320" w:firstLineChars="100"/>
        <w:rPr>
          <w:rFonts w:ascii="仿宋" w:hAnsi="仿宋" w:eastAsia="仿宋"/>
          <w:sz w:val="32"/>
          <w:szCs w:val="32"/>
        </w:rPr>
      </w:pPr>
      <w:r>
        <w:rPr>
          <w:rFonts w:hint="eastAsia" w:ascii="仿宋" w:hAnsi="仿宋" w:eastAsia="仿宋"/>
          <w:sz w:val="32"/>
          <w:szCs w:val="32"/>
        </w:rPr>
        <w:t>（二）项目支出情况</w:t>
      </w:r>
    </w:p>
    <w:p>
      <w:pPr>
        <w:spacing w:line="480" w:lineRule="exact"/>
        <w:ind w:firstLine="640" w:firstLineChars="200"/>
        <w:contextualSpacing/>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年一级项目0个，二级项目</w:t>
      </w:r>
      <w:r>
        <w:rPr>
          <w:rFonts w:hint="eastAsia" w:ascii="仿宋" w:hAnsi="仿宋" w:eastAsia="仿宋"/>
          <w:sz w:val="32"/>
          <w:szCs w:val="32"/>
          <w:lang w:val="en-US" w:eastAsia="zh-CN"/>
        </w:rPr>
        <w:t>8</w:t>
      </w:r>
      <w:r>
        <w:rPr>
          <w:rFonts w:hint="eastAsia" w:ascii="仿宋" w:hAnsi="仿宋" w:eastAsia="仿宋"/>
          <w:sz w:val="32"/>
          <w:szCs w:val="32"/>
        </w:rPr>
        <w:t xml:space="preserve"> 个，分别</w:t>
      </w:r>
      <w:r>
        <w:rPr>
          <w:rFonts w:hint="eastAsia" w:ascii="仿宋" w:hAnsi="仿宋" w:eastAsia="仿宋"/>
          <w:sz w:val="32"/>
          <w:szCs w:val="32"/>
          <w:lang w:val="en-US" w:eastAsia="zh-CN"/>
        </w:rPr>
        <w:t>其他对家庭和个人的补助、其他商品和服务支出</w:t>
      </w:r>
      <w:r>
        <w:rPr>
          <w:rFonts w:hint="eastAsia" w:ascii="仿宋" w:hAnsi="仿宋" w:eastAsia="仿宋"/>
          <w:sz w:val="32"/>
          <w:szCs w:val="32"/>
        </w:rPr>
        <w:t>等项目经费</w:t>
      </w:r>
      <w:r>
        <w:rPr>
          <w:rFonts w:hint="eastAsia" w:ascii="仿宋" w:hAnsi="仿宋" w:eastAsia="仿宋"/>
          <w:sz w:val="32"/>
          <w:szCs w:val="32"/>
          <w:lang w:val="en-US" w:eastAsia="zh-CN"/>
        </w:rPr>
        <w:t>3.85</w:t>
      </w:r>
      <w:r>
        <w:rPr>
          <w:rFonts w:hint="eastAsia" w:ascii="仿宋" w:hAnsi="仿宋" w:eastAsia="仿宋"/>
          <w:sz w:val="32"/>
          <w:szCs w:val="32"/>
        </w:rPr>
        <w:t>万元；</w:t>
      </w:r>
      <w:r>
        <w:rPr>
          <w:rFonts w:hint="eastAsia" w:ascii="仿宋" w:hAnsi="仿宋" w:eastAsia="仿宋"/>
          <w:sz w:val="32"/>
          <w:szCs w:val="32"/>
          <w:lang w:val="en-US" w:eastAsia="zh-CN"/>
        </w:rPr>
        <w:t>年度考核奖金0.3万元；一般商品和服务支出1.45万元；</w:t>
      </w:r>
      <w:r>
        <w:rPr>
          <w:rFonts w:hint="eastAsia" w:ascii="仿宋" w:hAnsi="仿宋" w:eastAsia="仿宋"/>
          <w:sz w:val="32"/>
          <w:szCs w:val="32"/>
        </w:rPr>
        <w:t>招商引资专项经费</w:t>
      </w:r>
      <w:r>
        <w:rPr>
          <w:rFonts w:hint="eastAsia" w:ascii="仿宋" w:hAnsi="仿宋" w:eastAsia="仿宋"/>
          <w:sz w:val="32"/>
          <w:szCs w:val="32"/>
          <w:lang w:val="en-US" w:eastAsia="zh-CN"/>
        </w:rPr>
        <w:t>15.13</w:t>
      </w:r>
      <w:r>
        <w:rPr>
          <w:rFonts w:hint="eastAsia" w:ascii="仿宋" w:hAnsi="仿宋" w:eastAsia="仿宋"/>
          <w:sz w:val="32"/>
          <w:szCs w:val="32"/>
        </w:rPr>
        <w:t>万元；招商引资等</w:t>
      </w:r>
      <w:r>
        <w:rPr>
          <w:rFonts w:hint="eastAsia" w:ascii="仿宋" w:hAnsi="仿宋" w:eastAsia="仿宋"/>
          <w:sz w:val="32"/>
          <w:szCs w:val="32"/>
          <w:lang w:val="en-US" w:eastAsia="zh-CN"/>
        </w:rPr>
        <w:t>项目</w:t>
      </w:r>
      <w:r>
        <w:rPr>
          <w:rFonts w:hint="eastAsia" w:ascii="仿宋" w:hAnsi="仿宋" w:eastAsia="仿宋"/>
          <w:sz w:val="32"/>
          <w:szCs w:val="32"/>
        </w:rPr>
        <w:t>经费</w:t>
      </w:r>
      <w:r>
        <w:rPr>
          <w:rFonts w:hint="eastAsia" w:ascii="仿宋" w:hAnsi="仿宋" w:eastAsia="仿宋"/>
          <w:sz w:val="32"/>
          <w:szCs w:val="32"/>
          <w:lang w:val="en-US" w:eastAsia="zh-CN"/>
        </w:rPr>
        <w:t>55.76</w:t>
      </w:r>
      <w:r>
        <w:rPr>
          <w:rFonts w:hint="eastAsia" w:ascii="仿宋" w:hAnsi="仿宋" w:eastAsia="仿宋"/>
          <w:sz w:val="32"/>
          <w:szCs w:val="32"/>
        </w:rPr>
        <w:t>万元；招商引资</w:t>
      </w:r>
      <w:r>
        <w:rPr>
          <w:rFonts w:hint="eastAsia" w:ascii="仿宋" w:hAnsi="仿宋" w:eastAsia="仿宋"/>
          <w:sz w:val="32"/>
          <w:szCs w:val="32"/>
          <w:lang w:val="en-US" w:eastAsia="zh-CN"/>
        </w:rPr>
        <w:t>资金0.06</w:t>
      </w:r>
      <w:r>
        <w:rPr>
          <w:rFonts w:hint="eastAsia" w:ascii="仿宋" w:hAnsi="仿宋" w:eastAsia="仿宋"/>
          <w:sz w:val="32"/>
          <w:szCs w:val="32"/>
        </w:rPr>
        <w:t>万元；</w:t>
      </w:r>
      <w:r>
        <w:rPr>
          <w:rFonts w:hint="eastAsia" w:ascii="仿宋" w:hAnsi="仿宋" w:eastAsia="仿宋"/>
          <w:sz w:val="32"/>
          <w:szCs w:val="32"/>
          <w:lang w:val="en-US" w:eastAsia="zh-CN"/>
        </w:rPr>
        <w:t>商贸业管理专项资金1.03万元；商贸流通企业培育资金0.76万元。</w:t>
      </w:r>
      <w:r>
        <w:rPr>
          <w:rFonts w:hint="eastAsia" w:ascii="仿宋" w:hAnsi="仿宋" w:eastAsia="仿宋"/>
          <w:sz w:val="32"/>
          <w:szCs w:val="32"/>
        </w:rPr>
        <w:t>共涉及资金</w:t>
      </w:r>
      <w:r>
        <w:rPr>
          <w:rFonts w:hint="eastAsia" w:ascii="仿宋" w:hAnsi="仿宋" w:eastAsia="仿宋"/>
          <w:sz w:val="32"/>
          <w:szCs w:val="32"/>
          <w:lang w:val="en-US" w:eastAsia="zh-CN"/>
        </w:rPr>
        <w:t>78.34</w:t>
      </w:r>
      <w:r>
        <w:rPr>
          <w:rFonts w:hint="eastAsia" w:ascii="仿宋" w:hAnsi="仿宋" w:eastAsia="仿宋"/>
          <w:sz w:val="32"/>
          <w:szCs w:val="32"/>
        </w:rPr>
        <w:t>万元，占一般公共预算项目支出总额的100%。组织对202</w:t>
      </w:r>
      <w:r>
        <w:rPr>
          <w:rFonts w:hint="eastAsia" w:ascii="仿宋" w:hAnsi="仿宋" w:eastAsia="仿宋"/>
          <w:sz w:val="32"/>
          <w:szCs w:val="32"/>
          <w:lang w:val="en-US" w:eastAsia="zh-CN"/>
        </w:rPr>
        <w:t>2</w:t>
      </w:r>
      <w:r>
        <w:rPr>
          <w:rFonts w:hint="eastAsia" w:ascii="仿宋" w:hAnsi="仿宋" w:eastAsia="仿宋"/>
          <w:sz w:val="32"/>
          <w:szCs w:val="32"/>
        </w:rPr>
        <w:t>年度招商引资经费项目支出开展绩效自评，共涉及资金</w:t>
      </w:r>
      <w:r>
        <w:rPr>
          <w:rFonts w:hint="eastAsia" w:ascii="仿宋" w:hAnsi="仿宋" w:eastAsia="仿宋"/>
          <w:sz w:val="32"/>
          <w:szCs w:val="32"/>
          <w:lang w:val="en-US" w:eastAsia="zh-CN"/>
        </w:rPr>
        <w:t>55.76</w:t>
      </w:r>
      <w:r>
        <w:rPr>
          <w:rFonts w:hint="eastAsia" w:ascii="仿宋" w:hAnsi="仿宋" w:eastAsia="仿宋"/>
          <w:sz w:val="32"/>
          <w:szCs w:val="32"/>
        </w:rPr>
        <w:t>万元，占一般公共预算项目支出总额的</w:t>
      </w:r>
      <w:r>
        <w:rPr>
          <w:rFonts w:hint="eastAsia" w:ascii="仿宋" w:hAnsi="仿宋" w:eastAsia="仿宋"/>
          <w:sz w:val="32"/>
          <w:szCs w:val="32"/>
          <w:lang w:val="en-US" w:eastAsia="zh-CN"/>
        </w:rPr>
        <w:t>71</w:t>
      </w:r>
      <w:r>
        <w:rPr>
          <w:rFonts w:hint="eastAsia" w:ascii="仿宋" w:hAnsi="仿宋" w:eastAsia="仿宋"/>
          <w:sz w:val="32"/>
          <w:szCs w:val="32"/>
        </w:rPr>
        <w:t>%。</w:t>
      </w:r>
    </w:p>
    <w:p>
      <w:pPr>
        <w:spacing w:line="480" w:lineRule="exact"/>
        <w:ind w:firstLine="640" w:firstLineChars="200"/>
        <w:contextualSpacing/>
        <w:rPr>
          <w:rFonts w:ascii="仿宋" w:hAnsi="仿宋" w:eastAsia="仿宋"/>
          <w:sz w:val="32"/>
          <w:szCs w:val="32"/>
        </w:rPr>
      </w:pPr>
      <w:r>
        <w:rPr>
          <w:rFonts w:hint="eastAsia" w:ascii="仿宋" w:hAnsi="仿宋" w:eastAsia="仿宋"/>
          <w:sz w:val="32"/>
          <w:szCs w:val="32"/>
        </w:rPr>
        <w:t>（三）“三公”经费情况</w:t>
      </w:r>
    </w:p>
    <w:p>
      <w:pPr>
        <w:spacing w:line="48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年度“三公”经费财政拨款支出决算中，公务接待费支出决算</w:t>
      </w:r>
      <w:r>
        <w:rPr>
          <w:rFonts w:hint="eastAsia" w:ascii="仿宋" w:hAnsi="仿宋" w:eastAsia="仿宋"/>
          <w:sz w:val="32"/>
          <w:szCs w:val="32"/>
          <w:lang w:val="en-US" w:eastAsia="zh-CN"/>
        </w:rPr>
        <w:t>11.9</w:t>
      </w:r>
      <w:r>
        <w:rPr>
          <w:rFonts w:hint="eastAsia" w:ascii="仿宋" w:hAnsi="仿宋" w:eastAsia="仿宋"/>
          <w:sz w:val="32"/>
          <w:szCs w:val="32"/>
        </w:rPr>
        <w:t>万元，占100%,因公出国（境）费支出决算0万元，占0%,公务用车购置费及运行维护费支出决算0万元，占0%。其中：</w:t>
      </w:r>
    </w:p>
    <w:p>
      <w:pPr>
        <w:spacing w:line="48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1、因公出国（境）费支出决算为0万元，全年安排因公出国（境）团组0个。</w:t>
      </w:r>
    </w:p>
    <w:p>
      <w:pPr>
        <w:spacing w:line="48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2、公务接待费支出决算为</w:t>
      </w:r>
      <w:r>
        <w:rPr>
          <w:rFonts w:hint="eastAsia" w:ascii="仿宋" w:hAnsi="仿宋" w:eastAsia="仿宋"/>
          <w:sz w:val="32"/>
          <w:szCs w:val="32"/>
          <w:lang w:val="en-US" w:eastAsia="zh-CN"/>
        </w:rPr>
        <w:t>11.9</w:t>
      </w:r>
      <w:r>
        <w:rPr>
          <w:rFonts w:hint="eastAsia" w:ascii="仿宋" w:hAnsi="仿宋" w:eastAsia="仿宋"/>
          <w:sz w:val="32"/>
          <w:szCs w:val="32"/>
        </w:rPr>
        <w:t>万元，全年共接待来访团组</w:t>
      </w:r>
      <w:r>
        <w:rPr>
          <w:rFonts w:hint="eastAsia" w:ascii="仿宋" w:hAnsi="仿宋" w:eastAsia="仿宋"/>
          <w:sz w:val="32"/>
          <w:szCs w:val="32"/>
          <w:lang w:val="en-US" w:eastAsia="zh-CN"/>
        </w:rPr>
        <w:t>10</w:t>
      </w:r>
      <w:r>
        <w:rPr>
          <w:rFonts w:hint="eastAsia" w:ascii="仿宋" w:hAnsi="仿宋" w:eastAsia="仿宋"/>
          <w:sz w:val="32"/>
          <w:szCs w:val="32"/>
        </w:rPr>
        <w:t>个、来宾</w:t>
      </w:r>
      <w:r>
        <w:rPr>
          <w:rFonts w:hint="eastAsia" w:ascii="仿宋" w:hAnsi="仿宋" w:eastAsia="仿宋"/>
          <w:sz w:val="32"/>
          <w:szCs w:val="32"/>
          <w:lang w:val="en-US" w:eastAsia="zh-CN"/>
        </w:rPr>
        <w:t>600</w:t>
      </w:r>
      <w:r>
        <w:rPr>
          <w:rFonts w:hint="eastAsia" w:ascii="仿宋" w:hAnsi="仿宋" w:eastAsia="仿宋"/>
          <w:sz w:val="32"/>
          <w:szCs w:val="32"/>
        </w:rPr>
        <w:t>人次，主要是招商引资发生的接待支出。</w:t>
      </w:r>
    </w:p>
    <w:p>
      <w:pPr>
        <w:spacing w:line="48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3、公务用车购置费及运行维护费支出决算为0万元，其中：公务用车购置费0万元。公务用车运行维护费0万元，截至202</w:t>
      </w:r>
      <w:r>
        <w:rPr>
          <w:rFonts w:hint="eastAsia" w:ascii="仿宋" w:hAnsi="仿宋" w:eastAsia="仿宋"/>
          <w:sz w:val="32"/>
          <w:szCs w:val="32"/>
          <w:lang w:val="en-US" w:eastAsia="zh-CN"/>
        </w:rPr>
        <w:t>2</w:t>
      </w:r>
      <w:r>
        <w:rPr>
          <w:rFonts w:hint="eastAsia" w:ascii="仿宋" w:hAnsi="仿宋" w:eastAsia="仿宋"/>
          <w:sz w:val="32"/>
          <w:szCs w:val="32"/>
        </w:rPr>
        <w:t>年12月31日，我单位开支财政拨款的公务用车保有量为0辆。我单位202</w:t>
      </w:r>
      <w:r>
        <w:rPr>
          <w:rFonts w:hint="eastAsia" w:ascii="仿宋" w:hAnsi="仿宋" w:eastAsia="仿宋"/>
          <w:sz w:val="32"/>
          <w:szCs w:val="32"/>
          <w:lang w:val="en-US" w:eastAsia="zh-CN"/>
        </w:rPr>
        <w:t>2</w:t>
      </w:r>
      <w:r>
        <w:rPr>
          <w:rFonts w:hint="eastAsia" w:ascii="仿宋" w:hAnsi="仿宋" w:eastAsia="仿宋"/>
          <w:sz w:val="32"/>
          <w:szCs w:val="32"/>
        </w:rPr>
        <w:t>年度无公务用车购置费及运行维护费支出。</w:t>
      </w:r>
    </w:p>
    <w:p>
      <w:pPr>
        <w:spacing w:line="480" w:lineRule="exact"/>
        <w:ind w:firstLine="640" w:firstLineChars="200"/>
        <w:rPr>
          <w:rFonts w:ascii="黑体" w:hAnsi="黑体" w:eastAsia="黑体" w:cs="宋体"/>
          <w:sz w:val="32"/>
          <w:szCs w:val="32"/>
        </w:rPr>
      </w:pPr>
      <w:r>
        <w:rPr>
          <w:rFonts w:hint="eastAsia" w:ascii="黑体" w:hAnsi="黑体" w:eastAsia="黑体" w:cs="宋体"/>
          <w:sz w:val="32"/>
          <w:szCs w:val="32"/>
        </w:rPr>
        <w:t>三、部门整体支出绩效评价情况</w:t>
      </w:r>
    </w:p>
    <w:p>
      <w:pPr>
        <w:spacing w:line="480" w:lineRule="exact"/>
        <w:ind w:firstLine="600" w:firstLineChars="200"/>
        <w:rPr>
          <w:rFonts w:hint="eastAsia" w:eastAsia="仿宋"/>
          <w:sz w:val="30"/>
          <w:szCs w:val="30"/>
        </w:rPr>
      </w:pPr>
      <w:r>
        <w:rPr>
          <w:rFonts w:hint="eastAsia" w:eastAsia="仿宋"/>
          <w:sz w:val="30"/>
          <w:szCs w:val="30"/>
        </w:rPr>
        <w:t>202</w:t>
      </w:r>
      <w:r>
        <w:rPr>
          <w:rFonts w:hint="eastAsia" w:eastAsia="仿宋"/>
          <w:sz w:val="30"/>
          <w:szCs w:val="30"/>
          <w:lang w:val="en-US" w:eastAsia="zh-CN"/>
        </w:rPr>
        <w:t>2</w:t>
      </w:r>
      <w:r>
        <w:rPr>
          <w:rFonts w:hint="eastAsia" w:eastAsia="仿宋"/>
          <w:sz w:val="30"/>
          <w:szCs w:val="30"/>
        </w:rPr>
        <w:t>年，我单位积极履职，强化管理，较好的完成了年度工作目标。通过加强预算收支管理，不断建立健全内部管理制度，梳理内部管理流程，部门整体支出管理水平得到提升。</w:t>
      </w:r>
    </w:p>
    <w:p>
      <w:pPr>
        <w:spacing w:line="480" w:lineRule="exact"/>
        <w:ind w:firstLine="600" w:firstLineChars="200"/>
        <w:rPr>
          <w:rFonts w:eastAsia="仿宋"/>
          <w:sz w:val="30"/>
          <w:szCs w:val="30"/>
        </w:rPr>
      </w:pPr>
      <w:r>
        <w:rPr>
          <w:rFonts w:hint="eastAsia" w:eastAsia="仿宋"/>
          <w:sz w:val="30"/>
          <w:szCs w:val="30"/>
        </w:rPr>
        <w:t>我单位高度重视绩效评价结果的应用工作，积极探索和建立一套与预算管理相结合、多渠道应用评价结果的有效机制，着力提高绩效意识和财政资金使用效益。同时，将202</w:t>
      </w:r>
      <w:r>
        <w:rPr>
          <w:rFonts w:hint="eastAsia" w:eastAsia="仿宋"/>
          <w:sz w:val="30"/>
          <w:szCs w:val="30"/>
          <w:lang w:val="en-US" w:eastAsia="zh-CN"/>
        </w:rPr>
        <w:t>2</w:t>
      </w:r>
      <w:bookmarkStart w:id="0" w:name="_GoBack"/>
      <w:bookmarkEnd w:id="0"/>
      <w:r>
        <w:rPr>
          <w:rFonts w:hint="eastAsia" w:eastAsia="仿宋"/>
          <w:sz w:val="30"/>
          <w:szCs w:val="30"/>
        </w:rPr>
        <w:t>年度石鼓区商务局整体支出绩效自评报告在石鼓区党政门户网站上进行公开，广泛接受社会监督。</w:t>
      </w:r>
    </w:p>
    <w:p>
      <w:pPr>
        <w:spacing w:line="480" w:lineRule="exact"/>
        <w:ind w:firstLine="640" w:firstLineChars="200"/>
        <w:rPr>
          <w:rFonts w:ascii="黑体" w:hAnsi="黑体" w:eastAsia="黑体" w:cs="宋体"/>
          <w:sz w:val="32"/>
          <w:szCs w:val="32"/>
        </w:rPr>
      </w:pPr>
      <w:r>
        <w:rPr>
          <w:rFonts w:hint="eastAsia" w:ascii="黑体" w:hAnsi="黑体" w:eastAsia="黑体" w:cs="宋体"/>
          <w:sz w:val="32"/>
          <w:szCs w:val="32"/>
        </w:rPr>
        <w:t>四、存在的主要问题</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1、存在部分支出进度较慢、预算资金结转结余较多，预算完成率绩效评价设计不合理，造成预算完成率较差情况。</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2、未对项目实施可行性研究分析，未针对项目设定绩效目标、产出指标。未对项目实施前期可行性研究分析，无法得出实施项目后的预期效果，无法证明实施项目的必要性；在实施项目时，未设定项目资金使用绩效目标和产出指标，未结合项目实施分年度、分阶段对指标进一步细化和量化，无法清晰衡量指标的明确性及合理性。</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3、资金预算管理工作没有做到位，需要加强资金预算管理，做好公用经费控制率。避免后期追加资金。</w:t>
      </w:r>
    </w:p>
    <w:p>
      <w:pPr>
        <w:spacing w:line="480" w:lineRule="exact"/>
        <w:ind w:firstLine="640" w:firstLineChars="200"/>
        <w:rPr>
          <w:rFonts w:ascii="黑体" w:hAnsi="黑体" w:eastAsia="黑体" w:cs="宋体"/>
          <w:sz w:val="32"/>
          <w:szCs w:val="32"/>
        </w:rPr>
      </w:pPr>
      <w:r>
        <w:rPr>
          <w:rFonts w:hint="eastAsia" w:ascii="黑体" w:hAnsi="黑体" w:eastAsia="黑体" w:cs="宋体"/>
          <w:sz w:val="32"/>
          <w:szCs w:val="32"/>
        </w:rPr>
        <w:t>五、改进措施及建议</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1、细化预算编制工作，认真做好预算的编制。</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2、加强财务管理，严格财务审核。在费用报账支付时，按照预算规定的费用项目和用途进行资金使用审核、列报支付、财务核算，杜绝超支现象的发生。</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3、按照财政支出绩效管理的要求，建立科学的财政资金效益考评制度体系，不断提高财政资金使用管理的水平和效率。</w:t>
      </w:r>
    </w:p>
    <w:p>
      <w:pPr>
        <w:spacing w:line="480" w:lineRule="exact"/>
        <w:ind w:firstLine="640" w:firstLineChars="200"/>
        <w:rPr>
          <w:rFonts w:ascii="仿宋" w:hAnsi="仿宋" w:eastAsia="仿宋"/>
          <w:sz w:val="32"/>
          <w:szCs w:val="32"/>
          <w:shd w:val="clear" w:color="auto" w:fill="FFFFFF"/>
        </w:rPr>
      </w:pPr>
    </w:p>
    <w:sectPr>
      <w:footerReference r:id="rId3" w:type="default"/>
      <w:pgSz w:w="11906" w:h="16838"/>
      <w:pgMar w:top="156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7674"/>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jgxNzQ3ZDMxYTdjYjVkNzI3MWE5MTk2OWY3NjIifQ=="/>
  </w:docVars>
  <w:rsids>
    <w:rsidRoot w:val="00B7388F"/>
    <w:rsid w:val="0002179A"/>
    <w:rsid w:val="00037CB1"/>
    <w:rsid w:val="000811E3"/>
    <w:rsid w:val="00087EEE"/>
    <w:rsid w:val="00094D25"/>
    <w:rsid w:val="000B56C4"/>
    <w:rsid w:val="000F4388"/>
    <w:rsid w:val="001210A6"/>
    <w:rsid w:val="00132D52"/>
    <w:rsid w:val="00183032"/>
    <w:rsid w:val="00197C85"/>
    <w:rsid w:val="001B62DD"/>
    <w:rsid w:val="001B65B0"/>
    <w:rsid w:val="001E4C5D"/>
    <w:rsid w:val="00243315"/>
    <w:rsid w:val="00257E44"/>
    <w:rsid w:val="0026144E"/>
    <w:rsid w:val="002A3842"/>
    <w:rsid w:val="002B6619"/>
    <w:rsid w:val="002C3DEB"/>
    <w:rsid w:val="002C497F"/>
    <w:rsid w:val="002C5955"/>
    <w:rsid w:val="002C6268"/>
    <w:rsid w:val="002D2C99"/>
    <w:rsid w:val="00334921"/>
    <w:rsid w:val="003444DB"/>
    <w:rsid w:val="00353C01"/>
    <w:rsid w:val="00385002"/>
    <w:rsid w:val="003872E2"/>
    <w:rsid w:val="00396F90"/>
    <w:rsid w:val="003A32EF"/>
    <w:rsid w:val="003E5588"/>
    <w:rsid w:val="004002E7"/>
    <w:rsid w:val="00415066"/>
    <w:rsid w:val="004164D5"/>
    <w:rsid w:val="00460CB8"/>
    <w:rsid w:val="00480C95"/>
    <w:rsid w:val="004A04ED"/>
    <w:rsid w:val="004B049E"/>
    <w:rsid w:val="004E49FD"/>
    <w:rsid w:val="004F038D"/>
    <w:rsid w:val="004F32FD"/>
    <w:rsid w:val="00571117"/>
    <w:rsid w:val="00575CE1"/>
    <w:rsid w:val="005B7E91"/>
    <w:rsid w:val="005D5B9A"/>
    <w:rsid w:val="0061449C"/>
    <w:rsid w:val="00642C69"/>
    <w:rsid w:val="006654A9"/>
    <w:rsid w:val="006848B7"/>
    <w:rsid w:val="006C32A0"/>
    <w:rsid w:val="00723AF4"/>
    <w:rsid w:val="00727D7A"/>
    <w:rsid w:val="00753D25"/>
    <w:rsid w:val="00764773"/>
    <w:rsid w:val="00831BB6"/>
    <w:rsid w:val="00860A4F"/>
    <w:rsid w:val="0086381A"/>
    <w:rsid w:val="008830E8"/>
    <w:rsid w:val="00885050"/>
    <w:rsid w:val="008A486C"/>
    <w:rsid w:val="008C7DB6"/>
    <w:rsid w:val="008E05A5"/>
    <w:rsid w:val="0090722C"/>
    <w:rsid w:val="00926CCD"/>
    <w:rsid w:val="00944D14"/>
    <w:rsid w:val="0094721D"/>
    <w:rsid w:val="00947C5D"/>
    <w:rsid w:val="00951608"/>
    <w:rsid w:val="00970B34"/>
    <w:rsid w:val="00977438"/>
    <w:rsid w:val="00993AC5"/>
    <w:rsid w:val="00A31567"/>
    <w:rsid w:val="00A543A7"/>
    <w:rsid w:val="00A82B85"/>
    <w:rsid w:val="00A91892"/>
    <w:rsid w:val="00A9795E"/>
    <w:rsid w:val="00AD46A9"/>
    <w:rsid w:val="00B00E47"/>
    <w:rsid w:val="00B1694D"/>
    <w:rsid w:val="00B20E2D"/>
    <w:rsid w:val="00B42EE8"/>
    <w:rsid w:val="00B7114C"/>
    <w:rsid w:val="00B7388F"/>
    <w:rsid w:val="00B96667"/>
    <w:rsid w:val="00BC04E0"/>
    <w:rsid w:val="00BC188E"/>
    <w:rsid w:val="00BD53BE"/>
    <w:rsid w:val="00BF408B"/>
    <w:rsid w:val="00C02D64"/>
    <w:rsid w:val="00C215D1"/>
    <w:rsid w:val="00C22B65"/>
    <w:rsid w:val="00C22E58"/>
    <w:rsid w:val="00C3071C"/>
    <w:rsid w:val="00C445D8"/>
    <w:rsid w:val="00C77AE8"/>
    <w:rsid w:val="00C81CFD"/>
    <w:rsid w:val="00C834AB"/>
    <w:rsid w:val="00C92F17"/>
    <w:rsid w:val="00D14836"/>
    <w:rsid w:val="00D30C1D"/>
    <w:rsid w:val="00D627A9"/>
    <w:rsid w:val="00D86608"/>
    <w:rsid w:val="00DB02BE"/>
    <w:rsid w:val="00DC34E6"/>
    <w:rsid w:val="00DC42B0"/>
    <w:rsid w:val="00DF51CF"/>
    <w:rsid w:val="00E06C63"/>
    <w:rsid w:val="00E11532"/>
    <w:rsid w:val="00E16209"/>
    <w:rsid w:val="00E3507D"/>
    <w:rsid w:val="00E35649"/>
    <w:rsid w:val="00E36805"/>
    <w:rsid w:val="00E94CA9"/>
    <w:rsid w:val="00EB56F4"/>
    <w:rsid w:val="00EE351C"/>
    <w:rsid w:val="00EE41D2"/>
    <w:rsid w:val="00F02C63"/>
    <w:rsid w:val="00F126AE"/>
    <w:rsid w:val="00F1432E"/>
    <w:rsid w:val="00F27AC7"/>
    <w:rsid w:val="00F324FB"/>
    <w:rsid w:val="00F45DC5"/>
    <w:rsid w:val="00F56E6B"/>
    <w:rsid w:val="00FA38BF"/>
    <w:rsid w:val="00FA5754"/>
    <w:rsid w:val="1BF16D3F"/>
    <w:rsid w:val="27587A91"/>
    <w:rsid w:val="53A67E78"/>
    <w:rsid w:val="55E43AC6"/>
    <w:rsid w:val="5EFC517A"/>
    <w:rsid w:val="6D3F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asciiTheme="minorHAnsi" w:hAnsiTheme="minorHAnsi" w:eastAsiaTheme="minorEastAsia"/>
      <w:kern w:val="0"/>
      <w:sz w:val="24"/>
      <w:szCs w:val="22"/>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7448B-5A3A-4599-8542-A237D024FA66}">
  <ds:schemaRefs/>
</ds:datastoreItem>
</file>

<file path=docProps/app.xml><?xml version="1.0" encoding="utf-8"?>
<Properties xmlns="http://schemas.openxmlformats.org/officeDocument/2006/extended-properties" xmlns:vt="http://schemas.openxmlformats.org/officeDocument/2006/docPropsVTypes">
  <Template>Normal</Template>
  <Pages>4</Pages>
  <Words>1988</Words>
  <Characters>2078</Characters>
  <Lines>15</Lines>
  <Paragraphs>4</Paragraphs>
  <TotalTime>638</TotalTime>
  <ScaleCrop>false</ScaleCrop>
  <LinksUpToDate>false</LinksUpToDate>
  <CharactersWithSpaces>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2020-02-26T08:54:00Z</dcterms:created>
  <dc:creator>Lenovo5</dc:creator>
  <cp:lastModifiedBy>Z</cp:lastModifiedBy>
  <cp:lastPrinted>2021-02-08T00:11:00Z</cp:lastPrinted>
  <dcterms:modified xsi:type="dcterms:W3CDTF">2023-08-30T06:41:40Z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38EA14A617E8464C9FE15B22761BCC9B</vt:lpwstr>
  </property>
</Properties>
</file>