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Theme="majorEastAsia" w:hAnsiTheme="majorEastAsia" w:eastAsiaTheme="majorEastAsia" w:cstheme="majorEastAsia"/>
          <w:b/>
          <w:bCs/>
          <w:kern w:val="0"/>
          <w:sz w:val="44"/>
          <w:szCs w:val="44"/>
        </w:rPr>
      </w:pPr>
      <w:r>
        <w:rPr>
          <w:rFonts w:hint="eastAsia" w:asciiTheme="majorEastAsia" w:hAnsiTheme="majorEastAsia" w:eastAsiaTheme="majorEastAsia" w:cstheme="majorEastAsia"/>
          <w:b/>
          <w:bCs/>
          <w:kern w:val="0"/>
          <w:sz w:val="44"/>
          <w:szCs w:val="44"/>
        </w:rPr>
        <w:t>202</w:t>
      </w:r>
      <w:r>
        <w:rPr>
          <w:rFonts w:asciiTheme="majorEastAsia" w:hAnsiTheme="majorEastAsia" w:eastAsiaTheme="majorEastAsia" w:cstheme="majorEastAsia"/>
          <w:b/>
          <w:bCs/>
          <w:kern w:val="0"/>
          <w:sz w:val="44"/>
          <w:szCs w:val="44"/>
        </w:rPr>
        <w:t>2</w:t>
      </w:r>
      <w:r>
        <w:rPr>
          <w:rFonts w:hint="eastAsia" w:asciiTheme="majorEastAsia" w:hAnsiTheme="majorEastAsia" w:eastAsiaTheme="majorEastAsia" w:cstheme="majorEastAsia"/>
          <w:b/>
          <w:bCs/>
          <w:kern w:val="0"/>
          <w:sz w:val="44"/>
          <w:szCs w:val="44"/>
        </w:rPr>
        <w:t>年度石鼓区行政审批服务局</w:t>
      </w:r>
    </w:p>
    <w:p>
      <w:pPr>
        <w:spacing w:line="580" w:lineRule="exact"/>
        <w:jc w:val="center"/>
        <w:rPr>
          <w:rFonts w:asciiTheme="majorEastAsia" w:hAnsiTheme="majorEastAsia" w:eastAsiaTheme="majorEastAsia" w:cstheme="majorEastAsia"/>
          <w:b/>
          <w:bCs/>
          <w:kern w:val="0"/>
          <w:sz w:val="44"/>
          <w:szCs w:val="44"/>
        </w:rPr>
      </w:pPr>
      <w:r>
        <w:rPr>
          <w:rFonts w:hint="eastAsia" w:asciiTheme="majorEastAsia" w:hAnsiTheme="majorEastAsia" w:eastAsiaTheme="majorEastAsia" w:cstheme="majorEastAsia"/>
          <w:b/>
          <w:bCs/>
          <w:kern w:val="0"/>
          <w:sz w:val="44"/>
          <w:szCs w:val="44"/>
        </w:rPr>
        <w:t>整体支出绩效自评报告</w:t>
      </w:r>
    </w:p>
    <w:p>
      <w:pPr>
        <w:spacing w:line="580" w:lineRule="exact"/>
        <w:jc w:val="center"/>
        <w:rPr>
          <w:rFonts w:eastAsia="楷体_GB2312"/>
          <w:b/>
          <w:szCs w:val="21"/>
        </w:rPr>
      </w:pPr>
    </w:p>
    <w:p>
      <w:pPr>
        <w:pStyle w:val="4"/>
        <w:widowControl/>
        <w:spacing w:beforeAutospacing="0" w:afterAutospacing="0" w:line="580" w:lineRule="exact"/>
        <w:ind w:firstLine="640" w:firstLineChars="200"/>
        <w:rPr>
          <w:rFonts w:ascii="黑体" w:hAnsi="黑体" w:eastAsia="黑体" w:cs="黑体"/>
          <w:sz w:val="32"/>
          <w:szCs w:val="32"/>
        </w:rPr>
      </w:pPr>
      <w:r>
        <w:rPr>
          <w:rFonts w:hint="eastAsia" w:ascii="黑体" w:hAnsi="黑体" w:eastAsia="黑体" w:cs="黑体"/>
          <w:color w:val="454545"/>
          <w:sz w:val="32"/>
          <w:szCs w:val="32"/>
        </w:rPr>
        <w:t>一、部门基本情况</w:t>
      </w:r>
    </w:p>
    <w:p>
      <w:pPr>
        <w:pStyle w:val="4"/>
        <w:widowControl/>
        <w:spacing w:beforeAutospacing="0" w:afterAutospacing="0" w:line="580" w:lineRule="exact"/>
        <w:ind w:firstLine="640" w:firstLineChars="200"/>
        <w:rPr>
          <w:rFonts w:ascii="仿宋" w:hAnsi="仿宋" w:eastAsia="仿宋" w:cs="微软雅黑"/>
          <w:color w:val="454545"/>
          <w:sz w:val="32"/>
          <w:szCs w:val="32"/>
        </w:rPr>
      </w:pPr>
      <w:r>
        <w:rPr>
          <w:rFonts w:hint="eastAsia" w:ascii="仿宋" w:hAnsi="仿宋" w:eastAsia="仿宋" w:cs="微软雅黑"/>
          <w:color w:val="454545"/>
          <w:sz w:val="32"/>
          <w:szCs w:val="32"/>
        </w:rPr>
        <w:t>（一）部门职责</w:t>
      </w:r>
    </w:p>
    <w:p>
      <w:pPr>
        <w:pStyle w:val="4"/>
        <w:widowControl/>
        <w:spacing w:beforeAutospacing="0" w:afterAutospacing="0" w:line="580" w:lineRule="exact"/>
        <w:ind w:firstLine="640" w:firstLineChars="200"/>
        <w:rPr>
          <w:rFonts w:ascii="仿宋" w:hAnsi="仿宋" w:eastAsia="仿宋" w:cs="微软雅黑"/>
          <w:color w:val="454545"/>
          <w:sz w:val="32"/>
          <w:szCs w:val="32"/>
        </w:rPr>
      </w:pPr>
      <w:r>
        <w:rPr>
          <w:rFonts w:hint="eastAsia" w:ascii="仿宋" w:hAnsi="仿宋" w:eastAsia="仿宋" w:cs="微软雅黑"/>
          <w:color w:val="454545"/>
          <w:sz w:val="32"/>
          <w:szCs w:val="32"/>
        </w:rPr>
        <w:t>1.</w:t>
      </w:r>
      <w:r>
        <w:rPr>
          <w:rFonts w:ascii="仿宋" w:hAnsi="仿宋" w:eastAsia="仿宋" w:cs="微软雅黑"/>
          <w:color w:val="454545"/>
          <w:sz w:val="32"/>
          <w:szCs w:val="32"/>
        </w:rPr>
        <w:t>拟订全市行政审批、政务公开（政府信息公开、办事公开）、政务服务、电子政务、数字城市相关政策并组织实施。</w:t>
      </w:r>
    </w:p>
    <w:p>
      <w:pPr>
        <w:pStyle w:val="4"/>
        <w:widowControl/>
        <w:spacing w:beforeAutospacing="0" w:afterAutospacing="0" w:line="580" w:lineRule="exact"/>
        <w:ind w:firstLine="640" w:firstLineChars="200"/>
        <w:rPr>
          <w:rFonts w:ascii="仿宋" w:hAnsi="仿宋" w:eastAsia="仿宋" w:cs="微软雅黑"/>
          <w:color w:val="454545"/>
          <w:sz w:val="32"/>
          <w:szCs w:val="32"/>
        </w:rPr>
      </w:pPr>
      <w:r>
        <w:rPr>
          <w:rFonts w:hint="eastAsia" w:ascii="仿宋" w:hAnsi="仿宋" w:eastAsia="仿宋" w:cs="微软雅黑"/>
          <w:color w:val="454545"/>
          <w:sz w:val="32"/>
          <w:szCs w:val="32"/>
        </w:rPr>
        <w:t>2.</w:t>
      </w:r>
      <w:r>
        <w:rPr>
          <w:rFonts w:ascii="仿宋" w:hAnsi="仿宋" w:eastAsia="仿宋" w:cs="微软雅黑"/>
          <w:color w:val="454545"/>
          <w:sz w:val="32"/>
          <w:szCs w:val="32"/>
        </w:rPr>
        <w:t>指导、协调、推进全市行政审批制度改革工作。</w:t>
      </w:r>
    </w:p>
    <w:p>
      <w:pPr>
        <w:pStyle w:val="4"/>
        <w:widowControl/>
        <w:spacing w:beforeAutospacing="0" w:afterAutospacing="0" w:line="580" w:lineRule="exact"/>
        <w:ind w:firstLine="640" w:firstLineChars="200"/>
        <w:rPr>
          <w:rFonts w:ascii="仿宋" w:hAnsi="仿宋" w:eastAsia="仿宋" w:cs="微软雅黑"/>
          <w:color w:val="454545"/>
          <w:sz w:val="32"/>
          <w:szCs w:val="32"/>
        </w:rPr>
      </w:pPr>
      <w:r>
        <w:rPr>
          <w:rFonts w:hint="eastAsia" w:ascii="仿宋" w:hAnsi="仿宋" w:eastAsia="仿宋" w:cs="微软雅黑"/>
          <w:color w:val="454545"/>
          <w:sz w:val="32"/>
          <w:szCs w:val="32"/>
        </w:rPr>
        <w:t>3.</w:t>
      </w:r>
      <w:r>
        <w:rPr>
          <w:rFonts w:ascii="仿宋" w:hAnsi="仿宋" w:eastAsia="仿宋" w:cs="微软雅黑"/>
          <w:color w:val="454545"/>
          <w:sz w:val="32"/>
          <w:szCs w:val="32"/>
        </w:rPr>
        <w:t>统筹协调、规划指导、监督评估全市电子政务工作。统筹推进、监督协调全市“互联网+政务服务”工作。统筹规划、监督考核全市政府网站。</w:t>
      </w:r>
    </w:p>
    <w:p>
      <w:pPr>
        <w:pStyle w:val="4"/>
        <w:widowControl/>
        <w:spacing w:beforeAutospacing="0" w:afterAutospacing="0" w:line="580" w:lineRule="exact"/>
        <w:ind w:firstLine="640" w:firstLineChars="200"/>
        <w:rPr>
          <w:rFonts w:ascii="仿宋" w:hAnsi="仿宋" w:eastAsia="仿宋" w:cs="微软雅黑"/>
          <w:color w:val="454545"/>
          <w:sz w:val="32"/>
          <w:szCs w:val="32"/>
        </w:rPr>
      </w:pPr>
      <w:r>
        <w:rPr>
          <w:rFonts w:hint="eastAsia" w:ascii="仿宋" w:hAnsi="仿宋" w:eastAsia="仿宋" w:cs="微软雅黑"/>
          <w:color w:val="454545"/>
          <w:sz w:val="32"/>
          <w:szCs w:val="32"/>
        </w:rPr>
        <w:t>4.</w:t>
      </w:r>
      <w:r>
        <w:rPr>
          <w:rFonts w:ascii="仿宋" w:hAnsi="仿宋" w:eastAsia="仿宋" w:cs="微软雅黑"/>
          <w:color w:val="454545"/>
          <w:sz w:val="32"/>
          <w:szCs w:val="32"/>
        </w:rPr>
        <w:t>牵头负责全市“放管服”改革工作。维护改善营商政务、法制等环境。协调、推进全市行政效能工作。</w:t>
      </w:r>
    </w:p>
    <w:p>
      <w:pPr>
        <w:pStyle w:val="4"/>
        <w:widowControl/>
        <w:spacing w:beforeAutospacing="0" w:afterAutospacing="0" w:line="580" w:lineRule="exact"/>
        <w:ind w:firstLine="640" w:firstLineChars="200"/>
        <w:rPr>
          <w:rFonts w:ascii="仿宋" w:hAnsi="仿宋" w:eastAsia="仿宋" w:cs="微软雅黑"/>
          <w:color w:val="454545"/>
          <w:sz w:val="32"/>
          <w:szCs w:val="32"/>
        </w:rPr>
      </w:pPr>
      <w:r>
        <w:rPr>
          <w:rFonts w:hint="eastAsia" w:ascii="仿宋" w:hAnsi="仿宋" w:eastAsia="仿宋" w:cs="微软雅黑"/>
          <w:color w:val="454545"/>
          <w:sz w:val="32"/>
          <w:szCs w:val="32"/>
        </w:rPr>
        <w:t>5.</w:t>
      </w:r>
      <w:r>
        <w:rPr>
          <w:rFonts w:ascii="仿宋" w:hAnsi="仿宋" w:eastAsia="仿宋" w:cs="微软雅黑"/>
          <w:color w:val="454545"/>
          <w:sz w:val="32"/>
          <w:szCs w:val="32"/>
        </w:rPr>
        <w:t>推进、指导、协调、监督全市政务公开（政府信息公开、办事公开）和政务服务体系建设。统筹推进全市政务服务大厅、便民服务中心（站点）标准化建设。统筹建设、指导推进、监督考核全市“12345”政府服务热线，牵头负责整合优化政府相关部门、公共企业事业单位、社会组织的社会求助服务电话。</w:t>
      </w:r>
    </w:p>
    <w:p>
      <w:pPr>
        <w:pStyle w:val="4"/>
        <w:widowControl/>
        <w:spacing w:beforeAutospacing="0" w:afterAutospacing="0" w:line="580" w:lineRule="exact"/>
        <w:ind w:firstLine="640" w:firstLineChars="200"/>
        <w:rPr>
          <w:rFonts w:ascii="仿宋" w:hAnsi="仿宋" w:eastAsia="仿宋" w:cs="微软雅黑"/>
          <w:color w:val="454545"/>
          <w:sz w:val="32"/>
          <w:szCs w:val="32"/>
        </w:rPr>
      </w:pPr>
      <w:r>
        <w:rPr>
          <w:rFonts w:hint="eastAsia" w:ascii="仿宋" w:hAnsi="仿宋" w:eastAsia="仿宋" w:cs="微软雅黑"/>
          <w:color w:val="454545"/>
          <w:sz w:val="32"/>
          <w:szCs w:val="32"/>
        </w:rPr>
        <w:t>6.</w:t>
      </w:r>
      <w:r>
        <w:rPr>
          <w:rFonts w:ascii="仿宋" w:hAnsi="仿宋" w:eastAsia="仿宋" w:cs="微软雅黑"/>
          <w:color w:val="454545"/>
          <w:sz w:val="32"/>
          <w:szCs w:val="32"/>
        </w:rPr>
        <w:t>负责拟订电子政务、数字城市发展战略，编制电子政务、数字城市中长期规划和年度计划并组织实施。提出电子政务、数字城市建设投资总规模及年度投资计划的建议。负责组织全市使用财政性资金建设的电子政务工程和政务信息安全工程项目审查论证工作。会同有关部门组织实施和管理政府投资的电子政务、数字城市项目。</w:t>
      </w:r>
    </w:p>
    <w:p>
      <w:pPr>
        <w:pStyle w:val="4"/>
        <w:widowControl/>
        <w:spacing w:beforeAutospacing="0" w:afterAutospacing="0" w:line="580" w:lineRule="exact"/>
        <w:ind w:firstLine="640" w:firstLineChars="200"/>
        <w:rPr>
          <w:rFonts w:ascii="仿宋" w:hAnsi="仿宋" w:eastAsia="仿宋" w:cs="微软雅黑"/>
          <w:color w:val="454545"/>
          <w:sz w:val="32"/>
          <w:szCs w:val="32"/>
        </w:rPr>
      </w:pPr>
      <w:r>
        <w:rPr>
          <w:rFonts w:hint="eastAsia" w:ascii="仿宋" w:hAnsi="仿宋" w:eastAsia="仿宋" w:cs="微软雅黑"/>
          <w:color w:val="454545"/>
          <w:sz w:val="32"/>
          <w:szCs w:val="32"/>
        </w:rPr>
        <w:t>7.</w:t>
      </w:r>
      <w:r>
        <w:rPr>
          <w:rFonts w:ascii="仿宋" w:hAnsi="仿宋" w:eastAsia="仿宋" w:cs="微软雅黑"/>
          <w:color w:val="454545"/>
          <w:sz w:val="32"/>
          <w:szCs w:val="32"/>
        </w:rPr>
        <w:t>负责组织、协调、指导数据资源的开发利用和共享工作。组织协调跨部门、跨行业、跨领域数字化应用工作。</w:t>
      </w:r>
    </w:p>
    <w:p>
      <w:pPr>
        <w:pStyle w:val="4"/>
        <w:widowControl/>
        <w:spacing w:beforeAutospacing="0" w:afterAutospacing="0" w:line="580" w:lineRule="exact"/>
        <w:ind w:firstLine="640" w:firstLineChars="200"/>
        <w:rPr>
          <w:rFonts w:ascii="仿宋" w:hAnsi="仿宋" w:eastAsia="仿宋" w:cs="微软雅黑"/>
          <w:color w:val="454545"/>
          <w:sz w:val="32"/>
          <w:szCs w:val="32"/>
        </w:rPr>
      </w:pPr>
      <w:r>
        <w:rPr>
          <w:rFonts w:hint="eastAsia" w:ascii="仿宋" w:hAnsi="仿宋" w:eastAsia="仿宋" w:cs="微软雅黑"/>
          <w:color w:val="454545"/>
          <w:sz w:val="32"/>
          <w:szCs w:val="32"/>
        </w:rPr>
        <w:t>8.</w:t>
      </w:r>
      <w:r>
        <w:rPr>
          <w:rFonts w:ascii="仿宋" w:hAnsi="仿宋" w:eastAsia="仿宋" w:cs="微软雅黑"/>
          <w:color w:val="454545"/>
          <w:sz w:val="32"/>
          <w:szCs w:val="32"/>
        </w:rPr>
        <w:t>负责组织、推进全市电子政务、数字城市基础网络的规划、建设和应用，协调推进政务网络平台互联互通。统筹全市电子政务基础设施、信息系统、数据资源等安全保障工作，负责全市政务信息化平台安全技术和运营体系建设，监督管理市级信息系统和数据库安全工作，协调处理电子政务信息安全的重大事件。负责组织、指导、协调、推进数字认证工作。</w:t>
      </w:r>
    </w:p>
    <w:p>
      <w:pPr>
        <w:widowControl/>
        <w:shd w:val="clear" w:color="auto" w:fill="FFFFFF"/>
        <w:spacing w:line="580" w:lineRule="exact"/>
        <w:ind w:firstLine="420"/>
        <w:jc w:val="left"/>
        <w:rPr>
          <w:rFonts w:ascii="仿宋" w:hAnsi="仿宋" w:eastAsia="仿宋" w:cs="微软雅黑"/>
          <w:color w:val="454545"/>
          <w:kern w:val="0"/>
          <w:sz w:val="32"/>
          <w:szCs w:val="32"/>
        </w:rPr>
      </w:pPr>
      <w:r>
        <w:rPr>
          <w:rFonts w:hint="eastAsia" w:ascii="仿宋" w:hAnsi="仿宋" w:eastAsia="仿宋" w:cs="微软雅黑"/>
          <w:color w:val="454545"/>
          <w:kern w:val="0"/>
          <w:sz w:val="32"/>
          <w:szCs w:val="32"/>
        </w:rPr>
        <w:t>9.</w:t>
      </w:r>
      <w:r>
        <w:rPr>
          <w:rFonts w:ascii="仿宋" w:hAnsi="仿宋" w:eastAsia="仿宋" w:cs="微软雅黑"/>
          <w:color w:val="454545"/>
          <w:kern w:val="0"/>
          <w:sz w:val="32"/>
          <w:szCs w:val="32"/>
        </w:rPr>
        <w:t>完成市委、市政府交办的其他任务。</w:t>
      </w:r>
    </w:p>
    <w:p>
      <w:pPr>
        <w:pStyle w:val="4"/>
        <w:widowControl/>
        <w:spacing w:beforeAutospacing="0" w:afterAutospacing="0" w:line="580" w:lineRule="exact"/>
        <w:ind w:firstLine="640" w:firstLineChars="200"/>
        <w:rPr>
          <w:rFonts w:ascii="仿宋" w:hAnsi="仿宋" w:eastAsia="仿宋" w:cs="微软雅黑"/>
          <w:color w:val="454545"/>
          <w:sz w:val="32"/>
          <w:szCs w:val="32"/>
        </w:rPr>
      </w:pPr>
      <w:r>
        <w:rPr>
          <w:rFonts w:hint="eastAsia" w:ascii="仿宋" w:hAnsi="仿宋" w:eastAsia="仿宋" w:cs="微软雅黑"/>
          <w:color w:val="454545"/>
          <w:sz w:val="32"/>
          <w:szCs w:val="32"/>
        </w:rPr>
        <w:t>（二）机构设置情况</w:t>
      </w:r>
    </w:p>
    <w:p>
      <w:pPr>
        <w:pStyle w:val="4"/>
        <w:widowControl/>
        <w:spacing w:beforeAutospacing="0" w:afterAutospacing="0" w:line="580" w:lineRule="exact"/>
        <w:ind w:firstLine="640" w:firstLineChars="200"/>
        <w:rPr>
          <w:rFonts w:ascii="仿宋" w:hAnsi="仿宋" w:eastAsia="仿宋" w:cs="微软雅黑"/>
          <w:color w:val="454545"/>
          <w:sz w:val="32"/>
          <w:szCs w:val="32"/>
        </w:rPr>
      </w:pPr>
      <w:r>
        <w:rPr>
          <w:rFonts w:hint="eastAsia" w:ascii="仿宋" w:hAnsi="仿宋" w:eastAsia="仿宋" w:cs="微软雅黑"/>
          <w:color w:val="454545"/>
          <w:sz w:val="32"/>
          <w:szCs w:val="32"/>
        </w:rPr>
        <w:t>本部门由 1个行政单位、1个二级机构及5个内设股室组成。行政单位具体为局本级；二级机构具体为政务服务中心；内设科室具体为办公室、审批改革股、政务公开、政务服务股、项目规划管理股、应用推进股共5个股室。全部纳入2021年部门预算。 </w:t>
      </w:r>
    </w:p>
    <w:p>
      <w:pPr>
        <w:pStyle w:val="4"/>
        <w:widowControl/>
        <w:spacing w:beforeAutospacing="0" w:afterAutospacing="0" w:line="580" w:lineRule="exact"/>
        <w:ind w:firstLine="640" w:firstLineChars="200"/>
        <w:rPr>
          <w:rFonts w:ascii="仿宋" w:hAnsi="仿宋" w:eastAsia="仿宋" w:cs="微软雅黑"/>
          <w:color w:val="454545"/>
          <w:sz w:val="32"/>
          <w:szCs w:val="32"/>
        </w:rPr>
      </w:pPr>
      <w:r>
        <w:rPr>
          <w:rFonts w:hint="eastAsia" w:ascii="仿宋" w:hAnsi="仿宋" w:eastAsia="仿宋" w:cs="微软雅黑"/>
          <w:color w:val="454545"/>
          <w:sz w:val="32"/>
          <w:szCs w:val="32"/>
        </w:rPr>
        <w:t>（三）人员编制情况</w:t>
      </w:r>
    </w:p>
    <w:p>
      <w:pPr>
        <w:spacing w:line="580" w:lineRule="exact"/>
        <w:ind w:firstLine="640" w:firstLineChars="200"/>
        <w:rPr>
          <w:rFonts w:ascii="仿宋" w:hAnsi="仿宋" w:eastAsia="仿宋" w:cs="微软雅黑"/>
          <w:color w:val="454545"/>
          <w:kern w:val="0"/>
          <w:sz w:val="32"/>
          <w:szCs w:val="32"/>
        </w:rPr>
      </w:pPr>
      <w:r>
        <w:rPr>
          <w:rFonts w:hint="eastAsia" w:ascii="仿宋" w:hAnsi="仿宋" w:eastAsia="仿宋" w:cs="微软雅黑"/>
          <w:color w:val="454545"/>
          <w:kern w:val="0"/>
          <w:sz w:val="32"/>
          <w:szCs w:val="32"/>
        </w:rPr>
        <w:t>区行政审批服务局行政编制</w:t>
      </w:r>
      <w:r>
        <w:rPr>
          <w:rFonts w:ascii="仿宋" w:hAnsi="仿宋" w:eastAsia="仿宋" w:cs="微软雅黑"/>
          <w:color w:val="454545"/>
          <w:kern w:val="0"/>
          <w:sz w:val="32"/>
          <w:szCs w:val="32"/>
        </w:rPr>
        <w:t>2</w:t>
      </w:r>
      <w:r>
        <w:rPr>
          <w:rFonts w:hint="eastAsia" w:ascii="仿宋" w:hAnsi="仿宋" w:eastAsia="仿宋" w:cs="微软雅黑"/>
          <w:color w:val="454545"/>
          <w:kern w:val="0"/>
          <w:sz w:val="32"/>
          <w:szCs w:val="32"/>
        </w:rPr>
        <w:t>名。设局长</w:t>
      </w:r>
      <w:r>
        <w:rPr>
          <w:rFonts w:ascii="仿宋" w:hAnsi="仿宋" w:eastAsia="仿宋" w:cs="微软雅黑"/>
          <w:color w:val="454545"/>
          <w:kern w:val="0"/>
          <w:sz w:val="32"/>
          <w:szCs w:val="32"/>
        </w:rPr>
        <w:t>1</w:t>
      </w:r>
      <w:r>
        <w:rPr>
          <w:rFonts w:hint="eastAsia" w:ascii="仿宋" w:hAnsi="仿宋" w:eastAsia="仿宋" w:cs="微软雅黑"/>
          <w:color w:val="454545"/>
          <w:kern w:val="0"/>
          <w:sz w:val="32"/>
          <w:szCs w:val="32"/>
        </w:rPr>
        <w:t>名，副局长</w:t>
      </w:r>
      <w:r>
        <w:rPr>
          <w:rFonts w:ascii="仿宋" w:hAnsi="仿宋" w:eastAsia="仿宋" w:cs="微软雅黑"/>
          <w:color w:val="454545"/>
          <w:kern w:val="0"/>
          <w:sz w:val="32"/>
          <w:szCs w:val="32"/>
        </w:rPr>
        <w:t>1</w:t>
      </w:r>
      <w:r>
        <w:rPr>
          <w:rFonts w:hint="eastAsia" w:ascii="仿宋" w:hAnsi="仿宋" w:eastAsia="仿宋" w:cs="微软雅黑"/>
          <w:color w:val="454545"/>
          <w:kern w:val="0"/>
          <w:sz w:val="32"/>
          <w:szCs w:val="32"/>
        </w:rPr>
        <w:t>名。下属事业单位政务服务中心</w:t>
      </w:r>
      <w:r>
        <w:rPr>
          <w:rFonts w:ascii="仿宋" w:hAnsi="仿宋" w:eastAsia="仿宋" w:cs="微软雅黑"/>
          <w:color w:val="454545"/>
          <w:kern w:val="0"/>
          <w:sz w:val="32"/>
          <w:szCs w:val="32"/>
        </w:rPr>
        <w:t>共有在职人员11人</w:t>
      </w:r>
      <w:r>
        <w:rPr>
          <w:rFonts w:hint="eastAsia" w:ascii="仿宋" w:hAnsi="仿宋" w:eastAsia="仿宋" w:cs="微软雅黑"/>
          <w:color w:val="454545"/>
          <w:kern w:val="0"/>
          <w:sz w:val="32"/>
          <w:szCs w:val="32"/>
        </w:rPr>
        <w:t>。</w:t>
      </w:r>
    </w:p>
    <w:p>
      <w:pPr>
        <w:numPr>
          <w:ilvl w:val="0"/>
          <w:numId w:val="1"/>
        </w:numPr>
        <w:spacing w:line="580" w:lineRule="exact"/>
        <w:ind w:firstLine="643" w:firstLineChars="200"/>
        <w:rPr>
          <w:rFonts w:ascii="黑体" w:hAnsi="黑体" w:eastAsia="黑体" w:cs="黑体"/>
          <w:b/>
          <w:bCs/>
          <w:color w:val="454545"/>
          <w:kern w:val="0"/>
          <w:sz w:val="32"/>
          <w:szCs w:val="32"/>
        </w:rPr>
      </w:pPr>
      <w:r>
        <w:rPr>
          <w:rFonts w:hint="eastAsia" w:ascii="黑体" w:hAnsi="黑体" w:eastAsia="黑体" w:cs="黑体"/>
          <w:b/>
          <w:bCs/>
          <w:color w:val="454545"/>
          <w:kern w:val="0"/>
          <w:sz w:val="32"/>
          <w:szCs w:val="32"/>
        </w:rPr>
        <w:t>年度整体支出绩效目标，专项资金绩效目标情况</w:t>
      </w:r>
    </w:p>
    <w:p>
      <w:pPr>
        <w:pStyle w:val="10"/>
        <w:numPr>
          <w:ilvl w:val="0"/>
          <w:numId w:val="2"/>
        </w:numPr>
        <w:spacing w:line="580" w:lineRule="exact"/>
        <w:ind w:firstLineChars="0"/>
        <w:rPr>
          <w:rFonts w:ascii="仿宋" w:hAnsi="仿宋" w:eastAsia="仿宋" w:cs="微软雅黑"/>
          <w:color w:val="454545"/>
          <w:kern w:val="0"/>
          <w:sz w:val="32"/>
          <w:szCs w:val="32"/>
        </w:rPr>
      </w:pPr>
      <w:r>
        <w:rPr>
          <w:rFonts w:ascii="仿宋" w:hAnsi="仿宋" w:eastAsia="仿宋" w:cs="微软雅黑"/>
          <w:color w:val="454545"/>
          <w:kern w:val="0"/>
          <w:sz w:val="32"/>
          <w:szCs w:val="32"/>
        </w:rPr>
        <w:t>部门预算收支</w:t>
      </w:r>
      <w:r>
        <w:rPr>
          <w:rFonts w:hint="eastAsia" w:ascii="仿宋" w:hAnsi="仿宋" w:eastAsia="仿宋" w:cs="微软雅黑"/>
          <w:color w:val="454545"/>
          <w:kern w:val="0"/>
          <w:sz w:val="32"/>
          <w:szCs w:val="32"/>
        </w:rPr>
        <w:t>情况及部门决算情况</w:t>
      </w:r>
    </w:p>
    <w:p>
      <w:pPr>
        <w:spacing w:line="580" w:lineRule="exact"/>
        <w:ind w:firstLine="640" w:firstLineChars="200"/>
        <w:rPr>
          <w:rFonts w:ascii="仿宋" w:hAnsi="仿宋" w:eastAsia="仿宋" w:cs="微软雅黑"/>
          <w:color w:val="454545"/>
          <w:kern w:val="0"/>
          <w:sz w:val="32"/>
          <w:szCs w:val="32"/>
        </w:rPr>
      </w:pPr>
      <w:r>
        <w:rPr>
          <w:rFonts w:hint="eastAsia" w:ascii="仿宋" w:hAnsi="仿宋" w:eastAsia="仿宋" w:cs="微软雅黑"/>
          <w:color w:val="454545"/>
          <w:kern w:val="0"/>
          <w:sz w:val="32"/>
          <w:szCs w:val="32"/>
        </w:rPr>
        <w:t>202</w:t>
      </w:r>
      <w:r>
        <w:rPr>
          <w:rFonts w:ascii="仿宋" w:hAnsi="仿宋" w:eastAsia="仿宋" w:cs="微软雅黑"/>
          <w:color w:val="454545"/>
          <w:kern w:val="0"/>
          <w:sz w:val="32"/>
          <w:szCs w:val="32"/>
        </w:rPr>
        <w:t>2</w:t>
      </w:r>
      <w:r>
        <w:rPr>
          <w:rFonts w:hint="eastAsia" w:ascii="仿宋" w:hAnsi="仿宋" w:eastAsia="仿宋" w:cs="微软雅黑"/>
          <w:color w:val="454545"/>
          <w:kern w:val="0"/>
          <w:sz w:val="32"/>
          <w:szCs w:val="32"/>
        </w:rPr>
        <w:t>年度收、支总计11</w:t>
      </w:r>
      <w:r>
        <w:rPr>
          <w:rFonts w:ascii="仿宋" w:hAnsi="仿宋" w:eastAsia="仿宋" w:cs="微软雅黑"/>
          <w:color w:val="454545"/>
          <w:kern w:val="0"/>
          <w:sz w:val="32"/>
          <w:szCs w:val="32"/>
        </w:rPr>
        <w:t>13.54</w:t>
      </w:r>
      <w:r>
        <w:rPr>
          <w:rFonts w:hint="eastAsia" w:ascii="仿宋" w:hAnsi="仿宋" w:eastAsia="仿宋" w:cs="微软雅黑"/>
          <w:color w:val="454545"/>
          <w:kern w:val="0"/>
          <w:sz w:val="32"/>
          <w:szCs w:val="32"/>
        </w:rPr>
        <w:t>万元。</w:t>
      </w:r>
    </w:p>
    <w:p>
      <w:pPr>
        <w:spacing w:line="580" w:lineRule="exact"/>
        <w:ind w:firstLine="640" w:firstLineChars="200"/>
        <w:rPr>
          <w:rFonts w:ascii="仿宋" w:hAnsi="仿宋" w:eastAsia="仿宋" w:cs="微软雅黑"/>
          <w:color w:val="454545"/>
          <w:sz w:val="32"/>
          <w:szCs w:val="32"/>
        </w:rPr>
      </w:pPr>
      <w:r>
        <w:rPr>
          <w:rFonts w:hint="eastAsia" w:ascii="仿宋" w:hAnsi="仿宋" w:eastAsia="仿宋" w:cs="微软雅黑"/>
          <w:color w:val="454545"/>
          <w:kern w:val="0"/>
          <w:sz w:val="32"/>
          <w:szCs w:val="32"/>
        </w:rPr>
        <w:t>202</w:t>
      </w:r>
      <w:r>
        <w:rPr>
          <w:rFonts w:ascii="仿宋" w:hAnsi="仿宋" w:eastAsia="仿宋" w:cs="微软雅黑"/>
          <w:color w:val="454545"/>
          <w:kern w:val="0"/>
          <w:sz w:val="32"/>
          <w:szCs w:val="32"/>
        </w:rPr>
        <w:t>2</w:t>
      </w:r>
      <w:r>
        <w:rPr>
          <w:rFonts w:hint="eastAsia" w:ascii="仿宋" w:hAnsi="仿宋" w:eastAsia="仿宋" w:cs="微软雅黑"/>
          <w:color w:val="454545"/>
          <w:kern w:val="0"/>
          <w:sz w:val="32"/>
          <w:szCs w:val="32"/>
        </w:rPr>
        <w:t>年度收入合计</w:t>
      </w:r>
      <w:r>
        <w:rPr>
          <w:rFonts w:ascii="仿宋" w:hAnsi="仿宋" w:eastAsia="仿宋" w:cs="微软雅黑"/>
          <w:color w:val="454545"/>
          <w:kern w:val="0"/>
          <w:sz w:val="32"/>
          <w:szCs w:val="32"/>
        </w:rPr>
        <w:t>1121.57</w:t>
      </w:r>
      <w:r>
        <w:rPr>
          <w:rFonts w:hint="eastAsia" w:ascii="仿宋" w:hAnsi="仿宋" w:eastAsia="仿宋" w:cs="微软雅黑"/>
          <w:color w:val="454545"/>
          <w:kern w:val="0"/>
          <w:sz w:val="32"/>
          <w:szCs w:val="32"/>
        </w:rPr>
        <w:t>万元，其中：财政拨款收入</w:t>
      </w:r>
      <w:r>
        <w:rPr>
          <w:rFonts w:ascii="仿宋" w:hAnsi="仿宋" w:eastAsia="仿宋" w:cs="微软雅黑"/>
          <w:color w:val="454545"/>
          <w:kern w:val="0"/>
          <w:sz w:val="32"/>
          <w:szCs w:val="32"/>
        </w:rPr>
        <w:t>1113.54</w:t>
      </w:r>
      <w:r>
        <w:rPr>
          <w:rFonts w:hint="eastAsia" w:ascii="仿宋" w:hAnsi="仿宋" w:eastAsia="仿宋" w:cs="微软雅黑"/>
          <w:color w:val="454545"/>
          <w:kern w:val="0"/>
          <w:sz w:val="32"/>
          <w:szCs w:val="32"/>
        </w:rPr>
        <w:t>万元，占</w:t>
      </w:r>
      <w:r>
        <w:rPr>
          <w:rFonts w:ascii="仿宋" w:hAnsi="仿宋" w:eastAsia="仿宋" w:cs="微软雅黑"/>
          <w:color w:val="454545"/>
          <w:kern w:val="0"/>
          <w:sz w:val="32"/>
          <w:szCs w:val="32"/>
        </w:rPr>
        <w:t>99.28</w:t>
      </w:r>
      <w:r>
        <w:rPr>
          <w:rFonts w:hint="eastAsia" w:ascii="仿宋" w:hAnsi="仿宋" w:eastAsia="仿宋" w:cs="微软雅黑"/>
          <w:color w:val="454545"/>
          <w:kern w:val="0"/>
          <w:sz w:val="32"/>
          <w:szCs w:val="32"/>
        </w:rPr>
        <w:t>%；上级补助收入0万元，占0%；事业收入0万元，占0%；经营收入0万元，占0%；附属单位上缴收入0万元，占0%；其他收入</w:t>
      </w:r>
      <w:r>
        <w:rPr>
          <w:rFonts w:ascii="仿宋" w:hAnsi="仿宋" w:eastAsia="仿宋" w:cs="微软雅黑"/>
          <w:color w:val="454545"/>
          <w:kern w:val="0"/>
          <w:sz w:val="32"/>
          <w:szCs w:val="32"/>
        </w:rPr>
        <w:t>8.03</w:t>
      </w:r>
      <w:r>
        <w:rPr>
          <w:rFonts w:hint="eastAsia" w:ascii="仿宋" w:hAnsi="仿宋" w:eastAsia="仿宋" w:cs="微软雅黑"/>
          <w:color w:val="454545"/>
          <w:kern w:val="0"/>
          <w:sz w:val="32"/>
          <w:szCs w:val="32"/>
        </w:rPr>
        <w:t>万元，占</w:t>
      </w:r>
      <w:r>
        <w:rPr>
          <w:rFonts w:ascii="仿宋" w:hAnsi="仿宋" w:eastAsia="仿宋" w:cs="微软雅黑"/>
          <w:color w:val="454545"/>
          <w:kern w:val="0"/>
          <w:sz w:val="32"/>
          <w:szCs w:val="32"/>
        </w:rPr>
        <w:t>0.72</w:t>
      </w:r>
      <w:r>
        <w:rPr>
          <w:rFonts w:hint="eastAsia" w:ascii="仿宋" w:hAnsi="仿宋" w:eastAsia="仿宋" w:cs="微软雅黑"/>
          <w:color w:val="454545"/>
          <w:kern w:val="0"/>
          <w:sz w:val="32"/>
          <w:szCs w:val="32"/>
        </w:rPr>
        <w:t>%。</w:t>
      </w:r>
    </w:p>
    <w:p>
      <w:pPr>
        <w:pStyle w:val="11"/>
        <w:spacing w:before="0" w:beforeAutospacing="0" w:after="0" w:afterAutospacing="0" w:line="580" w:lineRule="exact"/>
        <w:ind w:firstLine="640" w:firstLineChars="200"/>
        <w:rPr>
          <w:rFonts w:ascii="仿宋" w:hAnsi="仿宋" w:eastAsia="仿宋" w:cs="微软雅黑"/>
          <w:color w:val="454545"/>
          <w:sz w:val="32"/>
          <w:szCs w:val="32"/>
        </w:rPr>
      </w:pPr>
      <w:r>
        <w:rPr>
          <w:rFonts w:hint="eastAsia" w:ascii="仿宋" w:hAnsi="仿宋" w:eastAsia="仿宋" w:cs="微软雅黑"/>
          <w:color w:val="454545"/>
          <w:sz w:val="32"/>
          <w:szCs w:val="32"/>
        </w:rPr>
        <w:t>202</w:t>
      </w:r>
      <w:r>
        <w:rPr>
          <w:rFonts w:ascii="仿宋" w:hAnsi="仿宋" w:eastAsia="仿宋" w:cs="微软雅黑"/>
          <w:color w:val="454545"/>
          <w:sz w:val="32"/>
          <w:szCs w:val="32"/>
        </w:rPr>
        <w:t>2</w:t>
      </w:r>
      <w:r>
        <w:rPr>
          <w:rFonts w:hint="eastAsia" w:ascii="仿宋" w:hAnsi="仿宋" w:eastAsia="仿宋" w:cs="微软雅黑"/>
          <w:color w:val="454545"/>
          <w:sz w:val="32"/>
          <w:szCs w:val="32"/>
        </w:rPr>
        <w:t>年度支出合计</w:t>
      </w:r>
      <w:r>
        <w:rPr>
          <w:rFonts w:ascii="仿宋" w:hAnsi="仿宋" w:eastAsia="仿宋" w:cs="微软雅黑"/>
          <w:color w:val="454545"/>
          <w:sz w:val="32"/>
          <w:szCs w:val="32"/>
        </w:rPr>
        <w:t>1121.57</w:t>
      </w:r>
      <w:r>
        <w:rPr>
          <w:rFonts w:hint="eastAsia" w:ascii="仿宋" w:hAnsi="仿宋" w:eastAsia="仿宋" w:cs="微软雅黑"/>
          <w:color w:val="454545"/>
          <w:sz w:val="32"/>
          <w:szCs w:val="32"/>
        </w:rPr>
        <w:t>万元，其中：基本支出</w:t>
      </w:r>
      <w:r>
        <w:rPr>
          <w:rFonts w:ascii="仿宋" w:hAnsi="仿宋" w:eastAsia="仿宋" w:cs="微软雅黑"/>
          <w:color w:val="454545"/>
          <w:sz w:val="32"/>
          <w:szCs w:val="32"/>
        </w:rPr>
        <w:t>186.87</w:t>
      </w:r>
      <w:r>
        <w:rPr>
          <w:rFonts w:hint="eastAsia" w:ascii="仿宋" w:hAnsi="仿宋" w:eastAsia="仿宋" w:cs="微软雅黑"/>
          <w:color w:val="454545"/>
          <w:sz w:val="32"/>
          <w:szCs w:val="32"/>
        </w:rPr>
        <w:t>万元，占</w:t>
      </w:r>
      <w:r>
        <w:rPr>
          <w:rFonts w:ascii="仿宋" w:hAnsi="仿宋" w:eastAsia="仿宋" w:cs="微软雅黑"/>
          <w:color w:val="454545"/>
          <w:sz w:val="32"/>
          <w:szCs w:val="32"/>
        </w:rPr>
        <w:t>16.66</w:t>
      </w:r>
      <w:r>
        <w:rPr>
          <w:rFonts w:hint="eastAsia" w:ascii="仿宋" w:hAnsi="仿宋" w:eastAsia="仿宋" w:cs="微软雅黑"/>
          <w:color w:val="454545"/>
          <w:sz w:val="32"/>
          <w:szCs w:val="32"/>
        </w:rPr>
        <w:t>%；项目支出</w:t>
      </w:r>
      <w:r>
        <w:rPr>
          <w:rFonts w:ascii="仿宋" w:hAnsi="仿宋" w:eastAsia="仿宋" w:cs="微软雅黑"/>
          <w:color w:val="454545"/>
          <w:sz w:val="32"/>
          <w:szCs w:val="32"/>
        </w:rPr>
        <w:t>934.7</w:t>
      </w:r>
      <w:r>
        <w:rPr>
          <w:rFonts w:hint="eastAsia" w:ascii="仿宋" w:hAnsi="仿宋" w:eastAsia="仿宋" w:cs="微软雅黑"/>
          <w:color w:val="454545"/>
          <w:sz w:val="32"/>
          <w:szCs w:val="32"/>
        </w:rPr>
        <w:t>万元，占</w:t>
      </w:r>
      <w:r>
        <w:rPr>
          <w:rFonts w:ascii="仿宋" w:hAnsi="仿宋" w:eastAsia="仿宋" w:cs="微软雅黑"/>
          <w:color w:val="454545"/>
          <w:sz w:val="32"/>
          <w:szCs w:val="32"/>
        </w:rPr>
        <w:t>83.34</w:t>
      </w:r>
      <w:r>
        <w:rPr>
          <w:rFonts w:hint="eastAsia" w:ascii="仿宋" w:hAnsi="仿宋" w:eastAsia="仿宋" w:cs="微软雅黑"/>
          <w:color w:val="454545"/>
          <w:sz w:val="32"/>
          <w:szCs w:val="32"/>
        </w:rPr>
        <w:t>%；；上缴上级支出0万元，占0%；经营支出0万元，占0%；对附属单位补助支出0万元，占0%。</w:t>
      </w:r>
    </w:p>
    <w:p>
      <w:pPr>
        <w:pStyle w:val="11"/>
        <w:spacing w:before="0" w:beforeAutospacing="0" w:after="0" w:afterAutospacing="0" w:line="580" w:lineRule="exact"/>
        <w:ind w:firstLine="640" w:firstLineChars="200"/>
        <w:rPr>
          <w:rFonts w:ascii="仿宋" w:hAnsi="仿宋" w:eastAsia="仿宋" w:cs="微软雅黑"/>
          <w:color w:val="454545"/>
          <w:sz w:val="32"/>
          <w:szCs w:val="32"/>
        </w:rPr>
      </w:pPr>
      <w:r>
        <w:rPr>
          <w:rFonts w:hint="eastAsia" w:ascii="仿宋" w:hAnsi="仿宋" w:eastAsia="仿宋" w:cs="微软雅黑"/>
          <w:color w:val="454545"/>
          <w:sz w:val="32"/>
          <w:szCs w:val="32"/>
        </w:rPr>
        <w:t>（二）支出分类情况</w:t>
      </w:r>
    </w:p>
    <w:p>
      <w:pPr>
        <w:pStyle w:val="11"/>
        <w:spacing w:before="0" w:beforeAutospacing="0" w:after="0" w:afterAutospacing="0" w:line="580" w:lineRule="exact"/>
        <w:ind w:firstLine="640" w:firstLineChars="200"/>
        <w:rPr>
          <w:rFonts w:ascii="仿宋" w:hAnsi="仿宋" w:eastAsia="仿宋" w:cs="微软雅黑"/>
          <w:color w:val="454545"/>
          <w:sz w:val="32"/>
          <w:szCs w:val="32"/>
        </w:rPr>
      </w:pPr>
      <w:r>
        <w:rPr>
          <w:rFonts w:hint="eastAsia" w:ascii="仿宋" w:hAnsi="仿宋" w:eastAsia="仿宋" w:cs="微软雅黑"/>
          <w:color w:val="454545"/>
          <w:sz w:val="32"/>
          <w:szCs w:val="32"/>
        </w:rPr>
        <w:t>202</w:t>
      </w:r>
      <w:r>
        <w:rPr>
          <w:rFonts w:ascii="仿宋" w:hAnsi="仿宋" w:eastAsia="仿宋" w:cs="微软雅黑"/>
          <w:color w:val="454545"/>
          <w:sz w:val="32"/>
          <w:szCs w:val="32"/>
        </w:rPr>
        <w:t>2</w:t>
      </w:r>
      <w:r>
        <w:rPr>
          <w:rFonts w:hint="eastAsia" w:ascii="仿宋" w:hAnsi="仿宋" w:eastAsia="仿宋" w:cs="微软雅黑"/>
          <w:color w:val="454545"/>
          <w:sz w:val="32"/>
          <w:szCs w:val="32"/>
        </w:rPr>
        <w:t>年度财政拨款支出</w:t>
      </w:r>
      <w:r>
        <w:rPr>
          <w:rFonts w:ascii="仿宋" w:hAnsi="仿宋" w:eastAsia="仿宋" w:cs="微软雅黑"/>
          <w:color w:val="454545"/>
          <w:sz w:val="32"/>
          <w:szCs w:val="32"/>
        </w:rPr>
        <w:t>1113.54</w:t>
      </w:r>
      <w:r>
        <w:rPr>
          <w:rFonts w:hint="eastAsia" w:ascii="仿宋" w:hAnsi="仿宋" w:eastAsia="仿宋" w:cs="微软雅黑"/>
          <w:color w:val="454545"/>
          <w:sz w:val="32"/>
          <w:szCs w:val="32"/>
        </w:rPr>
        <w:t>万元，占本年支出合计的</w:t>
      </w:r>
      <w:r>
        <w:rPr>
          <w:rFonts w:ascii="仿宋" w:hAnsi="仿宋" w:eastAsia="仿宋" w:cs="微软雅黑"/>
          <w:color w:val="454545"/>
          <w:sz w:val="32"/>
          <w:szCs w:val="32"/>
        </w:rPr>
        <w:t>99.28</w:t>
      </w:r>
      <w:r>
        <w:rPr>
          <w:rFonts w:hint="eastAsia" w:ascii="仿宋" w:hAnsi="仿宋" w:eastAsia="仿宋" w:cs="微软雅黑"/>
          <w:color w:val="454545"/>
          <w:sz w:val="32"/>
          <w:szCs w:val="32"/>
        </w:rPr>
        <w:t>%。主要用于以下方面：一般公共服务（类）支出</w:t>
      </w:r>
      <w:r>
        <w:rPr>
          <w:rFonts w:ascii="仿宋" w:hAnsi="仿宋" w:eastAsia="仿宋" w:cs="微软雅黑"/>
          <w:color w:val="454545"/>
          <w:sz w:val="32"/>
          <w:szCs w:val="32"/>
        </w:rPr>
        <w:t>522.67</w:t>
      </w:r>
      <w:r>
        <w:rPr>
          <w:rFonts w:hint="eastAsia" w:ascii="仿宋" w:hAnsi="仿宋" w:eastAsia="仿宋" w:cs="微软雅黑"/>
          <w:color w:val="454545"/>
          <w:sz w:val="32"/>
          <w:szCs w:val="32"/>
        </w:rPr>
        <w:t>万元，占</w:t>
      </w:r>
      <w:r>
        <w:rPr>
          <w:rFonts w:ascii="仿宋" w:hAnsi="仿宋" w:eastAsia="仿宋" w:cs="微软雅黑"/>
          <w:color w:val="454545"/>
          <w:sz w:val="32"/>
          <w:szCs w:val="32"/>
        </w:rPr>
        <w:t>46.94</w:t>
      </w:r>
      <w:r>
        <w:rPr>
          <w:rFonts w:hint="eastAsia" w:ascii="仿宋" w:hAnsi="仿宋" w:eastAsia="仿宋" w:cs="微软雅黑"/>
          <w:color w:val="454545"/>
          <w:sz w:val="32"/>
          <w:szCs w:val="32"/>
        </w:rPr>
        <w:t>%；科学技术（类）支出</w:t>
      </w:r>
      <w:r>
        <w:rPr>
          <w:rFonts w:ascii="仿宋" w:hAnsi="仿宋" w:eastAsia="仿宋" w:cs="微软雅黑"/>
          <w:color w:val="454545"/>
          <w:sz w:val="32"/>
          <w:szCs w:val="32"/>
        </w:rPr>
        <w:t>546.95</w:t>
      </w:r>
      <w:r>
        <w:rPr>
          <w:rFonts w:hint="eastAsia" w:ascii="仿宋" w:hAnsi="仿宋" w:eastAsia="仿宋" w:cs="微软雅黑"/>
          <w:color w:val="454545"/>
          <w:sz w:val="32"/>
          <w:szCs w:val="32"/>
        </w:rPr>
        <w:t>万元，占</w:t>
      </w:r>
      <w:r>
        <w:rPr>
          <w:rFonts w:ascii="仿宋" w:hAnsi="仿宋" w:eastAsia="仿宋" w:cs="微软雅黑"/>
          <w:color w:val="454545"/>
          <w:sz w:val="32"/>
          <w:szCs w:val="32"/>
        </w:rPr>
        <w:t>49.12</w:t>
      </w:r>
      <w:r>
        <w:rPr>
          <w:rFonts w:hint="eastAsia" w:ascii="仿宋" w:hAnsi="仿宋" w:eastAsia="仿宋" w:cs="微软雅黑"/>
          <w:color w:val="454545"/>
          <w:sz w:val="32"/>
          <w:szCs w:val="32"/>
        </w:rPr>
        <w:t>%；社会保障和就业（类）支出20.</w:t>
      </w:r>
      <w:r>
        <w:rPr>
          <w:rFonts w:ascii="仿宋" w:hAnsi="仿宋" w:eastAsia="仿宋" w:cs="微软雅黑"/>
          <w:color w:val="454545"/>
          <w:sz w:val="32"/>
          <w:szCs w:val="32"/>
        </w:rPr>
        <w:t>70</w:t>
      </w:r>
      <w:r>
        <w:rPr>
          <w:rFonts w:hint="eastAsia" w:ascii="仿宋" w:hAnsi="仿宋" w:eastAsia="仿宋" w:cs="微软雅黑"/>
          <w:color w:val="454545"/>
          <w:sz w:val="32"/>
          <w:szCs w:val="32"/>
        </w:rPr>
        <w:t>万元，占1.</w:t>
      </w:r>
      <w:r>
        <w:rPr>
          <w:rFonts w:ascii="仿宋" w:hAnsi="仿宋" w:eastAsia="仿宋" w:cs="微软雅黑"/>
          <w:color w:val="454545"/>
          <w:sz w:val="32"/>
          <w:szCs w:val="32"/>
        </w:rPr>
        <w:t>86</w:t>
      </w:r>
      <w:r>
        <w:rPr>
          <w:rFonts w:hint="eastAsia" w:ascii="仿宋" w:hAnsi="仿宋" w:eastAsia="仿宋" w:cs="微软雅黑"/>
          <w:color w:val="454545"/>
          <w:sz w:val="32"/>
          <w:szCs w:val="32"/>
        </w:rPr>
        <w:t>%；卫生健康（类）支出</w:t>
      </w:r>
      <w:r>
        <w:rPr>
          <w:rFonts w:ascii="仿宋" w:hAnsi="仿宋" w:eastAsia="仿宋" w:cs="微软雅黑"/>
          <w:color w:val="454545"/>
          <w:sz w:val="32"/>
          <w:szCs w:val="32"/>
        </w:rPr>
        <w:t>12.17</w:t>
      </w:r>
      <w:r>
        <w:rPr>
          <w:rFonts w:hint="eastAsia" w:ascii="仿宋" w:hAnsi="仿宋" w:eastAsia="仿宋" w:cs="微软雅黑"/>
          <w:color w:val="454545"/>
          <w:sz w:val="32"/>
          <w:szCs w:val="32"/>
        </w:rPr>
        <w:t>万元，占</w:t>
      </w:r>
      <w:r>
        <w:rPr>
          <w:rFonts w:ascii="仿宋" w:hAnsi="仿宋" w:eastAsia="仿宋" w:cs="微软雅黑"/>
          <w:color w:val="454545"/>
          <w:sz w:val="32"/>
          <w:szCs w:val="32"/>
        </w:rPr>
        <w:t>1.09</w:t>
      </w:r>
      <w:r>
        <w:rPr>
          <w:rFonts w:hint="eastAsia" w:ascii="仿宋" w:hAnsi="仿宋" w:eastAsia="仿宋" w:cs="微软雅黑"/>
          <w:color w:val="454545"/>
          <w:sz w:val="32"/>
          <w:szCs w:val="32"/>
        </w:rPr>
        <w:t>%；住房保障（类）支出</w:t>
      </w:r>
      <w:r>
        <w:rPr>
          <w:rFonts w:ascii="仿宋" w:hAnsi="仿宋" w:eastAsia="仿宋" w:cs="微软雅黑"/>
          <w:color w:val="454545"/>
          <w:sz w:val="32"/>
          <w:szCs w:val="32"/>
        </w:rPr>
        <w:t>11.05</w:t>
      </w:r>
      <w:r>
        <w:rPr>
          <w:rFonts w:hint="eastAsia" w:ascii="仿宋" w:hAnsi="仿宋" w:eastAsia="仿宋" w:cs="微软雅黑"/>
          <w:color w:val="454545"/>
          <w:sz w:val="32"/>
          <w:szCs w:val="32"/>
        </w:rPr>
        <w:t>万元，占0.</w:t>
      </w:r>
      <w:r>
        <w:rPr>
          <w:rFonts w:ascii="仿宋" w:hAnsi="仿宋" w:eastAsia="仿宋" w:cs="微软雅黑"/>
          <w:color w:val="454545"/>
          <w:sz w:val="32"/>
          <w:szCs w:val="32"/>
        </w:rPr>
        <w:t>99</w:t>
      </w:r>
      <w:r>
        <w:rPr>
          <w:rFonts w:hint="eastAsia" w:ascii="仿宋" w:hAnsi="仿宋" w:eastAsia="仿宋" w:cs="微软雅黑"/>
          <w:color w:val="454545"/>
          <w:sz w:val="32"/>
          <w:szCs w:val="32"/>
        </w:rPr>
        <w:t>%。</w:t>
      </w:r>
    </w:p>
    <w:p>
      <w:pPr>
        <w:pStyle w:val="11"/>
        <w:spacing w:before="0" w:beforeAutospacing="0" w:after="0" w:afterAutospacing="0" w:line="580" w:lineRule="exact"/>
        <w:ind w:left="600"/>
        <w:rPr>
          <w:rFonts w:ascii="仿宋" w:hAnsi="仿宋" w:eastAsia="仿宋" w:cs="微软雅黑"/>
          <w:color w:val="454545"/>
          <w:sz w:val="32"/>
          <w:szCs w:val="32"/>
        </w:rPr>
      </w:pPr>
      <w:r>
        <w:rPr>
          <w:rFonts w:hint="eastAsia" w:ascii="仿宋" w:hAnsi="仿宋" w:eastAsia="仿宋" w:cs="微软雅黑"/>
          <w:color w:val="454545"/>
          <w:sz w:val="32"/>
          <w:szCs w:val="32"/>
        </w:rPr>
        <w:t>（三）“三公”经费情况</w:t>
      </w:r>
    </w:p>
    <w:p>
      <w:pPr>
        <w:pStyle w:val="11"/>
        <w:spacing w:before="0" w:beforeAutospacing="0" w:after="0" w:afterAutospacing="0" w:line="580" w:lineRule="exact"/>
        <w:ind w:firstLine="640" w:firstLineChars="200"/>
        <w:rPr>
          <w:rFonts w:ascii="仿宋" w:hAnsi="仿宋" w:eastAsia="仿宋" w:cs="微软雅黑"/>
          <w:color w:val="454545"/>
          <w:sz w:val="32"/>
          <w:szCs w:val="32"/>
        </w:rPr>
      </w:pPr>
      <w:r>
        <w:rPr>
          <w:rFonts w:hint="eastAsia" w:ascii="仿宋" w:hAnsi="仿宋" w:eastAsia="仿宋" w:cs="微软雅黑"/>
          <w:color w:val="454545"/>
          <w:sz w:val="32"/>
          <w:szCs w:val="32"/>
        </w:rPr>
        <w:t>202</w:t>
      </w:r>
      <w:r>
        <w:rPr>
          <w:rFonts w:ascii="仿宋" w:hAnsi="仿宋" w:eastAsia="仿宋" w:cs="微软雅黑"/>
          <w:color w:val="454545"/>
          <w:sz w:val="32"/>
          <w:szCs w:val="32"/>
        </w:rPr>
        <w:t>2</w:t>
      </w:r>
      <w:r>
        <w:rPr>
          <w:rFonts w:hint="eastAsia" w:ascii="仿宋" w:hAnsi="仿宋" w:eastAsia="仿宋" w:cs="微软雅黑"/>
          <w:color w:val="454545"/>
          <w:sz w:val="32"/>
          <w:szCs w:val="32"/>
        </w:rPr>
        <w:t>年度“三公”经费财政拨款支出预算为0万元，支出决算为0万元，其中：因公出国（境）费支出决算为0万元，公务接待费支出决算为0万元，公务用车购置费及运行维护费支出决算为0万元。</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三、部门整体支出绩效情况</w:t>
      </w:r>
    </w:p>
    <w:p>
      <w:pPr>
        <w:pStyle w:val="11"/>
        <w:spacing w:before="0" w:beforeAutospacing="0" w:after="0" w:afterAutospacing="0" w:line="580" w:lineRule="exact"/>
        <w:ind w:firstLine="640" w:firstLineChars="200"/>
        <w:rPr>
          <w:rFonts w:hint="eastAsia" w:ascii="仿宋" w:hAnsi="仿宋" w:eastAsia="仿宋" w:cs="微软雅黑"/>
          <w:color w:val="454545"/>
          <w:sz w:val="32"/>
          <w:szCs w:val="32"/>
        </w:rPr>
      </w:pPr>
      <w:r>
        <w:rPr>
          <w:rFonts w:hint="eastAsia" w:ascii="仿宋" w:hAnsi="仿宋" w:eastAsia="仿宋" w:cs="微软雅黑"/>
          <w:color w:val="454545"/>
          <w:sz w:val="32"/>
          <w:szCs w:val="32"/>
        </w:rPr>
        <w:t>2022年预算编制制定的绩效目标整体完成情况较好，重点项目以及日常服务性工作目标是项目运行良好，专项资金绩效目标均已完成，服务工作满意度程度高，工作实际完成效果较好。大多数项目预算资金完成率达到百分百，且在2022年年底完成项目，这表明年初预算编制虽然相差，但后期工作完成情况良好，2022年行政审批局各项工作顺利开展，服务对象满意程度较高。</w:t>
      </w:r>
    </w:p>
    <w:p>
      <w:pPr>
        <w:pStyle w:val="11"/>
        <w:spacing w:before="0" w:beforeAutospacing="0" w:after="0" w:afterAutospacing="0" w:line="580" w:lineRule="exact"/>
        <w:ind w:firstLine="640" w:firstLineChars="200"/>
        <w:rPr>
          <w:rFonts w:hint="eastAsia" w:ascii="仿宋" w:hAnsi="仿宋" w:eastAsia="仿宋" w:cs="微软雅黑"/>
          <w:color w:val="454545"/>
          <w:sz w:val="32"/>
          <w:szCs w:val="32"/>
        </w:rPr>
      </w:pPr>
      <w:r>
        <w:rPr>
          <w:rFonts w:hint="eastAsia" w:ascii="仿宋" w:hAnsi="仿宋" w:eastAsia="仿宋" w:cs="微软雅黑"/>
          <w:color w:val="454545"/>
          <w:sz w:val="32"/>
          <w:szCs w:val="32"/>
        </w:rPr>
        <w:t>通过制定部门体征绩效目标和评价绩效目标的完成情况，使得财务人员的责任意识得到提高，强化了对预算资金使用要更合理、更科学的意识。</w:t>
      </w:r>
    </w:p>
    <w:p>
      <w:pPr>
        <w:pStyle w:val="11"/>
        <w:spacing w:before="0" w:beforeAutospacing="0" w:after="0" w:afterAutospacing="0" w:line="580" w:lineRule="exact"/>
        <w:ind w:firstLine="640" w:firstLineChars="200"/>
        <w:rPr>
          <w:rFonts w:hint="eastAsia" w:ascii="仿宋" w:hAnsi="仿宋" w:eastAsia="仿宋" w:cs="微软雅黑"/>
          <w:color w:val="454545"/>
          <w:sz w:val="32"/>
          <w:szCs w:val="32"/>
        </w:rPr>
      </w:pPr>
      <w:r>
        <w:rPr>
          <w:rFonts w:hint="eastAsia" w:ascii="仿宋" w:hAnsi="仿宋" w:eastAsia="仿宋" w:cs="微软雅黑"/>
          <w:color w:val="454545"/>
          <w:sz w:val="32"/>
          <w:szCs w:val="32"/>
        </w:rPr>
        <w:t>四、存在的问题及原因分析</w:t>
      </w:r>
    </w:p>
    <w:p>
      <w:pPr>
        <w:pStyle w:val="11"/>
        <w:spacing w:before="0" w:beforeAutospacing="0" w:after="0" w:afterAutospacing="0" w:line="580" w:lineRule="exact"/>
        <w:ind w:firstLine="640" w:firstLineChars="200"/>
        <w:rPr>
          <w:rFonts w:hint="eastAsia" w:ascii="仿宋" w:hAnsi="仿宋" w:eastAsia="仿宋" w:cs="微软雅黑"/>
          <w:color w:val="454545"/>
          <w:sz w:val="32"/>
          <w:szCs w:val="32"/>
        </w:rPr>
      </w:pPr>
      <w:r>
        <w:rPr>
          <w:rFonts w:hint="eastAsia" w:ascii="仿宋" w:hAnsi="仿宋" w:eastAsia="仿宋" w:cs="微软雅黑"/>
          <w:color w:val="454545"/>
          <w:sz w:val="32"/>
          <w:szCs w:val="32"/>
        </w:rPr>
        <w:t>预算实际执行中，也存在一些问题和不足：一是预算编制考</w:t>
      </w:r>
      <w:bookmarkStart w:id="0" w:name="_GoBack"/>
      <w:bookmarkEnd w:id="0"/>
      <w:r>
        <w:rPr>
          <w:rFonts w:hint="eastAsia" w:ascii="仿宋" w:hAnsi="仿宋" w:eastAsia="仿宋" w:cs="微软雅黑"/>
          <w:color w:val="454545"/>
          <w:sz w:val="32"/>
          <w:szCs w:val="32"/>
        </w:rPr>
        <w:t>虑不够全面、欠缺科学精准。二是对于行政审批工作，在年初设定绩效指标标准和量化时存在困难，很多工作不可预见或具体化。三是执行预算有一定的差距。下一步，我们将逐步完善预算管理机制，提高经费使用效益，尽最大限度提示工作的预见性，在绩效目标的具体化和量化上下功夫。提高预算编制的科学水平，强化预算执行力度，提高预算执行效率。</w:t>
      </w:r>
    </w:p>
    <w:p>
      <w:pPr>
        <w:pStyle w:val="11"/>
        <w:spacing w:before="0" w:beforeAutospacing="0" w:after="0" w:afterAutospacing="0" w:line="580" w:lineRule="exact"/>
        <w:ind w:firstLine="640" w:firstLineChars="200"/>
        <w:rPr>
          <w:rFonts w:hint="eastAsia" w:ascii="仿宋" w:hAnsi="仿宋" w:eastAsia="仿宋" w:cs="微软雅黑"/>
          <w:color w:val="454545"/>
          <w:sz w:val="32"/>
          <w:szCs w:val="32"/>
        </w:rPr>
      </w:pPr>
      <w:r>
        <w:rPr>
          <w:rFonts w:hint="eastAsia" w:ascii="仿宋" w:hAnsi="仿宋" w:eastAsia="仿宋" w:cs="微软雅黑"/>
          <w:color w:val="454545"/>
          <w:sz w:val="32"/>
          <w:szCs w:val="32"/>
        </w:rPr>
        <w:t>五、下一步改进措施</w:t>
      </w:r>
    </w:p>
    <w:p>
      <w:pPr>
        <w:pStyle w:val="11"/>
        <w:spacing w:before="0" w:beforeAutospacing="0" w:after="0" w:afterAutospacing="0" w:line="580" w:lineRule="exact"/>
        <w:ind w:firstLine="640" w:firstLineChars="200"/>
        <w:rPr>
          <w:rFonts w:hint="eastAsia" w:ascii="仿宋" w:hAnsi="仿宋" w:eastAsia="仿宋" w:cs="微软雅黑"/>
          <w:color w:val="454545"/>
          <w:sz w:val="32"/>
          <w:szCs w:val="32"/>
        </w:rPr>
      </w:pPr>
      <w:r>
        <w:rPr>
          <w:rFonts w:hint="eastAsia" w:ascii="仿宋" w:hAnsi="仿宋" w:eastAsia="仿宋" w:cs="微软雅黑"/>
          <w:color w:val="454545"/>
          <w:sz w:val="32"/>
          <w:szCs w:val="32"/>
        </w:rPr>
        <w:t>通过编辑全面完整、科学合理的绩效目标为全区的各项工作理清了思路，促使我们改进管理、合理预算安排、及时发现不足，不断完善工作方案的制定。实施奖惩和问责后提高了工作积极性，增强了认识及责任心，规避将来可能或重复出现的风险，通过绩效评价结果公开，使全体干部职工对绩效评价增加了认识，在自己实际工作中改进工作方式，使其更细化、稳妥、高效，分清责任，今后将更加细致、高效的做好、用好绩效评价工作，使其在实际工作中发挥更加有效的作用。</w:t>
      </w:r>
    </w:p>
    <w:p>
      <w:pPr>
        <w:pStyle w:val="11"/>
        <w:spacing w:before="0" w:beforeAutospacing="0" w:after="0" w:afterAutospacing="0" w:line="580" w:lineRule="exact"/>
        <w:ind w:firstLine="640" w:firstLineChars="200"/>
        <w:rPr>
          <w:rFonts w:hint="eastAsia" w:ascii="仿宋" w:hAnsi="仿宋" w:eastAsia="仿宋" w:cs="微软雅黑"/>
          <w:color w:val="454545"/>
          <w:sz w:val="32"/>
          <w:szCs w:val="32"/>
        </w:rPr>
      </w:pPr>
    </w:p>
    <w:sectPr>
      <w:headerReference r:id="rId3" w:type="default"/>
      <w:footerReference r:id="rId4" w:type="default"/>
      <w:footerReference r:id="rId5" w:type="even"/>
      <w:pgSz w:w="11905" w:h="16837"/>
      <w:pgMar w:top="1440" w:right="1701" w:bottom="1440" w:left="1701" w:header="720" w:footer="1077" w:gutter="0"/>
      <w:pgNumType w:start="1"/>
      <w:cols w:space="720" w:num="1"/>
      <w:docGrid w:linePitch="6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sz w:val="28"/>
        <w:szCs w:val="28"/>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align>top</wp:align>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2"/>
                            <w:rPr>
                              <w:rStyle w:val="8"/>
                              <w:rFonts w:ascii="仿宋_GB2312" w:eastAsia="仿宋_GB2312"/>
                              <w:sz w:val="28"/>
                              <w:szCs w:val="28"/>
                            </w:rPr>
                          </w:pPr>
                          <w:r>
                            <w:rPr>
                              <w:rFonts w:eastAsia="仿宋_GB2312"/>
                              <w:sz w:val="28"/>
                              <w:szCs w:val="28"/>
                            </w:rPr>
                            <w:t xml:space="preserve">— </w:t>
                          </w:r>
                          <w:r>
                            <w:rPr>
                              <w:rFonts w:eastAsia="仿宋_GB2312"/>
                              <w:sz w:val="28"/>
                              <w:szCs w:val="28"/>
                            </w:rPr>
                            <w:fldChar w:fldCharType="begin"/>
                          </w:r>
                          <w:r>
                            <w:rPr>
                              <w:rStyle w:val="8"/>
                              <w:rFonts w:eastAsia="仿宋_GB2312"/>
                              <w:sz w:val="28"/>
                              <w:szCs w:val="28"/>
                            </w:rPr>
                            <w:instrText xml:space="preserve">PAGE  </w:instrText>
                          </w:r>
                          <w:r>
                            <w:rPr>
                              <w:rFonts w:eastAsia="仿宋_GB2312"/>
                              <w:sz w:val="28"/>
                              <w:szCs w:val="28"/>
                            </w:rPr>
                            <w:fldChar w:fldCharType="separate"/>
                          </w:r>
                          <w:r>
                            <w:rPr>
                              <w:rStyle w:val="8"/>
                              <w:rFonts w:eastAsia="仿宋_GB2312"/>
                              <w:sz w:val="28"/>
                              <w:szCs w:val="28"/>
                            </w:rPr>
                            <w:t>2</w:t>
                          </w:r>
                          <w:r>
                            <w:rPr>
                              <w:rFonts w:eastAsia="仿宋_GB2312"/>
                              <w:sz w:val="28"/>
                              <w:szCs w:val="28"/>
                            </w:rPr>
                            <w:fldChar w:fldCharType="end"/>
                          </w:r>
                          <w:r>
                            <w:rPr>
                              <w:rFonts w:eastAsia="仿宋_GB2312"/>
                              <w:sz w:val="28"/>
                              <w:szCs w:val="28"/>
                            </w:rPr>
                            <w:t xml:space="preserve"> —</w:t>
                          </w:r>
                        </w:p>
                      </w:txbxContent>
                    </wps:txbx>
                    <wps:bodyPr wrap="none" lIns="0" tIns="0" rIns="0" bIns="0">
                      <a:spAutoFit/>
                    </wps:bodyPr>
                  </wps:wsp>
                </a:graphicData>
              </a:graphic>
            </wp:anchor>
          </w:drawing>
        </mc:Choice>
        <mc:Fallback>
          <w:pict>
            <v:rect id="_x0000_s1026" o:spid="_x0000_s1026" o:spt="1" style="position:absolute;left:0pt;height:144pt;width:144pt;mso-position-horizontal:outside;mso-position-horizontal-relative:margin;mso-position-vertical:top;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I2ISUW4AQAAgAMAAA4AAAAAAAAAAQAgAAAAHwEAAGRycy9lMm9Eb2MueG1sUEsFBgAAAAAGAAYA&#10;WQEAAEkFAAAAAA==&#10;">
              <v:fill on="f" focussize="0,0"/>
              <v:stroke on="f"/>
              <v:imagedata o:title=""/>
              <o:lock v:ext="edit" aspectratio="f"/>
              <v:textbox inset="0mm,0mm,0mm,0mm" style="mso-fit-shape-to-text:t;">
                <w:txbxContent>
                  <w:p>
                    <w:pPr>
                      <w:pStyle w:val="2"/>
                      <w:rPr>
                        <w:rStyle w:val="8"/>
                        <w:rFonts w:ascii="仿宋_GB2312" w:eastAsia="仿宋_GB2312"/>
                        <w:sz w:val="28"/>
                        <w:szCs w:val="28"/>
                      </w:rPr>
                    </w:pPr>
                    <w:r>
                      <w:rPr>
                        <w:rFonts w:eastAsia="仿宋_GB2312"/>
                        <w:sz w:val="28"/>
                        <w:szCs w:val="28"/>
                      </w:rPr>
                      <w:t xml:space="preserve">— </w:t>
                    </w:r>
                    <w:r>
                      <w:rPr>
                        <w:rFonts w:eastAsia="仿宋_GB2312"/>
                        <w:sz w:val="28"/>
                        <w:szCs w:val="28"/>
                      </w:rPr>
                      <w:fldChar w:fldCharType="begin"/>
                    </w:r>
                    <w:r>
                      <w:rPr>
                        <w:rStyle w:val="8"/>
                        <w:rFonts w:eastAsia="仿宋_GB2312"/>
                        <w:sz w:val="28"/>
                        <w:szCs w:val="28"/>
                      </w:rPr>
                      <w:instrText xml:space="preserve">PAGE  </w:instrText>
                    </w:r>
                    <w:r>
                      <w:rPr>
                        <w:rFonts w:eastAsia="仿宋_GB2312"/>
                        <w:sz w:val="28"/>
                        <w:szCs w:val="28"/>
                      </w:rPr>
                      <w:fldChar w:fldCharType="separate"/>
                    </w:r>
                    <w:r>
                      <w:rPr>
                        <w:rStyle w:val="8"/>
                        <w:rFonts w:eastAsia="仿宋_GB2312"/>
                        <w:sz w:val="28"/>
                        <w:szCs w:val="28"/>
                      </w:rPr>
                      <w:t>2</w:t>
                    </w:r>
                    <w:r>
                      <w:rPr>
                        <w:rFonts w:eastAsia="仿宋_GB2312"/>
                        <w:sz w:val="28"/>
                        <w:szCs w:val="28"/>
                      </w:rPr>
                      <w:fldChar w:fldCharType="end"/>
                    </w:r>
                    <w:r>
                      <w:rPr>
                        <w:rFonts w:eastAsia="仿宋_GB2312"/>
                        <w:sz w:val="28"/>
                        <w:szCs w:val="28"/>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fldChar w:fldCharType="begin"/>
    </w:r>
    <w:r>
      <w:rPr>
        <w:rStyle w:val="8"/>
      </w:rPr>
      <w:instrText xml:space="preserve">PAGE  </w:instrText>
    </w:r>
    <w:r>
      <w:fldChar w:fldCharType="separate"/>
    </w:r>
    <w:r>
      <w:rPr>
        <w:rStyle w:val="8"/>
      </w:rPr>
      <w:t>5</w:t>
    </w:r>
    <w:r>
      <w:fldChar w:fldCharType="end"/>
    </w:r>
  </w:p>
  <w:p>
    <w:pPr>
      <w:pStyle w:val="2"/>
      <w:ind w:right="360" w:firstLine="360"/>
      <w:rPr>
        <w:sz w:val="28"/>
        <w:szCs w:val="28"/>
      </w:rPr>
    </w:pPr>
    <w:r>
      <w:rPr>
        <w:rStyle w:val="8"/>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64A16C"/>
    <w:multiLevelType w:val="singleLevel"/>
    <w:tmpl w:val="BE64A16C"/>
    <w:lvl w:ilvl="0" w:tentative="0">
      <w:start w:val="2"/>
      <w:numFmt w:val="chineseCounting"/>
      <w:suff w:val="nothing"/>
      <w:lvlText w:val="%1、"/>
      <w:lvlJc w:val="left"/>
      <w:rPr>
        <w:rFonts w:hint="eastAsia"/>
      </w:rPr>
    </w:lvl>
  </w:abstractNum>
  <w:abstractNum w:abstractNumId="1">
    <w:nsid w:val="7D5579B7"/>
    <w:multiLevelType w:val="multilevel"/>
    <w:tmpl w:val="7D5579B7"/>
    <w:lvl w:ilvl="0" w:tentative="0">
      <w:start w:val="1"/>
      <w:numFmt w:val="japaneseCounting"/>
      <w:lvlText w:val="（%1）"/>
      <w:lvlJc w:val="left"/>
      <w:pPr>
        <w:ind w:left="1647" w:hanging="108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FiZDIzMjBhYjY3YjcwYmIxYWI1NjM4YzVmYjEyMDMifQ=="/>
  </w:docVars>
  <w:rsids>
    <w:rsidRoot w:val="7D3B376A"/>
    <w:rsid w:val="00082F62"/>
    <w:rsid w:val="00186262"/>
    <w:rsid w:val="001F67F5"/>
    <w:rsid w:val="002717D3"/>
    <w:rsid w:val="002A697C"/>
    <w:rsid w:val="002E0E6C"/>
    <w:rsid w:val="00580533"/>
    <w:rsid w:val="005E1B44"/>
    <w:rsid w:val="00655F91"/>
    <w:rsid w:val="00885DB9"/>
    <w:rsid w:val="008A567B"/>
    <w:rsid w:val="0098657B"/>
    <w:rsid w:val="009921F6"/>
    <w:rsid w:val="00A06416"/>
    <w:rsid w:val="00AE6271"/>
    <w:rsid w:val="00B21C7F"/>
    <w:rsid w:val="00F56047"/>
    <w:rsid w:val="13C7475D"/>
    <w:rsid w:val="1BD9327F"/>
    <w:rsid w:val="295519E8"/>
    <w:rsid w:val="3AC23405"/>
    <w:rsid w:val="3D5A7809"/>
    <w:rsid w:val="402839D6"/>
    <w:rsid w:val="43F14D5A"/>
    <w:rsid w:val="465C21C1"/>
    <w:rsid w:val="4777436D"/>
    <w:rsid w:val="4C160176"/>
    <w:rsid w:val="4C557BB9"/>
    <w:rsid w:val="53F97271"/>
    <w:rsid w:val="541B35D1"/>
    <w:rsid w:val="5B6C1A40"/>
    <w:rsid w:val="5B8008EC"/>
    <w:rsid w:val="5C5467C9"/>
    <w:rsid w:val="5F4B1D2B"/>
    <w:rsid w:val="62E80AE2"/>
    <w:rsid w:val="6A615EE7"/>
    <w:rsid w:val="6F1639EF"/>
    <w:rsid w:val="747A557F"/>
    <w:rsid w:val="79343A05"/>
    <w:rsid w:val="7B3E7868"/>
    <w:rsid w:val="7D3B3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Autospacing="1" w:afterAutospacing="1"/>
      <w:jc w:val="left"/>
    </w:pPr>
    <w:rPr>
      <w:kern w:val="0"/>
      <w:sz w:val="24"/>
    </w:rPr>
  </w:style>
  <w:style w:type="character" w:styleId="7">
    <w:name w:val="Strong"/>
    <w:basedOn w:val="6"/>
    <w:qFormat/>
    <w:uiPriority w:val="22"/>
    <w:rPr>
      <w:b/>
      <w:bCs/>
    </w:rPr>
  </w:style>
  <w:style w:type="character" w:styleId="8">
    <w:name w:val="page number"/>
    <w:basedOn w:val="6"/>
    <w:qFormat/>
    <w:uiPriority w:val="0"/>
  </w:style>
  <w:style w:type="paragraph" w:customStyle="1" w:styleId="9">
    <w:name w:val="列出段落1"/>
    <w:basedOn w:val="1"/>
    <w:qFormat/>
    <w:uiPriority w:val="0"/>
    <w:pPr>
      <w:ind w:firstLine="420" w:firstLineChars="200"/>
    </w:pPr>
    <w:rPr>
      <w:rFonts w:ascii="Calibri" w:hAnsi="Calibri"/>
      <w:szCs w:val="22"/>
    </w:rPr>
  </w:style>
  <w:style w:type="paragraph" w:styleId="10">
    <w:name w:val="List Paragraph"/>
    <w:basedOn w:val="1"/>
    <w:unhideWhenUsed/>
    <w:qFormat/>
    <w:uiPriority w:val="99"/>
    <w:pPr>
      <w:ind w:firstLine="420" w:firstLineChars="200"/>
    </w:pPr>
  </w:style>
  <w:style w:type="paragraph" w:customStyle="1" w:styleId="11">
    <w:name w:val="18"/>
    <w:basedOn w:val="1"/>
    <w:uiPriority w:val="0"/>
    <w:pPr>
      <w:widowControl/>
      <w:spacing w:before="100" w:beforeAutospacing="1" w:after="100" w:afterAutospacing="1"/>
      <w:jc w:val="left"/>
    </w:pPr>
    <w:rPr>
      <w:rFonts w:ascii="宋体" w:hAnsi="宋体" w:cs="宋体"/>
      <w:kern w:val="0"/>
      <w:sz w:val="24"/>
    </w:rPr>
  </w:style>
  <w:style w:type="character" w:customStyle="1" w:styleId="12">
    <w:name w:val="peoplefilling"/>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5259DA-8718-4D72-B9EB-332C5DE0BE9D}">
  <ds:schemaRefs/>
</ds:datastoreItem>
</file>

<file path=docProps/app.xml><?xml version="1.0" encoding="utf-8"?>
<Properties xmlns="http://schemas.openxmlformats.org/officeDocument/2006/extended-properties" xmlns:vt="http://schemas.openxmlformats.org/officeDocument/2006/docPropsVTypes">
  <Template>Normal</Template>
  <Pages>4</Pages>
  <Words>327</Words>
  <Characters>1865</Characters>
  <Lines>15</Lines>
  <Paragraphs>4</Paragraphs>
  <TotalTime>50</TotalTime>
  <ScaleCrop>false</ScaleCrop>
  <LinksUpToDate>false</LinksUpToDate>
  <CharactersWithSpaces>2188</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2023-08-30T09:42:00Z</dcterms:created>
  <dc:creator>贺小二</dc:creator>
  <cp:lastModifiedBy>Saraphines</cp:lastModifiedBy>
  <cp:lastPrinted>2020-07-27T02:02:00Z</cp:lastPrinted>
  <dcterms:modified xsi:type="dcterms:W3CDTF">2023-11-11T03:35:21Z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0B577C665CB84134A3BEC7A2741E5216</vt:lpwstr>
  </property>
</Properties>
</file>