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b/>
          <w:bCs/>
          <w:color w:val="333333"/>
          <w:sz w:val="44"/>
          <w:szCs w:val="44"/>
        </w:rPr>
      </w:pPr>
      <w:r>
        <w:rPr>
          <w:rFonts w:hint="eastAsia" w:ascii="宋体" w:hAnsi="宋体"/>
          <w:b/>
          <w:bCs/>
          <w:color w:val="333333"/>
          <w:sz w:val="44"/>
          <w:szCs w:val="44"/>
          <w:lang w:val="en-US" w:eastAsia="zh-CN"/>
        </w:rPr>
        <w:t>2022</w:t>
      </w:r>
      <w:r>
        <w:rPr>
          <w:rFonts w:hint="default" w:ascii="宋体" w:hAnsi="宋体"/>
          <w:b/>
          <w:bCs/>
          <w:color w:val="333333"/>
          <w:sz w:val="44"/>
          <w:szCs w:val="44"/>
        </w:rPr>
        <w:t>年度</w:t>
      </w:r>
      <w:r>
        <w:rPr>
          <w:rFonts w:hint="eastAsia" w:ascii="宋体" w:hAnsi="宋体"/>
          <w:b/>
          <w:bCs/>
          <w:color w:val="333333"/>
          <w:sz w:val="44"/>
          <w:szCs w:val="44"/>
          <w:lang w:eastAsia="zh-CN"/>
        </w:rPr>
        <w:t>石鼓区卫生计生综合监督执法局</w:t>
      </w:r>
      <w:r>
        <w:rPr>
          <w:rFonts w:hint="default" w:ascii="宋体" w:hAnsi="宋体"/>
          <w:b/>
          <w:bCs/>
          <w:color w:val="333333"/>
          <w:sz w:val="44"/>
          <w:szCs w:val="44"/>
        </w:rPr>
        <w:t>整体支出绩效自评报告</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楷体_GB2312" w:cs="Times New Roman"/>
          <w:b/>
          <w:color w:val="auto"/>
          <w:szCs w:val="21"/>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楷体_GB2312" w:cs="Times New Roman"/>
          <w:b/>
          <w:color w:val="auto"/>
          <w:szCs w:val="21"/>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一、基本情况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（一）部门（单位）基本情况</w:t>
      </w:r>
    </w:p>
    <w:p>
      <w:pPr>
        <w:keepNext w:val="0"/>
        <w:keepLines w:val="0"/>
        <w:pageBreakBefore w:val="0"/>
        <w:kinsoku/>
        <w:wordWrap/>
        <w:overflowPunct/>
        <w:topLinePunct w:val="0"/>
        <w:autoSpaceDE/>
        <w:autoSpaceDN/>
        <w:bidi w:val="0"/>
        <w:adjustRightInd/>
        <w:snapToGrid/>
        <w:spacing w:line="600" w:lineRule="exact"/>
        <w:ind w:left="159" w:leftChars="76"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部门职责：</w:t>
      </w:r>
      <w:r>
        <w:rPr>
          <w:rFonts w:hint="eastAsia" w:ascii="宋体" w:hAnsi="宋体" w:eastAsia="宋体" w:cs="宋体"/>
          <w:kern w:val="0"/>
          <w:sz w:val="24"/>
          <w:szCs w:val="24"/>
          <w:lang w:eastAsia="zh-CN"/>
        </w:rPr>
        <w:t>石鼓区卫生计生综合监督执法局</w:t>
      </w:r>
      <w:r>
        <w:rPr>
          <w:rFonts w:hint="eastAsia" w:ascii="宋体" w:hAnsi="宋体" w:eastAsia="宋体" w:cs="宋体"/>
          <w:kern w:val="0"/>
          <w:sz w:val="24"/>
          <w:szCs w:val="24"/>
          <w:lang w:val="en-US" w:eastAsia="zh-CN"/>
        </w:rPr>
        <w:t>前身为石鼓区卫生监督所，是代表石鼓区卫生和计划生育局行使卫生和计划生育监督执法职能的机构</w:t>
      </w:r>
      <w:r>
        <w:rPr>
          <w:rFonts w:hint="eastAsia" w:ascii="宋体" w:hAnsi="宋体" w:eastAsia="宋体" w:cs="宋体"/>
          <w:kern w:val="0"/>
          <w:sz w:val="24"/>
          <w:szCs w:val="24"/>
          <w:lang w:eastAsia="zh-CN"/>
        </w:rPr>
        <w:t>，归</w:t>
      </w:r>
      <w:r>
        <w:rPr>
          <w:rFonts w:hint="eastAsia" w:ascii="宋体" w:hAnsi="宋体" w:eastAsia="宋体" w:cs="宋体"/>
          <w:kern w:val="0"/>
          <w:sz w:val="24"/>
          <w:szCs w:val="24"/>
        </w:rPr>
        <w:t>属于石鼓区卫生健康局。主要职能为</w:t>
      </w:r>
      <w:r>
        <w:rPr>
          <w:rFonts w:hint="eastAsia" w:ascii="宋体" w:hAnsi="宋体" w:eastAsia="宋体" w:cs="宋体"/>
          <w:kern w:val="0"/>
          <w:sz w:val="24"/>
          <w:szCs w:val="24"/>
          <w:lang w:val="en-US" w:eastAsia="zh-CN"/>
        </w:rPr>
        <w:t>是承担法律法规赋予和区卫计局授权的社会公共卫生、健康相关产品、医疗机构和计划生育工作的综合监督执法任务。</w:t>
      </w:r>
    </w:p>
    <w:p>
      <w:pPr>
        <w:keepNext w:val="0"/>
        <w:keepLines w:val="0"/>
        <w:pageBreakBefore w:val="0"/>
        <w:kinsoku/>
        <w:wordWrap/>
        <w:overflowPunct/>
        <w:topLinePunct w:val="0"/>
        <w:autoSpaceDE/>
        <w:autoSpaceDN/>
        <w:bidi w:val="0"/>
        <w:adjustRightInd/>
        <w:snapToGrid/>
        <w:spacing w:line="600" w:lineRule="exact"/>
        <w:ind w:left="159" w:leftChars="76"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机构设置情况：</w:t>
      </w:r>
      <w:r>
        <w:rPr>
          <w:rFonts w:hint="eastAsia" w:ascii="宋体" w:hAnsi="宋体" w:eastAsia="宋体" w:cs="宋体"/>
          <w:kern w:val="0"/>
          <w:sz w:val="24"/>
          <w:szCs w:val="24"/>
          <w:lang w:eastAsia="zh-CN"/>
        </w:rPr>
        <w:t>石鼓区卫生计生综合监督执法局</w:t>
      </w:r>
      <w:r>
        <w:rPr>
          <w:rFonts w:hint="eastAsia" w:ascii="宋体" w:hAnsi="宋体" w:eastAsia="宋体" w:cs="宋体"/>
          <w:kern w:val="0"/>
          <w:sz w:val="24"/>
          <w:szCs w:val="24"/>
        </w:rPr>
        <w:t>内设办公室、组织人事科</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计财科、卫生监督稽查与信息科</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医疗卫生监督科</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传染病防治与学校卫生监督科</w:t>
      </w:r>
      <w:r>
        <w:rPr>
          <w:rFonts w:hint="eastAsia" w:ascii="宋体" w:hAnsi="宋体" w:eastAsia="宋体" w:cs="宋体"/>
          <w:kern w:val="0"/>
          <w:sz w:val="24"/>
          <w:szCs w:val="24"/>
          <w:lang w:eastAsia="zh-CN"/>
        </w:rPr>
        <w:t>、公共</w:t>
      </w:r>
      <w:r>
        <w:rPr>
          <w:rFonts w:hint="eastAsia" w:ascii="宋体" w:hAnsi="宋体" w:eastAsia="宋体" w:cs="宋体"/>
          <w:kern w:val="0"/>
          <w:sz w:val="24"/>
          <w:szCs w:val="24"/>
        </w:rPr>
        <w:t>场所卫生监督科</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职业与放射卫生监督科</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计划生育监督科</w:t>
      </w:r>
      <w:r>
        <w:rPr>
          <w:rFonts w:hint="eastAsia" w:ascii="宋体" w:hAnsi="宋体" w:eastAsia="宋体" w:cs="宋体"/>
          <w:kern w:val="0"/>
          <w:sz w:val="24"/>
          <w:szCs w:val="24"/>
          <w:lang w:eastAsia="zh-CN"/>
        </w:rPr>
        <w:t>、信息科</w:t>
      </w:r>
      <w:r>
        <w:rPr>
          <w:rFonts w:hint="eastAsia" w:ascii="宋体" w:hAnsi="宋体" w:eastAsia="宋体" w:cs="宋体"/>
          <w:kern w:val="0"/>
          <w:sz w:val="24"/>
          <w:szCs w:val="24"/>
        </w:rPr>
        <w:t>。</w:t>
      </w:r>
    </w:p>
    <w:p>
      <w:pPr>
        <w:keepNext w:val="0"/>
        <w:keepLines w:val="0"/>
        <w:pageBreakBefore w:val="0"/>
        <w:kinsoku/>
        <w:wordWrap/>
        <w:overflowPunct/>
        <w:topLinePunct w:val="0"/>
        <w:autoSpaceDE/>
        <w:autoSpaceDN/>
        <w:bidi w:val="0"/>
        <w:adjustRightInd/>
        <w:snapToGrid/>
        <w:spacing w:line="600" w:lineRule="exact"/>
        <w:ind w:left="159" w:leftChars="76" w:firstLine="360" w:firstLineChars="150"/>
        <w:textAlignment w:val="auto"/>
        <w:rPr>
          <w:rFonts w:hint="eastAsia" w:ascii="宋体" w:hAnsi="宋体" w:eastAsia="宋体" w:cs="宋体"/>
          <w:color w:val="auto"/>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人员编制情况：</w:t>
      </w:r>
      <w:r>
        <w:rPr>
          <w:rFonts w:hint="eastAsia" w:ascii="宋体" w:hAnsi="宋体" w:eastAsia="宋体" w:cs="宋体"/>
          <w:kern w:val="0"/>
          <w:sz w:val="24"/>
          <w:szCs w:val="24"/>
          <w:lang w:eastAsia="zh-CN"/>
        </w:rPr>
        <w:t>石鼓区卫生计生综合监督执法局</w:t>
      </w:r>
      <w:r>
        <w:rPr>
          <w:rFonts w:hint="eastAsia" w:ascii="宋体" w:hAnsi="宋体" w:eastAsia="宋体" w:cs="宋体"/>
          <w:kern w:val="0"/>
          <w:sz w:val="24"/>
          <w:szCs w:val="24"/>
        </w:rPr>
        <w:t>为全额拨款事业编，编制人数为25人，截止到</w:t>
      </w: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年</w:t>
      </w:r>
      <w:r>
        <w:rPr>
          <w:rFonts w:hint="eastAsia" w:ascii="宋体" w:hAnsi="宋体" w:eastAsia="宋体" w:cs="宋体"/>
          <w:kern w:val="0"/>
          <w:sz w:val="24"/>
          <w:szCs w:val="24"/>
        </w:rPr>
        <w:t>12月底实际在编</w:t>
      </w:r>
      <w:r>
        <w:rPr>
          <w:rFonts w:hint="eastAsia" w:ascii="宋体" w:hAnsi="宋体" w:cs="宋体"/>
          <w:kern w:val="0"/>
          <w:sz w:val="24"/>
          <w:szCs w:val="24"/>
          <w:lang w:val="en-US" w:eastAsia="zh-CN"/>
        </w:rPr>
        <w:t>8人，其中在编在岗</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人，</w:t>
      </w:r>
      <w:r>
        <w:rPr>
          <w:rFonts w:hint="eastAsia" w:ascii="宋体" w:hAnsi="宋体" w:eastAsia="宋体" w:cs="宋体"/>
          <w:kern w:val="0"/>
          <w:sz w:val="24"/>
          <w:szCs w:val="24"/>
          <w:lang w:eastAsia="zh-CN"/>
        </w:rPr>
        <w:t>临聘人员</w:t>
      </w:r>
      <w:r>
        <w:rPr>
          <w:rFonts w:hint="eastAsia" w:ascii="宋体" w:hAnsi="宋体" w:eastAsia="宋体" w:cs="宋体"/>
          <w:kern w:val="0"/>
          <w:sz w:val="24"/>
          <w:szCs w:val="24"/>
          <w:lang w:val="en-US" w:eastAsia="zh-CN"/>
        </w:rPr>
        <w:t>4人，</w:t>
      </w:r>
      <w:r>
        <w:rPr>
          <w:rFonts w:hint="eastAsia" w:ascii="宋体" w:hAnsi="宋体" w:eastAsia="宋体" w:cs="宋体"/>
          <w:kern w:val="0"/>
          <w:sz w:val="24"/>
          <w:szCs w:val="24"/>
        </w:rPr>
        <w:t>控制率100%。</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（二）部门（单位）年度整体支出绩效目标，专项资金绩效目标</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600" w:lineRule="exact"/>
        <w:ind w:left="159" w:leftChars="76" w:firstLine="357" w:firstLineChars="149"/>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部门预算收支情况及部门决算情况。</w:t>
      </w:r>
    </w:p>
    <w:p>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1）收入分类情况：</w:t>
      </w:r>
      <w:r>
        <w:rPr>
          <w:rFonts w:hint="eastAsia" w:ascii="宋体" w:hAnsi="宋体" w:eastAsia="宋体" w:cs="宋体"/>
          <w:kern w:val="0"/>
          <w:sz w:val="24"/>
          <w:szCs w:val="24"/>
          <w:lang w:eastAsia="zh-CN"/>
        </w:rPr>
        <w:t>石鼓区卫生计生综合监督执法局202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年</w:t>
      </w:r>
      <w:r>
        <w:rPr>
          <w:rFonts w:hint="eastAsia" w:ascii="宋体" w:hAnsi="宋体" w:eastAsia="宋体" w:cs="宋体"/>
          <w:kern w:val="0"/>
          <w:sz w:val="24"/>
          <w:szCs w:val="24"/>
        </w:rPr>
        <w:t>收入为</w:t>
      </w:r>
      <w:r>
        <w:rPr>
          <w:rFonts w:hint="eastAsia" w:ascii="宋体" w:hAnsi="宋体" w:eastAsia="宋体" w:cs="宋体"/>
          <w:kern w:val="0"/>
          <w:sz w:val="24"/>
          <w:szCs w:val="24"/>
          <w:lang w:val="en-US" w:eastAsia="zh-CN"/>
        </w:rPr>
        <w:t>137.69</w:t>
      </w:r>
      <w:r>
        <w:rPr>
          <w:rFonts w:hint="eastAsia" w:ascii="宋体" w:hAnsi="宋体" w:eastAsia="宋体" w:cs="宋体"/>
          <w:kern w:val="0"/>
          <w:sz w:val="24"/>
          <w:szCs w:val="24"/>
        </w:rPr>
        <w:t>万元，其中</w:t>
      </w: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年</w:t>
      </w:r>
      <w:r>
        <w:rPr>
          <w:rFonts w:hint="eastAsia" w:ascii="宋体" w:hAnsi="宋体" w:eastAsia="宋体" w:cs="宋体"/>
          <w:kern w:val="0"/>
          <w:sz w:val="24"/>
          <w:szCs w:val="24"/>
        </w:rPr>
        <w:t>财政拨款收入为</w:t>
      </w:r>
      <w:r>
        <w:rPr>
          <w:rFonts w:hint="eastAsia" w:ascii="宋体" w:hAnsi="宋体" w:eastAsia="宋体" w:cs="宋体"/>
          <w:kern w:val="0"/>
          <w:sz w:val="24"/>
          <w:szCs w:val="24"/>
          <w:lang w:val="en-US" w:eastAsia="zh-CN"/>
        </w:rPr>
        <w:t>131.36</w:t>
      </w:r>
      <w:r>
        <w:rPr>
          <w:rFonts w:hint="eastAsia" w:ascii="宋体" w:hAnsi="宋体" w:eastAsia="宋体" w:cs="宋体"/>
          <w:kern w:val="0"/>
          <w:sz w:val="24"/>
          <w:szCs w:val="24"/>
        </w:rPr>
        <w:t>万元。</w:t>
      </w:r>
    </w:p>
    <w:p>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支出分类情况：</w:t>
      </w:r>
      <w:r>
        <w:rPr>
          <w:rFonts w:hint="eastAsia" w:ascii="宋体" w:hAnsi="宋体" w:eastAsia="宋体" w:cs="宋体"/>
          <w:kern w:val="0"/>
          <w:sz w:val="24"/>
          <w:szCs w:val="24"/>
          <w:lang w:val="en-US" w:eastAsia="zh-CN"/>
        </w:rPr>
        <w:t>2022年</w:t>
      </w:r>
      <w:r>
        <w:rPr>
          <w:rFonts w:hint="eastAsia" w:ascii="宋体" w:hAnsi="宋体" w:eastAsia="宋体" w:cs="宋体"/>
          <w:kern w:val="0"/>
          <w:sz w:val="24"/>
          <w:szCs w:val="24"/>
        </w:rPr>
        <w:t>支出</w:t>
      </w:r>
      <w:r>
        <w:rPr>
          <w:rFonts w:hint="eastAsia" w:ascii="宋体" w:hAnsi="宋体" w:eastAsia="宋体" w:cs="宋体"/>
          <w:kern w:val="0"/>
          <w:sz w:val="24"/>
          <w:szCs w:val="24"/>
          <w:lang w:val="en-US" w:eastAsia="zh-CN"/>
        </w:rPr>
        <w:t>137.69</w:t>
      </w:r>
      <w:r>
        <w:rPr>
          <w:rFonts w:hint="eastAsia" w:ascii="宋体" w:hAnsi="宋体" w:eastAsia="宋体" w:cs="宋体"/>
          <w:kern w:val="0"/>
          <w:sz w:val="24"/>
          <w:szCs w:val="24"/>
        </w:rPr>
        <w:t>万元，其中基本支出</w:t>
      </w:r>
      <w:r>
        <w:rPr>
          <w:rFonts w:hint="eastAsia" w:ascii="宋体" w:hAnsi="宋体" w:eastAsia="宋体" w:cs="宋体"/>
          <w:kern w:val="0"/>
          <w:sz w:val="24"/>
          <w:szCs w:val="24"/>
          <w:lang w:val="en-US" w:eastAsia="zh-CN"/>
        </w:rPr>
        <w:t>103.13</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，项目支出</w:t>
      </w:r>
      <w:r>
        <w:rPr>
          <w:rFonts w:hint="eastAsia" w:ascii="宋体" w:hAnsi="宋体" w:eastAsia="宋体" w:cs="宋体"/>
          <w:kern w:val="0"/>
          <w:sz w:val="24"/>
          <w:szCs w:val="24"/>
          <w:lang w:val="en-US" w:eastAsia="zh-CN"/>
        </w:rPr>
        <w:t>34.56万元</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（三）“三公”经费情况：</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rPr>
        <w:t>度因公出国费用0元、公务用车运行维护费</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万元、公务接待费0万元，合计</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万元。比年初预算数相比</w:t>
      </w:r>
      <w:r>
        <w:rPr>
          <w:rFonts w:hint="eastAsia" w:ascii="宋体" w:hAnsi="宋体" w:eastAsia="宋体" w:cs="宋体"/>
          <w:color w:val="auto"/>
          <w:sz w:val="24"/>
          <w:szCs w:val="24"/>
          <w:lang w:eastAsia="zh-CN"/>
        </w:rPr>
        <w:t>一致</w:t>
      </w:r>
      <w:r>
        <w:rPr>
          <w:rFonts w:hint="eastAsia" w:ascii="宋体" w:hAnsi="宋体" w:eastAsia="宋体" w:cs="宋体"/>
          <w:color w:val="auto"/>
          <w:sz w:val="24"/>
          <w:szCs w:val="24"/>
        </w:rPr>
        <w:t>，其主要原因是</w:t>
      </w:r>
      <w:r>
        <w:rPr>
          <w:rFonts w:hint="eastAsia" w:ascii="宋体" w:hAnsi="宋体" w:eastAsia="宋体" w:cs="宋体"/>
          <w:color w:val="auto"/>
          <w:sz w:val="24"/>
          <w:szCs w:val="24"/>
          <w:lang w:eastAsia="zh-CN"/>
        </w:rPr>
        <w:t>本单位</w:t>
      </w:r>
      <w:r>
        <w:rPr>
          <w:rFonts w:hint="eastAsia" w:ascii="宋体" w:hAnsi="宋体" w:cs="宋体"/>
          <w:color w:val="auto"/>
          <w:sz w:val="24"/>
          <w:szCs w:val="24"/>
          <w:lang w:eastAsia="zh-CN"/>
        </w:rPr>
        <w:t>在</w:t>
      </w: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“三公”经费环节</w:t>
      </w:r>
      <w:r>
        <w:rPr>
          <w:rFonts w:hint="eastAsia" w:ascii="宋体" w:hAnsi="宋体" w:eastAsia="宋体" w:cs="宋体"/>
          <w:color w:val="auto"/>
          <w:sz w:val="24"/>
          <w:szCs w:val="24"/>
          <w:lang w:val="en-US" w:eastAsia="zh-CN"/>
        </w:rPr>
        <w:t>上</w:t>
      </w:r>
      <w:r>
        <w:rPr>
          <w:rFonts w:hint="eastAsia" w:ascii="宋体" w:hAnsi="宋体" w:cs="宋体"/>
          <w:color w:val="auto"/>
          <w:sz w:val="24"/>
          <w:szCs w:val="24"/>
          <w:lang w:val="en-US" w:eastAsia="zh-CN"/>
        </w:rPr>
        <w:t>，严格控制，</w:t>
      </w:r>
      <w:r>
        <w:rPr>
          <w:rFonts w:hint="eastAsia" w:ascii="宋体" w:hAnsi="宋体" w:eastAsia="宋体" w:cs="宋体"/>
          <w:color w:val="auto"/>
          <w:sz w:val="24"/>
          <w:szCs w:val="24"/>
          <w:lang w:eastAsia="zh-CN"/>
        </w:rPr>
        <w:t>开源节流</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减少不必要的开支。</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二、一般公共预算支出情况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基本</w:t>
      </w:r>
      <w:r>
        <w:rPr>
          <w:rFonts w:hint="eastAsia" w:ascii="宋体" w:hAnsi="宋体" w:eastAsia="宋体" w:cs="宋体"/>
          <w:color w:val="auto"/>
          <w:sz w:val="24"/>
          <w:szCs w:val="24"/>
          <w:lang w:eastAsia="zh-CN"/>
        </w:rPr>
        <w:t>及项目</w:t>
      </w:r>
      <w:r>
        <w:rPr>
          <w:rFonts w:hint="eastAsia" w:ascii="宋体" w:hAnsi="宋体" w:eastAsia="宋体" w:cs="宋体"/>
          <w:color w:val="auto"/>
          <w:sz w:val="24"/>
          <w:szCs w:val="24"/>
        </w:rPr>
        <w:t>支出情况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2022年一般公共预算收入131.36万元，2022年一般公共预算基本支出103.13万元，其中人员经费70.11万元，日常公用经费33.02万元，项目支出28.23万元。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三、政府性基金预算支出情况</w:t>
      </w:r>
      <w:r>
        <w:rPr>
          <w:rFonts w:hint="eastAsia" w:ascii="宋体" w:hAnsi="宋体" w:eastAsia="宋体" w:cs="宋体"/>
          <w:color w:val="auto"/>
          <w:sz w:val="24"/>
          <w:szCs w:val="24"/>
          <w:lang w:eastAsia="zh-CN"/>
        </w:rPr>
        <w:t>：无</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四、国有资本经营预算支出情况</w:t>
      </w:r>
      <w:r>
        <w:rPr>
          <w:rFonts w:hint="eastAsia" w:ascii="宋体" w:hAnsi="宋体" w:eastAsia="宋体" w:cs="宋体"/>
          <w:color w:val="auto"/>
          <w:sz w:val="24"/>
          <w:szCs w:val="24"/>
          <w:lang w:eastAsia="zh-CN"/>
        </w:rPr>
        <w:t>：无</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五、社会保险基金预算支出情况</w:t>
      </w:r>
      <w:r>
        <w:rPr>
          <w:rFonts w:hint="eastAsia" w:ascii="宋体" w:hAnsi="宋体" w:eastAsia="宋体" w:cs="宋体"/>
          <w:color w:val="auto"/>
          <w:sz w:val="24"/>
          <w:szCs w:val="24"/>
          <w:lang w:eastAsia="zh-CN"/>
        </w:rPr>
        <w:t>：无</w:t>
      </w:r>
    </w:p>
    <w:p>
      <w:pPr>
        <w:keepNext w:val="0"/>
        <w:keepLines w:val="0"/>
        <w:pageBreakBefore w:val="0"/>
        <w:kinsoku/>
        <w:wordWrap/>
        <w:overflowPunct/>
        <w:topLinePunct w:val="0"/>
        <w:autoSpaceDE/>
        <w:autoSpaceDN/>
        <w:bidi w:val="0"/>
        <w:adjustRightInd/>
        <w:snapToGrid/>
        <w:spacing w:line="600" w:lineRule="exact"/>
        <w:ind w:left="159" w:leftChars="76" w:firstLine="360" w:firstLineChars="1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六、部门整体支出绩效情况</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预算配置及预算管理：严格按照中华人民共和国预算法》《财政支出绩效评价管理暂行办法》（财预〔2011〕285号）《湖南省人民政府关于全面推进预算绩效管理的意见》（湘政发〔2012〕33号）《衡阳市人民政府关于全面推进预算绩效管理的实施意见》（衡政函〔2014〕73号）的文件精神，成立了以单位负责人牵头的绩效评价小组，对各科室的绩效采集资料进行了收集并对资料整理、汇总分析，制定了绩效评价考评措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固定资产管理：建立固定资产管理责任制，明确管理职责，落实岗位责任制，按照钱物分管的原则，也是符合内控管理两要，固定资产有专门的实物管理部门，负责固定资产的购置、处置、调配、报损，一切资产的进出都要通过实物管理部门。财会部门需有实物管理部门出据的手续才能付和记。我单位正在着手进行资产办公室悬挂固定资产卡片、标签制度，实行一房一卡，一物一个标签，卡、标签和实物相符。该办公室使用人为第一责任人，损坏、丢失要按价赔偿，移动资产必须经实物管理部门同意并办理相关手续后方可移动，未经同意移动而造成资产流失和去向不明的应向责任人作出相应的赔偿。第四是固定资产的增加减少都要有书面的依据</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（三）职责履行及各项指标完成情况分析：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 1、履职效益方面：（1）</w:t>
      </w:r>
      <w:r>
        <w:rPr>
          <w:rFonts w:hint="eastAsia" w:ascii="宋体" w:hAnsi="宋体" w:eastAsia="宋体" w:cs="宋体"/>
          <w:color w:val="auto"/>
          <w:sz w:val="24"/>
          <w:szCs w:val="24"/>
          <w:lang w:eastAsia="zh-CN"/>
        </w:rPr>
        <w:t>“新冠”疫情防控工作：</w:t>
      </w:r>
      <w:r>
        <w:rPr>
          <w:rFonts w:hint="eastAsia" w:ascii="宋体" w:hAnsi="宋体" w:eastAsia="宋体" w:cs="宋体"/>
          <w:color w:val="auto"/>
          <w:sz w:val="24"/>
          <w:szCs w:val="24"/>
        </w:rPr>
        <w:t>今年医疗机构疫情防控专项督查，石鼓区</w:t>
      </w:r>
      <w:r>
        <w:rPr>
          <w:rFonts w:hint="eastAsia" w:ascii="宋体" w:hAnsi="宋体" w:eastAsia="宋体" w:cs="宋体"/>
          <w:color w:val="auto"/>
          <w:sz w:val="24"/>
          <w:szCs w:val="24"/>
          <w:lang w:val="en-US" w:eastAsia="zh-CN"/>
        </w:rPr>
        <w:t>卫生计生综合监督执法局</w:t>
      </w:r>
      <w:r>
        <w:rPr>
          <w:rFonts w:hint="eastAsia" w:ascii="宋体" w:hAnsi="宋体" w:eastAsia="宋体" w:cs="宋体"/>
          <w:color w:val="auto"/>
          <w:sz w:val="24"/>
          <w:szCs w:val="24"/>
        </w:rPr>
        <w:t>处罚了一批医疗机构（一般行政处罚</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家，警告</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家），责令停业整顿家。通过疫情防控的专项督查，基本杜绝村卫生室、诊所等不具备发热门诊的基层医疗机构接诊发热病人的行为，规范了医务人员疫情信息的登记，增强了医务人员严格落实疫情防控措施的意识，积极有效地发挥基层医疗机构的哨点作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国家、省级双随机监督抽查工作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国家卫生健康委办公厅关于印发2022年国家随机监督抽查计划的通知》国卫办监督函[2022]201号文件、《湖南省卫生健康委关于印发2022年湖南省随机监督抽查计划的通知》湘卫函[2022]166号文件的精神，结合我区实际，制定我区《石鼓区卫生计生综合监督执法局“双随机、一公开”随机抽查工作方案》。依据该方案，我局于8月-11月集中力量开展了国家级及省级双随机监督抽查工作，现已全部完成。在抽查任务完成后按照“谁检查、谁录入、谁公开”的原则，已经将抽查结果信息及时通过石鼓区官方网站依法向社会公开。抽查结果信息包括：抽查未发现问题、发现问题已责令改正、行政处罚、无法联系（检查时单位已关闭等情形）等4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医疗卫生监督执法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依据制订的《2022年石鼓区打击非法行医、非法医疗美容专项行动方案》，卫生监督执法人员对全区一百多家医疗机构、生活美容单位进行排查，共下达卫生监督意见书80多份，我局一边开展医疗机构不良执业行为专项整治工作，一边加强了打击“黑诊所”、非法行医、非法医疗美容的力度，查处非法行医案1起，查处未落实医疗质量案2起。传染病类查处5起，其中医疗废物类3起，消毒类1起，疫情防控类1起。4月至6月开展污水专项督查，陪同区环保局、区卫健局对</w:t>
      </w:r>
      <w:r>
        <w:rPr>
          <w:rFonts w:hint="eastAsia" w:ascii="宋体" w:hAnsi="宋体" w:cs="宋体"/>
          <w:color w:val="auto"/>
          <w:sz w:val="24"/>
          <w:szCs w:val="24"/>
          <w:lang w:eastAsia="zh-CN"/>
        </w:rPr>
        <w:t>辖区内三家</w:t>
      </w:r>
      <w:r>
        <w:rPr>
          <w:rFonts w:hint="eastAsia" w:ascii="宋体" w:hAnsi="宋体" w:eastAsia="宋体" w:cs="宋体"/>
          <w:color w:val="auto"/>
          <w:sz w:val="24"/>
          <w:szCs w:val="24"/>
        </w:rPr>
        <w:t>医院污水进行</w:t>
      </w:r>
      <w:r>
        <w:rPr>
          <w:rFonts w:hint="eastAsia" w:ascii="宋体" w:hAnsi="宋体" w:cs="宋体"/>
          <w:color w:val="auto"/>
          <w:sz w:val="24"/>
          <w:szCs w:val="24"/>
          <w:lang w:eastAsia="zh-CN"/>
        </w:rPr>
        <w:t>抽查</w:t>
      </w:r>
      <w:r>
        <w:rPr>
          <w:rFonts w:hint="eastAsia" w:ascii="宋体" w:hAnsi="宋体" w:eastAsia="宋体" w:cs="宋体"/>
          <w:color w:val="auto"/>
          <w:sz w:val="24"/>
          <w:szCs w:val="24"/>
        </w:rPr>
        <w:t>督查。</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学校卫生监督执法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学校卫生监督执法依据制订的《石鼓区春季学期学校新冠肺炎疫情防控和生活饮用水卫生监督检查工作方案》上半年对所有学校开展疫情防控和饮用水卫生监督检查。于2月、8月对全区学校饮用水进行采样检测；9月份参与市里组织对托管机构的联合督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11月对石鼓区辖区内6所学校开展随机监督抽查，主要抽查</w:t>
      </w:r>
      <w:r>
        <w:rPr>
          <w:rFonts w:hint="default" w:ascii="宋体" w:hAnsi="宋体" w:eastAsia="宋体" w:cs="宋体"/>
          <w:color w:val="auto"/>
          <w:sz w:val="24"/>
          <w:szCs w:val="24"/>
        </w:rPr>
        <w:t>①</w:t>
      </w:r>
      <w:r>
        <w:rPr>
          <w:rFonts w:hint="eastAsia" w:ascii="宋体" w:hAnsi="宋体" w:eastAsia="宋体" w:cs="宋体"/>
          <w:color w:val="auto"/>
          <w:sz w:val="24"/>
          <w:szCs w:val="24"/>
        </w:rPr>
        <w:t>教室采光照明、教室人均面积、学校自制考试试卷纸张D65亮度及D65荧光亮度、字体字号、行空。</w:t>
      </w:r>
      <w:r>
        <w:rPr>
          <w:rFonts w:hint="default" w:ascii="宋体" w:hAnsi="宋体" w:eastAsia="宋体" w:cs="宋体"/>
          <w:color w:val="auto"/>
          <w:sz w:val="24"/>
          <w:szCs w:val="24"/>
        </w:rPr>
        <w:t>②</w:t>
      </w:r>
      <w:r>
        <w:rPr>
          <w:rFonts w:hint="eastAsia" w:ascii="宋体" w:hAnsi="宋体" w:eastAsia="宋体" w:cs="宋体"/>
          <w:color w:val="auto"/>
          <w:sz w:val="24"/>
          <w:szCs w:val="24"/>
        </w:rPr>
        <w:t>学校自建设施集中式供水和二次供水水质色度、浑浊度、臭和味、肉眼可见物、pH和消毒剂余量。对学校新冠肺炎疫情常态化防控措施落实情况进行监督检查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对幼儿园、小学进行疫情防控和饮用水开展日常监督检查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公共场所及饮用水卫生监督执法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依据《2022年石鼓区游泳场所专项监督执法方案》、《2022年石鼓区二次供水单位专项监督执法方案》、《2022年集中式供水单位饮用水专项检查方案》对石鼓区游泳场所、二次供水单位、农村集中式供水点开展专项监督检查。游泳场所对泳池水委托区疾控中心采样检测，二次供水单位结合省级双随机抽查任务委托第三方检测公司开展水质检测。所有抽检单位抽检结果均合格。农村集中式供水点的监督执法与区水利局联合开展，委托第三方检测公司对供水点水质进行检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职业及放射卫生监督检查：</w:t>
      </w:r>
      <w:r>
        <w:rPr>
          <w:rFonts w:hint="eastAsia" w:ascii="宋体" w:hAnsi="宋体" w:eastAsia="宋体" w:cs="宋体"/>
          <w:color w:val="auto"/>
          <w:sz w:val="24"/>
          <w:szCs w:val="24"/>
        </w:rPr>
        <w:t>依据《2022年石鼓区职业卫生专项检查方案》、《2022年石鼓区医疗机构射卫生专项检查方案》我局组织全体卫生监督员认真学习《中华人民共和国职业病防治法》和《放射诊疗管理规定》等相关法律法规，提升了卫生监督员执法水平，并明确了各自职责，加大对各医疗机构放射项目的卫生监督工作力度。我局加强了对医疗机构预防性卫生审查、放射防护管理、应急救援预案的完善和实施、放射工作人员健康监护和受照人员的防护等情况的监督检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养老机构专项监督执法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加大养老机构专项整治行动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参与区联合督查组督查养老机构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养老机构联席会议后参与全区养老机构联合督查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6月加大对养老机构日常监督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查处区政法部门交办养老诈骗专项行动线索单位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开展养老诈骗专项行动冲刺。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社会公众或服务对象满意度方面</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获得202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年衡阳市区卫生计生综合监督执法机构优秀等次单位。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七、</w:t>
      </w:r>
      <w:r>
        <w:rPr>
          <w:rFonts w:hint="eastAsia" w:ascii="宋体" w:hAnsi="宋体" w:eastAsia="宋体" w:cs="宋体"/>
          <w:color w:val="auto"/>
          <w:sz w:val="24"/>
          <w:szCs w:val="24"/>
        </w:rPr>
        <w:t>存在的问题及原因分析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一）由于执法局人员有限，新冠肺炎疫情期间需监督的单位类别多，范围广，数量超出承受能力，执法局对医疗机构、重点场所等单位进行检查，监督难以全覆盖。</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（二）对数量较多的美容美发的检查，事实上由执法局和社区卫生服务中心医疗小分队共同完成。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rPr>
        <w:t>）工作人员大部分时间都忙于疫情防控工作，造成对现制现售饮用水供水单位疏于监管。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八、</w:t>
      </w:r>
      <w:r>
        <w:rPr>
          <w:rFonts w:hint="eastAsia" w:ascii="宋体" w:hAnsi="宋体" w:eastAsia="宋体" w:cs="宋体"/>
          <w:color w:val="auto"/>
          <w:sz w:val="24"/>
          <w:szCs w:val="24"/>
        </w:rPr>
        <w:t>下一步改进措施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一）严格落实卫生行政执法“三项制度”，构建科学完善的执法体系，加大执法力度，对违反卫生行政法律法规的现象一律“零容忍”，发现一起查处一起。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（二）我局卫生监督执法队伍人数少不稳定，具备执法证的人员数目更少且年龄结构不合理，整体素质不强，建议加快队伍建议，提高综合执法能力。</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（三）规范落实好国家双随机任务要求，加强卫生监督及行政处罚的工作力度，突出重点，注重成效，加大推行“双随机</w:t>
      </w:r>
      <w:r>
        <w:rPr>
          <w:rFonts w:hint="eastAsia" w:ascii="宋体" w:hAnsi="宋体" w:cs="宋体"/>
          <w:color w:val="auto"/>
          <w:sz w:val="24"/>
          <w:szCs w:val="24"/>
          <w:lang w:eastAsia="zh-CN"/>
        </w:rPr>
        <w:t>、</w:t>
      </w:r>
      <w:r>
        <w:rPr>
          <w:rFonts w:hint="eastAsia" w:ascii="宋体" w:hAnsi="宋体" w:eastAsia="宋体" w:cs="宋体"/>
          <w:color w:val="auto"/>
          <w:sz w:val="24"/>
          <w:szCs w:val="24"/>
        </w:rPr>
        <w:t>一公开”，从市场主体名录库中随机抽取检查对象，从执法检查人员名录库中随机选派执法检查人员，做到全程留痕，实现责任可追溯。抓好专项整治工作。进一步加强卫生监督执法工作，开展行政执法文书、信访投诉处理等专项稽查工作，及时发现和纠正卫生监督执法工作中存在的问题。进一步将双随机监督抽查、各项专项监督检查工作与日常监督工作相结合，提高工作效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（四）加强饮用水卫生监督，特别是现制现售饮用水，每年至少开展两次专项监督检查。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九、绩效自评结果拟应用和公开情况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1.单位全年资金执行率100%，得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分，在职人员控制率控制≦100%以内得5分、预算控制率=0</w:t>
      </w:r>
      <w:r>
        <w:rPr>
          <w:rFonts w:hint="eastAsia" w:ascii="宋体" w:hAnsi="宋体" w:cs="宋体"/>
          <w:color w:val="auto"/>
          <w:sz w:val="24"/>
          <w:szCs w:val="24"/>
          <w:lang w:val="en-US" w:eastAsia="zh-CN"/>
        </w:rPr>
        <w:t>以</w:t>
      </w:r>
      <w:r>
        <w:rPr>
          <w:rFonts w:hint="eastAsia" w:ascii="宋体" w:hAnsi="宋体" w:eastAsia="宋体" w:cs="宋体"/>
          <w:color w:val="auto"/>
          <w:sz w:val="24"/>
          <w:szCs w:val="24"/>
          <w:lang w:val="en-US" w:eastAsia="zh-CN"/>
        </w:rPr>
        <w:t>内得5分、公用经费控制率≦100%</w:t>
      </w:r>
      <w:r>
        <w:rPr>
          <w:rFonts w:hint="eastAsia" w:ascii="宋体" w:hAnsi="宋体" w:cs="宋体"/>
          <w:color w:val="auto"/>
          <w:sz w:val="24"/>
          <w:szCs w:val="24"/>
          <w:lang w:val="en-US" w:eastAsia="zh-CN"/>
        </w:rPr>
        <w:t>以</w:t>
      </w:r>
      <w:r>
        <w:rPr>
          <w:rFonts w:hint="eastAsia" w:ascii="宋体" w:hAnsi="宋体" w:eastAsia="宋体" w:cs="宋体"/>
          <w:color w:val="auto"/>
          <w:sz w:val="24"/>
          <w:szCs w:val="24"/>
          <w:lang w:val="en-US" w:eastAsia="zh-CN"/>
        </w:rPr>
        <w:t>内得5分、“三公 经费” 控制率≦100%，</w:t>
      </w:r>
      <w:r>
        <w:rPr>
          <w:rFonts w:hint="eastAsia" w:ascii="宋体" w:hAnsi="宋体" w:eastAsia="宋体" w:cs="宋体"/>
          <w:color w:val="auto"/>
          <w:sz w:val="24"/>
          <w:szCs w:val="24"/>
        </w:rPr>
        <w:t>政</w:t>
      </w:r>
      <w:r>
        <w:rPr>
          <w:rFonts w:hint="eastAsia" w:ascii="宋体" w:hAnsi="宋体" w:eastAsia="宋体" w:cs="宋体"/>
          <w:color w:val="auto"/>
          <w:sz w:val="24"/>
          <w:szCs w:val="24"/>
          <w:lang w:val="en-US" w:eastAsia="zh-CN"/>
        </w:rPr>
        <w:t>府采购执行率不超标也无追加经费，得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重点工作实际完成率为100%，得5分，管理制度健全性，得5分，预决算信息公开内容完整、时效、真实、得10分，资金使用合规性，合规得10分。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3.社会效益指标：（1）、国家双随机任务</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2）、全部督查、及时处理打击涉及医疗废物、非法行医、非法医疗美容的违法犯罪行为，（3）、公共场所卫生监督覆盖率100%，（4）、学校卫生综合监督评价全年任务等各方面年度目标是否按时按标完成，四项都已完成得10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4、可持续影响指标：提升人群的普及率、加大卫生执法普法宣传、加大推行“双随机</w:t>
      </w:r>
      <w:r>
        <w:rPr>
          <w:rFonts w:hint="eastAsia" w:ascii="宋体" w:hAnsi="宋体" w:cs="宋体"/>
          <w:color w:val="auto"/>
          <w:sz w:val="24"/>
          <w:szCs w:val="24"/>
          <w:lang w:val="en-US" w:eastAsia="zh-CN"/>
        </w:rPr>
        <w:t>、</w:t>
      </w:r>
      <w:bookmarkStart w:id="0" w:name="_GoBack"/>
      <w:bookmarkEnd w:id="0"/>
      <w:r>
        <w:rPr>
          <w:rFonts w:hint="eastAsia" w:ascii="宋体" w:hAnsi="宋体" w:eastAsia="宋体" w:cs="宋体"/>
          <w:color w:val="auto"/>
          <w:sz w:val="24"/>
          <w:szCs w:val="24"/>
          <w:lang w:val="en-US" w:eastAsia="zh-CN"/>
        </w:rPr>
        <w:t>一公开”，得10分。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5、社会公众或服务对象满意度为满意，得10分。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480" w:firstLineChars="200"/>
        <w:jc w:val="both"/>
        <w:textAlignment w:val="auto"/>
        <w:outlineLvl w:val="9"/>
        <w:rPr>
          <w:rFonts w:hint="eastAsia" w:ascii="宋体" w:hAnsi="宋体" w:eastAsia="宋体" w:cs="宋体"/>
          <w:b w:val="0"/>
          <w:i w:val="0"/>
          <w:kern w:val="2"/>
          <w:sz w:val="24"/>
          <w:szCs w:val="24"/>
          <w:lang w:val="en-US" w:eastAsia="zh-CN" w:bidi="ar-SA"/>
        </w:rPr>
      </w:pPr>
      <w:r>
        <w:rPr>
          <w:rFonts w:hint="eastAsia" w:ascii="宋体" w:hAnsi="宋体" w:eastAsia="宋体" w:cs="宋体"/>
          <w:color w:val="auto"/>
          <w:sz w:val="24"/>
          <w:szCs w:val="24"/>
          <w:lang w:val="en-US" w:eastAsia="zh-CN"/>
        </w:rPr>
        <w:t>根据上述各项分析，绩效评定等级为“优”。</w:t>
      </w:r>
    </w:p>
    <w:sectPr>
      <w:headerReference r:id="rId3" w:type="default"/>
      <w:footerReference r:id="rId4" w:type="default"/>
      <w:footerReference r:id="rId5" w:type="even"/>
      <w:pgSz w:w="11905" w:h="16837"/>
      <w:pgMar w:top="1440" w:right="1701" w:bottom="1440" w:left="1701" w:header="720" w:footer="1077" w:gutter="0"/>
      <w:pgNumType w:fmt="decimal" w:start="1"/>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Style w:val="8"/>
                              <w:rFonts w:hint="eastAsia" w:ascii="仿宋_GB2312" w:eastAsia="仿宋_GB2312"/>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fldChar w:fldCharType="begin"/>
                          </w:r>
                          <w:r>
                            <w:rPr>
                              <w:rStyle w:val="8"/>
                              <w:rFonts w:hint="default" w:ascii="Times New Roman" w:hAnsi="Times New Roman" w:eastAsia="仿宋_GB2312" w:cs="Times New Roman"/>
                              <w:sz w:val="28"/>
                              <w:szCs w:val="28"/>
                            </w:rPr>
                            <w:instrText xml:space="preserve">PAGE  </w:instrText>
                          </w:r>
                          <w:r>
                            <w:rPr>
                              <w:rFonts w:hint="default" w:ascii="Times New Roman" w:hAnsi="Times New Roman" w:eastAsia="仿宋_GB2312" w:cs="Times New Roman"/>
                              <w:sz w:val="28"/>
                              <w:szCs w:val="28"/>
                            </w:rPr>
                            <w:fldChar w:fldCharType="separate"/>
                          </w:r>
                          <w:r>
                            <w:rPr>
                              <w:rStyle w:val="8"/>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 xml:space="preserve"> —</w:t>
                          </w:r>
                        </w:p>
                      </w:txbxContent>
                    </wps:txbx>
                    <wps:bodyPr vert="horz" wrap="none" lIns="0" tIns="0" rIns="0" bIns="0" upright="false">
                      <a:spAutoFit/>
                    </wps:bodyPr>
                  </wps:wsp>
                </a:graphicData>
              </a:graphic>
            </wp:anchor>
          </w:drawing>
        </mc:Choice>
        <mc:Fallback>
          <w:pict>
            <v:rect id="文本框1" o:spid="_x0000_s1026" o:spt="1" style="position:absolute;left:0pt;height:144pt;width:144pt;mso-position-horizontal:outside;mso-position-horizontal-relative:margin;mso-position-vertical:top;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uXW5UtAAAAAFAQAADwAAAAAAAAABACAAAAA4AAAAZHJzL2Rvd25yZXYu&#10;eG1sUEsBAhQAFAAAAAgAh07iQL1J11+0AQAAUAMAAA4AAAAAAAAAAQAgAAAANQEAAGRycy9lMm9E&#10;b2MueG1sUEsFBgAAAAAGAAYAWQEAAFsFAAAAAA==&#10;">
              <v:fill on="f" focussize="0,0"/>
              <v:stroke on="f"/>
              <v:imagedata o:title=""/>
              <o:lock v:ext="edit" aspectratio="f"/>
              <v:textbox inset="0mm,0mm,0mm,0mm" style="mso-fit-shape-to-text:t;">
                <w:txbxContent>
                  <w:p>
                    <w:pPr>
                      <w:pStyle w:val="3"/>
                      <w:rPr>
                        <w:rStyle w:val="8"/>
                        <w:rFonts w:hint="eastAsia" w:ascii="仿宋_GB2312" w:eastAsia="仿宋_GB2312"/>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fldChar w:fldCharType="begin"/>
                    </w:r>
                    <w:r>
                      <w:rPr>
                        <w:rStyle w:val="8"/>
                        <w:rFonts w:hint="default" w:ascii="Times New Roman" w:hAnsi="Times New Roman" w:eastAsia="仿宋_GB2312" w:cs="Times New Roman"/>
                        <w:sz w:val="28"/>
                        <w:szCs w:val="28"/>
                      </w:rPr>
                      <w:instrText xml:space="preserve">PAGE  </w:instrText>
                    </w:r>
                    <w:r>
                      <w:rPr>
                        <w:rFonts w:hint="default" w:ascii="Times New Roman" w:hAnsi="Times New Roman" w:eastAsia="仿宋_GB2312" w:cs="Times New Roman"/>
                        <w:sz w:val="28"/>
                        <w:szCs w:val="28"/>
                      </w:rPr>
                      <w:fldChar w:fldCharType="separate"/>
                    </w:r>
                    <w:r>
                      <w:rPr>
                        <w:rStyle w:val="8"/>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5</w:t>
    </w:r>
    <w:r>
      <w:fldChar w:fldCharType="end"/>
    </w:r>
  </w:p>
  <w:p>
    <w:pPr>
      <w:pStyle w:val="3"/>
      <w:ind w:right="360" w:firstLine="360"/>
      <w:rPr>
        <w:sz w:val="28"/>
        <w:szCs w:val="28"/>
      </w:rPr>
    </w:pPr>
    <w:r>
      <w:rPr>
        <w:rStyle w:val="8"/>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MmQ2OTAyYzMxNGZlY2RjNzgzMjdiNWYwOTU1ODUifQ=="/>
  </w:docVars>
  <w:rsids>
    <w:rsidRoot w:val="00172A27"/>
    <w:rsid w:val="010C7DF4"/>
    <w:rsid w:val="01C26988"/>
    <w:rsid w:val="02CB4794"/>
    <w:rsid w:val="02DE6CFE"/>
    <w:rsid w:val="04401041"/>
    <w:rsid w:val="044C133F"/>
    <w:rsid w:val="057A0025"/>
    <w:rsid w:val="060C361A"/>
    <w:rsid w:val="06272709"/>
    <w:rsid w:val="0896541C"/>
    <w:rsid w:val="08A1065F"/>
    <w:rsid w:val="09AC442B"/>
    <w:rsid w:val="0BB4445C"/>
    <w:rsid w:val="0D1C2B5A"/>
    <w:rsid w:val="0D7539D1"/>
    <w:rsid w:val="0D8751F0"/>
    <w:rsid w:val="0E2E3E67"/>
    <w:rsid w:val="0E3E7126"/>
    <w:rsid w:val="0E5429E2"/>
    <w:rsid w:val="106D0B81"/>
    <w:rsid w:val="10A63267"/>
    <w:rsid w:val="11AB3F5C"/>
    <w:rsid w:val="11E551AC"/>
    <w:rsid w:val="125024E9"/>
    <w:rsid w:val="13942E37"/>
    <w:rsid w:val="15EC2B89"/>
    <w:rsid w:val="17BF01D9"/>
    <w:rsid w:val="17DA2884"/>
    <w:rsid w:val="1B9C350C"/>
    <w:rsid w:val="1BA36BC7"/>
    <w:rsid w:val="1BA50C27"/>
    <w:rsid w:val="1BD21B58"/>
    <w:rsid w:val="1C6907A3"/>
    <w:rsid w:val="1DD62F2B"/>
    <w:rsid w:val="1E5E4EF1"/>
    <w:rsid w:val="1F62239C"/>
    <w:rsid w:val="20B141AA"/>
    <w:rsid w:val="210E7FC4"/>
    <w:rsid w:val="222912C4"/>
    <w:rsid w:val="22AA17B9"/>
    <w:rsid w:val="230B1ABA"/>
    <w:rsid w:val="234F5517"/>
    <w:rsid w:val="24A748CE"/>
    <w:rsid w:val="25536A6C"/>
    <w:rsid w:val="25F240D7"/>
    <w:rsid w:val="2636458C"/>
    <w:rsid w:val="26A62644"/>
    <w:rsid w:val="294720B8"/>
    <w:rsid w:val="298062F8"/>
    <w:rsid w:val="2B51698E"/>
    <w:rsid w:val="2C427A2A"/>
    <w:rsid w:val="2E1D44FA"/>
    <w:rsid w:val="2E8D4DCE"/>
    <w:rsid w:val="2EE811A8"/>
    <w:rsid w:val="2F1F1146"/>
    <w:rsid w:val="2F7E23A5"/>
    <w:rsid w:val="2FC8036E"/>
    <w:rsid w:val="31E96C87"/>
    <w:rsid w:val="31F63A43"/>
    <w:rsid w:val="3245574B"/>
    <w:rsid w:val="32F06CED"/>
    <w:rsid w:val="3364126D"/>
    <w:rsid w:val="3496080A"/>
    <w:rsid w:val="35D52600"/>
    <w:rsid w:val="37954F59"/>
    <w:rsid w:val="38403B54"/>
    <w:rsid w:val="397A43FB"/>
    <w:rsid w:val="3CCD74B9"/>
    <w:rsid w:val="3CF66CFB"/>
    <w:rsid w:val="3CFF4830"/>
    <w:rsid w:val="3DCC6348"/>
    <w:rsid w:val="3E3729B2"/>
    <w:rsid w:val="3E525FF2"/>
    <w:rsid w:val="3E84358E"/>
    <w:rsid w:val="3EE6577F"/>
    <w:rsid w:val="406C559B"/>
    <w:rsid w:val="40C63D02"/>
    <w:rsid w:val="40E25FD1"/>
    <w:rsid w:val="40F35BBD"/>
    <w:rsid w:val="418211EE"/>
    <w:rsid w:val="41992C82"/>
    <w:rsid w:val="43692304"/>
    <w:rsid w:val="437A2003"/>
    <w:rsid w:val="47690DCA"/>
    <w:rsid w:val="48617914"/>
    <w:rsid w:val="4A0E4373"/>
    <w:rsid w:val="4C8D591A"/>
    <w:rsid w:val="4DE76F7B"/>
    <w:rsid w:val="50B43004"/>
    <w:rsid w:val="50F20282"/>
    <w:rsid w:val="517D79B2"/>
    <w:rsid w:val="539B1ECA"/>
    <w:rsid w:val="55052414"/>
    <w:rsid w:val="556235BC"/>
    <w:rsid w:val="56146FBB"/>
    <w:rsid w:val="567B5C00"/>
    <w:rsid w:val="5853493B"/>
    <w:rsid w:val="59121A81"/>
    <w:rsid w:val="5A0E1AE6"/>
    <w:rsid w:val="5C4466AC"/>
    <w:rsid w:val="5DB26B6E"/>
    <w:rsid w:val="5E124E3C"/>
    <w:rsid w:val="5F3A0761"/>
    <w:rsid w:val="5FEF2600"/>
    <w:rsid w:val="607223C1"/>
    <w:rsid w:val="60B011EB"/>
    <w:rsid w:val="60D707ED"/>
    <w:rsid w:val="62EF107F"/>
    <w:rsid w:val="630B21B1"/>
    <w:rsid w:val="63275050"/>
    <w:rsid w:val="63702264"/>
    <w:rsid w:val="64081462"/>
    <w:rsid w:val="64744EC0"/>
    <w:rsid w:val="65136487"/>
    <w:rsid w:val="654D213F"/>
    <w:rsid w:val="658630FD"/>
    <w:rsid w:val="664009BC"/>
    <w:rsid w:val="691A175F"/>
    <w:rsid w:val="6A3B5030"/>
    <w:rsid w:val="6C234217"/>
    <w:rsid w:val="6C5551FD"/>
    <w:rsid w:val="6C5D4887"/>
    <w:rsid w:val="6CB04C0C"/>
    <w:rsid w:val="6D3E250F"/>
    <w:rsid w:val="6D474878"/>
    <w:rsid w:val="6D7E4CD5"/>
    <w:rsid w:val="6E5F2628"/>
    <w:rsid w:val="6E742584"/>
    <w:rsid w:val="70C311BB"/>
    <w:rsid w:val="726C71D7"/>
    <w:rsid w:val="72932477"/>
    <w:rsid w:val="749439AB"/>
    <w:rsid w:val="75905A1E"/>
    <w:rsid w:val="75B44AB1"/>
    <w:rsid w:val="77915FC7"/>
    <w:rsid w:val="78CE1F64"/>
    <w:rsid w:val="7AE143F0"/>
    <w:rsid w:val="7BB0632B"/>
    <w:rsid w:val="7C350C51"/>
    <w:rsid w:val="7C8B65E5"/>
    <w:rsid w:val="7D507A9E"/>
    <w:rsid w:val="7D626836"/>
    <w:rsid w:val="7E8F4F51"/>
    <w:rsid w:val="7F5B73F2"/>
    <w:rsid w:val="7FAE0B6D"/>
    <w:rsid w:val="DFFF03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kern w:val="2"/>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default" w:ascii="微软雅黑" w:hAnsi="微软雅黑" w:eastAsia="微软雅黑" w:cs="微软雅黑"/>
      <w:kern w:val="0"/>
      <w:sz w:val="24"/>
      <w:lang w:val="en-US" w:eastAsia="zh-CN" w:bidi="ar"/>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Emphasis"/>
    <w:basedOn w:val="7"/>
    <w:qFormat/>
    <w:uiPriority w:val="0"/>
    <w:rPr>
      <w:rFonts w:ascii="微软雅黑" w:hAnsi="微软雅黑" w:eastAsia="微软雅黑" w:cs="微软雅黑"/>
    </w:rPr>
  </w:style>
  <w:style w:type="character" w:styleId="11">
    <w:name w:val="Hyperlink"/>
    <w:basedOn w:val="7"/>
    <w:qFormat/>
    <w:uiPriority w:val="0"/>
    <w:rPr>
      <w:color w:val="333333"/>
      <w:u w:val="none"/>
    </w:rPr>
  </w:style>
  <w:style w:type="character" w:customStyle="1" w:styleId="12">
    <w:name w:val="a2"/>
    <w:basedOn w:val="7"/>
    <w:qFormat/>
    <w:uiPriority w:val="0"/>
  </w:style>
  <w:style w:type="character" w:customStyle="1" w:styleId="13">
    <w:name w:val="last"/>
    <w:basedOn w:val="7"/>
    <w:qFormat/>
    <w:uiPriority w:val="0"/>
  </w:style>
  <w:style w:type="character" w:customStyle="1" w:styleId="14">
    <w:name w:val="line1"/>
    <w:basedOn w:val="7"/>
    <w:qFormat/>
    <w:uiPriority w:val="0"/>
  </w:style>
  <w:style w:type="character" w:customStyle="1" w:styleId="15">
    <w:name w:val="n5"/>
    <w:basedOn w:val="7"/>
    <w:qFormat/>
    <w:uiPriority w:val="0"/>
  </w:style>
  <w:style w:type="character" w:customStyle="1" w:styleId="16">
    <w:name w:val="Plain Text Char"/>
    <w:basedOn w:val="7"/>
    <w:link w:val="2"/>
    <w:qFormat/>
    <w:uiPriority w:val="0"/>
    <w:rPr>
      <w:rFonts w:ascii="宋体" w:hAnsi="Courier New" w:eastAsia="宋体"/>
      <w:kern w:val="2"/>
      <w:sz w:val="21"/>
      <w:szCs w:val="21"/>
      <w:lang w:val="en-US" w:eastAsia="zh-CN" w:bidi="ar-SA"/>
    </w:rPr>
  </w:style>
  <w:style w:type="character" w:customStyle="1" w:styleId="17">
    <w:name w:val="line"/>
    <w:basedOn w:val="7"/>
    <w:qFormat/>
    <w:uiPriority w:val="0"/>
  </w:style>
  <w:style w:type="character" w:customStyle="1" w:styleId="18">
    <w:name w:val="n4"/>
    <w:basedOn w:val="7"/>
    <w:qFormat/>
    <w:uiPriority w:val="0"/>
  </w:style>
  <w:style w:type="character" w:customStyle="1" w:styleId="19">
    <w:name w:val="a3"/>
    <w:basedOn w:val="7"/>
    <w:qFormat/>
    <w:uiPriority w:val="0"/>
  </w:style>
  <w:style w:type="character" w:customStyle="1" w:styleId="20">
    <w:name w:val="text"/>
    <w:basedOn w:val="7"/>
    <w:qFormat/>
    <w:uiPriority w:val="0"/>
    <w:rPr>
      <w:color w:val="666666"/>
    </w:rPr>
  </w:style>
  <w:style w:type="character" w:customStyle="1" w:styleId="21">
    <w:name w:val="bsharetext"/>
    <w:basedOn w:val="7"/>
    <w:qFormat/>
    <w:uiPriority w:val="0"/>
  </w:style>
  <w:style w:type="character" w:customStyle="1" w:styleId="22">
    <w:name w:val="a1"/>
    <w:basedOn w:val="7"/>
    <w:qFormat/>
    <w:uiPriority w:val="0"/>
  </w:style>
  <w:style w:type="character" w:customStyle="1" w:styleId="23">
    <w:name w:val="after"/>
    <w:basedOn w:val="7"/>
    <w:qFormat/>
    <w:uiPriority w:val="0"/>
    <w:rPr>
      <w:shd w:val="clear" w:color="auto" w:fill="FFFFFF"/>
    </w:rPr>
  </w:style>
  <w:style w:type="character" w:customStyle="1" w:styleId="24">
    <w:name w:val="a4"/>
    <w:basedOn w:val="7"/>
    <w:qFormat/>
    <w:uiPriority w:val="0"/>
  </w:style>
  <w:style w:type="character" w:customStyle="1" w:styleId="25">
    <w:name w:val="n2"/>
    <w:basedOn w:val="7"/>
    <w:qFormat/>
    <w:uiPriority w:val="0"/>
  </w:style>
  <w:style w:type="character" w:customStyle="1" w:styleId="26">
    <w:name w:val="n1"/>
    <w:basedOn w:val="7"/>
    <w:qFormat/>
    <w:uiPriority w:val="0"/>
  </w:style>
  <w:style w:type="character" w:customStyle="1" w:styleId="27">
    <w:name w:val="n3"/>
    <w:basedOn w:val="7"/>
    <w:qFormat/>
    <w:uiPriority w:val="0"/>
  </w:style>
  <w:style w:type="paragraph" w:customStyle="1" w:styleId="28">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Pages>
  <Words>3433</Words>
  <Characters>3618</Characters>
  <Lines>23</Lines>
  <Paragraphs>6</Paragraphs>
  <TotalTime>10</TotalTime>
  <ScaleCrop>false</ScaleCrop>
  <LinksUpToDate>false</LinksUpToDate>
  <CharactersWithSpaces>3624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2020-06-30T15:57:00Z</dcterms:created>
  <dc:creator>Admin</dc:creator>
  <cp:lastModifiedBy>kylin</cp:lastModifiedBy>
  <cp:lastPrinted>2020-07-09T09:55:00Z</cp:lastPrinted>
  <dcterms:modified xsi:type="dcterms:W3CDTF">2024-03-15T19:48:50Z</dcterms:modified>
  <dc:title>石财发〔2019〕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E403E9BCC1674D24AD361155179E220F_13</vt:lpwstr>
  </property>
</Properties>
</file>