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040A7">
      <w:pPr>
        <w:pStyle w:val="6"/>
        <w:spacing w:before="49"/>
        <w:ind w:left="959"/>
        <w:rPr>
          <w:rFonts w:ascii="Times New Roman"/>
          <w:b/>
          <w:bCs/>
          <w:sz w:val="20"/>
        </w:rPr>
      </w:pPr>
      <w:r>
        <w:rPr>
          <w:b/>
          <w:bCs/>
          <w:w w:val="95"/>
        </w:rPr>
        <w:t>附件</w:t>
      </w:r>
      <w:r>
        <w:rPr>
          <w:rFonts w:ascii="Times New Roman" w:eastAsia="Times New Roman"/>
          <w:b/>
          <w:bCs/>
          <w:spacing w:val="-10"/>
          <w:w w:val="95"/>
        </w:rPr>
        <w:t>7</w:t>
      </w:r>
    </w:p>
    <w:p w14:paraId="6311C817">
      <w:pPr>
        <w:pStyle w:val="6"/>
        <w:rPr>
          <w:rFonts w:ascii="Times New Roman"/>
          <w:sz w:val="20"/>
        </w:rPr>
      </w:pPr>
    </w:p>
    <w:p w14:paraId="102BA220">
      <w:pPr>
        <w:pStyle w:val="6"/>
        <w:rPr>
          <w:rFonts w:ascii="Times New Roman"/>
          <w:sz w:val="20"/>
        </w:rPr>
      </w:pPr>
    </w:p>
    <w:p w14:paraId="13D81C1B">
      <w:pPr>
        <w:pStyle w:val="6"/>
        <w:rPr>
          <w:rFonts w:ascii="Times New Roman"/>
          <w:sz w:val="20"/>
        </w:rPr>
      </w:pPr>
    </w:p>
    <w:p w14:paraId="1FC7EA75">
      <w:pPr>
        <w:pStyle w:val="6"/>
        <w:rPr>
          <w:rFonts w:ascii="Times New Roman"/>
          <w:sz w:val="20"/>
        </w:rPr>
      </w:pPr>
    </w:p>
    <w:p w14:paraId="54918FCD">
      <w:pPr>
        <w:pStyle w:val="6"/>
        <w:spacing w:before="8"/>
        <w:rPr>
          <w:rFonts w:ascii="Times New Roman"/>
          <w:sz w:val="26"/>
        </w:rPr>
      </w:pPr>
    </w:p>
    <w:p w14:paraId="6B1208C5">
      <w:pPr>
        <w:pStyle w:val="3"/>
        <w:rPr>
          <w:rFonts w:hint="eastAsia" w:asciiTheme="minorEastAsia" w:hAnsiTheme="minorEastAsia" w:eastAsiaTheme="minorEastAsia" w:cstheme="minorEastAsia"/>
          <w:b/>
          <w:bCs/>
          <w:spacing w:val="-2"/>
          <w:sz w:val="48"/>
          <w:szCs w:val="48"/>
          <w:lang w:val="en-US" w:eastAsia="zh-CN" w:bidi="ar-SA"/>
        </w:rPr>
      </w:pPr>
      <w:r>
        <w:rPr>
          <w:rFonts w:hint="eastAsia" w:asciiTheme="minorEastAsia" w:hAnsiTheme="minorEastAsia" w:eastAsiaTheme="minorEastAsia" w:cstheme="minorEastAsia"/>
          <w:b/>
          <w:bCs/>
          <w:spacing w:val="-2"/>
          <w:sz w:val="48"/>
          <w:szCs w:val="48"/>
          <w:lang w:val="en-US" w:eastAsia="zh-CN" w:bidi="ar-SA"/>
        </w:rPr>
        <w:t>项目支出绩效自评汇总报告</w:t>
      </w:r>
    </w:p>
    <w:p w14:paraId="25191D44">
      <w:pPr>
        <w:pStyle w:val="5"/>
        <w:spacing w:before="68"/>
        <w:ind w:right="27"/>
        <w:rPr>
          <w:rFonts w:hint="eastAsia" w:ascii="PMingLiU" w:eastAsia="PMingLiU"/>
        </w:rPr>
      </w:pPr>
      <w:r>
        <w:rPr>
          <w:rFonts w:hint="eastAsia" w:ascii="PMingLiU" w:eastAsia="PMingLiU"/>
        </w:rPr>
        <w:t>（</w:t>
      </w:r>
      <w:r>
        <w:rPr>
          <w:rFonts w:ascii="Times New Roman" w:eastAsia="Times New Roman"/>
        </w:rPr>
        <w:t>2023</w:t>
      </w:r>
      <w:r>
        <w:rPr>
          <w:rFonts w:hint="eastAsia" w:ascii="PMingLiU" w:eastAsia="PMingLiU"/>
        </w:rPr>
        <w:t>年度</w:t>
      </w:r>
      <w:r>
        <w:rPr>
          <w:rFonts w:hint="eastAsia" w:ascii="PMingLiU" w:eastAsia="PMingLiU"/>
          <w:spacing w:val="-10"/>
        </w:rPr>
        <w:t>）</w:t>
      </w:r>
    </w:p>
    <w:p w14:paraId="4664C5B2">
      <w:pPr>
        <w:pStyle w:val="6"/>
        <w:rPr>
          <w:rFonts w:ascii="PMingLiU"/>
          <w:sz w:val="42"/>
        </w:rPr>
      </w:pPr>
    </w:p>
    <w:p w14:paraId="755F4F1B">
      <w:pPr>
        <w:pStyle w:val="6"/>
        <w:rPr>
          <w:rFonts w:ascii="PMingLiU"/>
          <w:sz w:val="42"/>
        </w:rPr>
      </w:pPr>
    </w:p>
    <w:p w14:paraId="7BF4ECF5">
      <w:pPr>
        <w:pStyle w:val="6"/>
        <w:rPr>
          <w:rFonts w:ascii="PMingLiU"/>
          <w:sz w:val="42"/>
        </w:rPr>
      </w:pPr>
    </w:p>
    <w:p w14:paraId="2E2EB314">
      <w:pPr>
        <w:pStyle w:val="6"/>
        <w:rPr>
          <w:rFonts w:ascii="PMingLiU"/>
          <w:sz w:val="42"/>
        </w:rPr>
      </w:pPr>
    </w:p>
    <w:p w14:paraId="006B73C3">
      <w:pPr>
        <w:pStyle w:val="6"/>
        <w:rPr>
          <w:rFonts w:ascii="PMingLiU"/>
          <w:sz w:val="42"/>
        </w:rPr>
      </w:pPr>
    </w:p>
    <w:p w14:paraId="02D80773">
      <w:pPr>
        <w:pStyle w:val="6"/>
        <w:rPr>
          <w:rFonts w:ascii="PMingLiU"/>
          <w:sz w:val="42"/>
        </w:rPr>
      </w:pPr>
    </w:p>
    <w:p w14:paraId="5D6E19EB">
      <w:pPr>
        <w:pStyle w:val="6"/>
        <w:rPr>
          <w:rFonts w:ascii="PMingLiU"/>
          <w:sz w:val="59"/>
        </w:rPr>
      </w:pPr>
    </w:p>
    <w:p w14:paraId="71CDE397">
      <w:pPr>
        <w:keepNext w:val="0"/>
        <w:keepLines w:val="0"/>
        <w:pageBreakBefore w:val="0"/>
        <w:widowControl w:val="0"/>
        <w:kinsoku/>
        <w:wordWrap/>
        <w:overflowPunct/>
        <w:topLinePunct w:val="0"/>
        <w:autoSpaceDE w:val="0"/>
        <w:autoSpaceDN w:val="0"/>
        <w:bidi w:val="0"/>
        <w:adjustRightInd/>
        <w:snapToGrid/>
        <w:spacing w:before="0" w:line="600" w:lineRule="exact"/>
        <w:ind w:left="3577" w:right="3577" w:firstLine="0"/>
        <w:jc w:val="center"/>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单位名称（公章）：</w:t>
      </w:r>
    </w:p>
    <w:p w14:paraId="1E173A46">
      <w:pPr>
        <w:keepNext w:val="0"/>
        <w:keepLines w:val="0"/>
        <w:pageBreakBefore w:val="0"/>
        <w:widowControl w:val="0"/>
        <w:kinsoku/>
        <w:wordWrap/>
        <w:overflowPunct/>
        <w:topLinePunct w:val="0"/>
        <w:autoSpaceDE w:val="0"/>
        <w:autoSpaceDN w:val="0"/>
        <w:bidi w:val="0"/>
        <w:adjustRightInd/>
        <w:snapToGrid/>
        <w:spacing w:before="0" w:line="600" w:lineRule="exact"/>
        <w:ind w:left="3577" w:right="3577" w:firstLine="0"/>
        <w:jc w:val="center"/>
        <w:textAlignment w:val="auto"/>
        <w:rPr>
          <w:sz w:val="36"/>
        </w:rPr>
      </w:pPr>
      <w:r>
        <w:rPr>
          <w:rFonts w:hint="eastAsia" w:ascii="Times New Roman" w:hAnsi="Times New Roman" w:eastAsia="仿宋_GB2312" w:cs="Times New Roman"/>
          <w:color w:val="000000"/>
          <w:kern w:val="2"/>
          <w:sz w:val="32"/>
          <w:szCs w:val="32"/>
          <w:lang w:val="en-US" w:eastAsia="zh-CN" w:bidi="ar-SA"/>
        </w:rPr>
        <w:t>主要负责人签字：</w:t>
      </w:r>
    </w:p>
    <w:p w14:paraId="34100DFA">
      <w:pPr>
        <w:pStyle w:val="6"/>
        <w:spacing w:before="6"/>
        <w:rPr>
          <w:rFonts w:hint="eastAsia" w:ascii="Times New Roman" w:hAnsi="Times New Roman" w:eastAsia="仿宋_GB2312" w:cs="Times New Roman"/>
          <w:color w:val="000000"/>
          <w:kern w:val="2"/>
          <w:sz w:val="32"/>
          <w:szCs w:val="32"/>
          <w:lang w:val="en-US" w:eastAsia="zh-CN" w:bidi="ar-SA"/>
        </w:rPr>
      </w:pPr>
    </w:p>
    <w:p w14:paraId="2200FA4D">
      <w:pPr>
        <w:pStyle w:val="6"/>
        <w:tabs>
          <w:tab w:val="left" w:pos="802"/>
        </w:tabs>
        <w:ind w:left="1"/>
        <w:jc w:val="cente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年</w:t>
      </w:r>
      <w:r>
        <w:rPr>
          <w:rFonts w:hint="eastAsia" w:ascii="Times New Roman" w:hAnsi="Times New Roman" w:eastAsia="仿宋_GB2312" w:cs="Times New Roman"/>
          <w:color w:val="000000"/>
          <w:kern w:val="2"/>
          <w:sz w:val="32"/>
          <w:szCs w:val="32"/>
          <w:lang w:val="en-US" w:eastAsia="zh-CN" w:bidi="ar-SA"/>
        </w:rPr>
        <w:tab/>
      </w:r>
      <w:r>
        <w:rPr>
          <w:rFonts w:hint="eastAsia" w:ascii="Times New Roman" w:hAnsi="Times New Roman" w:eastAsia="仿宋_GB2312" w:cs="Times New Roman"/>
          <w:color w:val="000000"/>
          <w:kern w:val="2"/>
          <w:sz w:val="32"/>
          <w:szCs w:val="32"/>
          <w:lang w:val="en-US" w:eastAsia="zh-CN" w:bidi="ar-SA"/>
        </w:rPr>
        <w:t>月    日</w:t>
      </w:r>
    </w:p>
    <w:p w14:paraId="13CE627D">
      <w:pPr>
        <w:spacing w:after="0"/>
        <w:jc w:val="center"/>
        <w:sectPr>
          <w:pgSz w:w="11900" w:h="16840"/>
          <w:pgMar w:top="1380" w:right="840" w:bottom="1260" w:left="840" w:header="0" w:footer="1074" w:gutter="0"/>
          <w:pgNumType w:fmt="decimal"/>
          <w:cols w:space="720" w:num="1"/>
        </w:sectPr>
      </w:pPr>
    </w:p>
    <w:p w14:paraId="16D1B982">
      <w:pPr>
        <w:pStyle w:val="4"/>
        <w:rPr>
          <w:rFonts w:hint="eastAsia" w:asciiTheme="minorEastAsia" w:hAnsiTheme="minorEastAsia" w:eastAsiaTheme="minorEastAsia" w:cstheme="minorEastAsia"/>
          <w:b/>
          <w:bCs/>
          <w:spacing w:val="-2"/>
          <w:sz w:val="48"/>
          <w:szCs w:val="48"/>
          <w:lang w:val="en-US" w:eastAsia="zh-CN" w:bidi="ar-SA"/>
        </w:rPr>
      </w:pPr>
      <w:r>
        <w:rPr>
          <w:rFonts w:hint="eastAsia" w:asciiTheme="minorEastAsia" w:hAnsiTheme="minorEastAsia" w:eastAsiaTheme="minorEastAsia" w:cstheme="minorEastAsia"/>
          <w:b/>
          <w:bCs/>
          <w:spacing w:val="-2"/>
          <w:sz w:val="48"/>
          <w:szCs w:val="48"/>
          <w:lang w:val="en-US" w:eastAsia="zh-CN" w:bidi="ar-SA"/>
        </w:rPr>
        <w:t>项目支出绩效自评汇总报告</w:t>
      </w:r>
    </w:p>
    <w:p w14:paraId="2926F447">
      <w:pPr>
        <w:pStyle w:val="6"/>
      </w:pPr>
    </w:p>
    <w:p w14:paraId="6BD30959">
      <w:pPr>
        <w:pStyle w:val="6"/>
        <w:spacing w:before="9"/>
        <w:rPr>
          <w:sz w:val="29"/>
        </w:rPr>
      </w:pPr>
    </w:p>
    <w:p w14:paraId="0FE5831B">
      <w:pPr>
        <w:pStyle w:val="6"/>
        <w:keepNext w:val="0"/>
        <w:keepLines w:val="0"/>
        <w:pageBreakBefore w:val="0"/>
        <w:widowControl w:val="0"/>
        <w:kinsoku/>
        <w:wordWrap/>
        <w:overflowPunct/>
        <w:topLinePunct w:val="0"/>
        <w:autoSpaceDE w:val="0"/>
        <w:autoSpaceDN w:val="0"/>
        <w:bidi w:val="0"/>
        <w:adjustRightInd/>
        <w:snapToGrid/>
        <w:spacing w:before="0" w:line="540" w:lineRule="exact"/>
        <w:ind w:right="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一、项目支出基本情况</w:t>
      </w:r>
    </w:p>
    <w:p w14:paraId="06184880">
      <w:pPr>
        <w:pStyle w:val="6"/>
        <w:spacing w:before="190" w:line="350" w:lineRule="auto"/>
        <w:ind w:right="952" w:firstLine="313" w:firstLineChars="100"/>
        <w:rPr>
          <w:rFonts w:hint="eastAsia" w:ascii="仿宋" w:hAnsi="仿宋" w:eastAsia="仿宋" w:cs="仿宋"/>
          <w:b/>
          <w:bCs/>
          <w:spacing w:val="-2"/>
          <w:w w:val="99"/>
        </w:rPr>
      </w:pPr>
      <w:r>
        <w:rPr>
          <w:rFonts w:hint="eastAsia" w:ascii="仿宋" w:hAnsi="仿宋" w:eastAsia="仿宋" w:cs="仿宋"/>
          <w:b/>
          <w:bCs/>
          <w:spacing w:val="-2"/>
          <w:w w:val="99"/>
          <w:lang w:val="en-US" w:eastAsia="zh-CN"/>
        </w:rPr>
        <w:t>（一）项目支出</w:t>
      </w:r>
      <w:r>
        <w:rPr>
          <w:rFonts w:hint="eastAsia" w:ascii="仿宋" w:hAnsi="仿宋" w:eastAsia="仿宋" w:cs="仿宋"/>
          <w:b/>
          <w:bCs/>
          <w:spacing w:val="-2"/>
          <w:w w:val="99"/>
        </w:rPr>
        <w:t>概况。</w:t>
      </w:r>
    </w:p>
    <w:p w14:paraId="1FD842BE">
      <w:pPr>
        <w:pStyle w:val="6"/>
        <w:spacing w:before="190" w:line="350" w:lineRule="auto"/>
        <w:ind w:right="952"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2023</w:t>
      </w:r>
      <w:r>
        <w:rPr>
          <w:rFonts w:hint="eastAsia" w:ascii="Times New Roman" w:hAnsi="Times New Roman" w:eastAsia="仿宋_GB2312" w:cs="Times New Roman"/>
          <w:color w:val="000000"/>
          <w:kern w:val="2"/>
          <w:sz w:val="32"/>
          <w:szCs w:val="32"/>
          <w:lang w:val="en-US" w:eastAsia="zh-CN" w:bidi="ar-SA"/>
        </w:rPr>
        <w:t>年本部门项目支出为280.19万</w:t>
      </w:r>
      <w:r>
        <w:rPr>
          <w:rFonts w:hint="default" w:ascii="Times New Roman" w:hAnsi="Times New Roman" w:eastAsia="仿宋_GB2312" w:cs="Times New Roman"/>
          <w:color w:val="000000"/>
          <w:kern w:val="2"/>
          <w:sz w:val="32"/>
          <w:szCs w:val="32"/>
          <w:lang w:val="en-US" w:eastAsia="zh-CN" w:bidi="ar-SA"/>
        </w:rPr>
        <w:t>元，主要是部门为完成特定行政工作任务或事业发展目标而发生的支出，包括代表服务中心经费支出11万元，主要用于保障代表服务中心正常运转等方面</w:t>
      </w:r>
      <w:r>
        <w:rPr>
          <w:rFonts w:hint="eastAsia" w:ascii="Times New Roman" w:hAnsi="Times New Roman" w:eastAsia="仿宋_GB2312" w:cs="Times New Roman"/>
          <w:color w:val="000000"/>
          <w:kern w:val="2"/>
          <w:sz w:val="32"/>
          <w:szCs w:val="32"/>
          <w:lang w:val="en-US" w:eastAsia="zh-CN" w:bidi="ar-SA"/>
        </w:rPr>
        <w:t>，项目支出11万元</w:t>
      </w:r>
      <w:r>
        <w:rPr>
          <w:rFonts w:hint="default" w:ascii="Times New Roman" w:hAnsi="Times New Roman" w:eastAsia="仿宋_GB2312" w:cs="Times New Roman"/>
          <w:color w:val="000000"/>
          <w:kern w:val="2"/>
          <w:sz w:val="32"/>
          <w:szCs w:val="32"/>
          <w:lang w:val="en-US" w:eastAsia="zh-CN" w:bidi="ar-SA"/>
        </w:rPr>
        <w:t>；代表活动经费（含代表履职经费）支出41万元，主要用于代表活动的开展等方面</w:t>
      </w:r>
      <w:r>
        <w:rPr>
          <w:rFonts w:hint="eastAsia" w:ascii="Times New Roman" w:hAnsi="Times New Roman" w:eastAsia="仿宋_GB2312" w:cs="Times New Roman"/>
          <w:color w:val="000000"/>
          <w:kern w:val="2"/>
          <w:sz w:val="32"/>
          <w:szCs w:val="32"/>
          <w:lang w:val="en-US" w:eastAsia="zh-CN" w:bidi="ar-SA"/>
        </w:rPr>
        <w:t>，项目支出23.44万元</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代表活动经费（人大）17.1万元，主要用于代表活动支出，项目支出为17.1万元。</w:t>
      </w:r>
      <w:r>
        <w:rPr>
          <w:rFonts w:hint="default" w:ascii="Times New Roman" w:hAnsi="Times New Roman" w:eastAsia="仿宋_GB2312" w:cs="Times New Roman"/>
          <w:color w:val="000000"/>
          <w:kern w:val="2"/>
          <w:sz w:val="32"/>
          <w:szCs w:val="32"/>
          <w:lang w:val="en-US" w:eastAsia="zh-CN" w:bidi="ar-SA"/>
        </w:rPr>
        <w:t>代表委员工作室经费支出5万元，主要用于保障代表委员工作室建设等方面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;法制建设经费支出 5万元，主要用于开展法律培训等方面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；工委专项经费支出44万元，主要用于各工委正常运转等方面</w:t>
      </w:r>
      <w:r>
        <w:rPr>
          <w:rFonts w:hint="eastAsia" w:ascii="Times New Roman" w:hAnsi="Times New Roman" w:eastAsia="仿宋_GB2312" w:cs="Times New Roman"/>
          <w:color w:val="000000"/>
          <w:kern w:val="2"/>
          <w:sz w:val="32"/>
          <w:szCs w:val="32"/>
          <w:lang w:val="en-US" w:eastAsia="zh-CN" w:bidi="ar-SA"/>
        </w:rPr>
        <w:t>，项目支出7.9万元</w:t>
      </w:r>
      <w:r>
        <w:rPr>
          <w:rFonts w:hint="default" w:ascii="Times New Roman" w:hAnsi="Times New Roman" w:eastAsia="仿宋_GB2312" w:cs="Times New Roman"/>
          <w:color w:val="000000"/>
          <w:kern w:val="2"/>
          <w:sz w:val="32"/>
          <w:szCs w:val="32"/>
          <w:lang w:val="en-US" w:eastAsia="zh-CN" w:bidi="ar-SA"/>
        </w:rPr>
        <w:t>；民主评议经费支出2万元，主要用于民主评议活动等方面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；农产品质量安全行等四个专项活动支出12 万元，主要用于开展四个专项活动等方面</w:t>
      </w:r>
      <w:r>
        <w:rPr>
          <w:rFonts w:hint="eastAsia" w:ascii="Times New Roman" w:hAnsi="Times New Roman" w:eastAsia="仿宋_GB2312" w:cs="Times New Roman"/>
          <w:color w:val="000000"/>
          <w:kern w:val="2"/>
          <w:sz w:val="32"/>
          <w:szCs w:val="32"/>
          <w:lang w:val="en-US" w:eastAsia="zh-CN" w:bidi="ar-SA"/>
        </w:rPr>
        <w:t>，项目支出为2.22万元</w:t>
      </w:r>
      <w:r>
        <w:rPr>
          <w:rFonts w:hint="default" w:ascii="Times New Roman" w:hAnsi="Times New Roman" w:eastAsia="仿宋_GB2312" w:cs="Times New Roman"/>
          <w:color w:val="000000"/>
          <w:kern w:val="2"/>
          <w:sz w:val="32"/>
          <w:szCs w:val="32"/>
          <w:lang w:val="en-US" w:eastAsia="zh-CN" w:bidi="ar-SA"/>
        </w:rPr>
        <w:t>； 票决制经费支出15万元，主要用于票决制工作等方面</w:t>
      </w:r>
      <w:r>
        <w:rPr>
          <w:rFonts w:hint="eastAsia" w:ascii="Times New Roman" w:hAnsi="Times New Roman" w:eastAsia="仿宋_GB2312" w:cs="Times New Roman"/>
          <w:color w:val="000000"/>
          <w:kern w:val="2"/>
          <w:sz w:val="32"/>
          <w:szCs w:val="32"/>
          <w:lang w:val="en-US" w:eastAsia="zh-CN" w:bidi="ar-SA"/>
        </w:rPr>
        <w:t>，项目支出8万元</w:t>
      </w:r>
      <w:r>
        <w:rPr>
          <w:rFonts w:hint="default" w:ascii="Times New Roman" w:hAnsi="Times New Roman" w:eastAsia="仿宋_GB2312" w:cs="Times New Roman"/>
          <w:color w:val="000000"/>
          <w:kern w:val="2"/>
          <w:sz w:val="32"/>
          <w:szCs w:val="32"/>
          <w:lang w:val="en-US" w:eastAsia="zh-CN" w:bidi="ar-SA"/>
        </w:rPr>
        <w:t>；人大公报印刷经费支出5万元，主要用于人大公报印刷等方面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 人大会议费支出32万元，主要用于会议费支出等方面</w:t>
      </w:r>
      <w:r>
        <w:rPr>
          <w:rFonts w:hint="eastAsia" w:ascii="Times New Roman" w:hAnsi="Times New Roman" w:eastAsia="仿宋_GB2312" w:cs="Times New Roman"/>
          <w:color w:val="000000"/>
          <w:kern w:val="2"/>
          <w:sz w:val="32"/>
          <w:szCs w:val="32"/>
          <w:lang w:val="en-US" w:eastAsia="zh-CN" w:bidi="ar-SA"/>
        </w:rPr>
        <w:t>，项目支出为31.29万元</w:t>
      </w:r>
      <w:r>
        <w:rPr>
          <w:rFonts w:hint="default" w:ascii="Times New Roman" w:hAnsi="Times New Roman" w:eastAsia="仿宋_GB2312" w:cs="Times New Roman"/>
          <w:color w:val="000000"/>
          <w:kern w:val="2"/>
          <w:sz w:val="32"/>
          <w:szCs w:val="32"/>
          <w:lang w:val="en-US" w:eastAsia="zh-CN" w:bidi="ar-SA"/>
        </w:rPr>
        <w:t>； 选举经费支出16万元，主要用于保障选举工作的开展等方面</w:t>
      </w:r>
      <w:r>
        <w:rPr>
          <w:rFonts w:hint="eastAsia" w:ascii="Times New Roman" w:hAnsi="Times New Roman" w:eastAsia="仿宋_GB2312" w:cs="Times New Roman"/>
          <w:color w:val="000000"/>
          <w:kern w:val="2"/>
          <w:sz w:val="32"/>
          <w:szCs w:val="32"/>
          <w:lang w:val="en-US" w:eastAsia="zh-CN" w:bidi="ar-SA"/>
        </w:rPr>
        <w:t>，项目支出为10万元</w:t>
      </w:r>
      <w:r>
        <w:rPr>
          <w:rFonts w:hint="default" w:ascii="Times New Roman" w:hAnsi="Times New Roman" w:eastAsia="仿宋_GB2312" w:cs="Times New Roman"/>
          <w:color w:val="000000"/>
          <w:kern w:val="2"/>
          <w:sz w:val="32"/>
          <w:szCs w:val="32"/>
          <w:lang w:val="en-US" w:eastAsia="zh-CN" w:bidi="ar-SA"/>
        </w:rPr>
        <w:t>；预算联网监控经费支出8万元，主要用于开展预算联网监控工作等方面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。镇街人大工作站经费支出28万元，主要用于镇街人大工作支出</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干部培训经费29.56万元，主要用于2023年代表履职培训活动支出，项目支出为29.56万元。全区机关运转及维修专项经费29.3万元，用于机关维修和阳光台工作照片冲印，项目支出为0.93万元。全区性会议费5.14万元，主要用于市十六届人大二次会议闭环工作，项目支出为5.14万元。全区信息化建设经费36.77万元，主要是用于预算联网监管系统的维护费用，项目支出为36.77万元。人大代表履职能力提升项目经费4.24万元，项目支出为3.81万元。区人大机关在职人员和退休人员年度考核奖和基础性奖74.02万元，项目支出74.02万元。省部级劳模退休发放一次性补贴6.28万元，项目支出6.28万元。人大选举经费上年结转7.86万元，项目支出为5.33万元。2023年市人大代表活动经费10.24万元，主要用于发放市代表履职补助，项目支出为7.1万元。2023年省代表活动经费为1.4万元，该项经费财政部门未下达。高质量发展先进个人经费0.3万元，主要用于发放高质量发展先进个人奖金，项目支出为0.3万元。</w:t>
      </w:r>
    </w:p>
    <w:p w14:paraId="5A0E3032">
      <w:pPr>
        <w:pStyle w:val="6"/>
        <w:spacing w:before="190" w:line="350" w:lineRule="auto"/>
        <w:ind w:right="952" w:firstLine="627" w:firstLineChars="200"/>
        <w:rPr>
          <w:rFonts w:hint="eastAsia" w:ascii="仿宋" w:hAnsi="仿宋" w:eastAsia="仿宋" w:cs="仿宋"/>
          <w:w w:val="99"/>
          <w:lang w:val="en-US" w:eastAsia="zh-CN"/>
        </w:rPr>
      </w:pPr>
      <w:r>
        <w:rPr>
          <w:rFonts w:hint="eastAsia" w:ascii="仿宋" w:hAnsi="仿宋" w:eastAsia="仿宋" w:cs="仿宋"/>
          <w:b/>
          <w:bCs/>
          <w:spacing w:val="-2"/>
          <w:w w:val="99"/>
          <w:lang w:eastAsia="zh-CN"/>
        </w:rPr>
        <w:t>（二）</w:t>
      </w:r>
      <w:r>
        <w:rPr>
          <w:rFonts w:hint="eastAsia" w:ascii="仿宋" w:hAnsi="仿宋" w:eastAsia="仿宋" w:cs="仿宋"/>
          <w:b/>
          <w:bCs/>
          <w:spacing w:val="-2"/>
          <w:w w:val="99"/>
        </w:rPr>
        <w:t>项目资金使用管理情况。</w:t>
      </w:r>
    </w:p>
    <w:p w14:paraId="42CEB161">
      <w:pPr>
        <w:pStyle w:val="6"/>
        <w:spacing w:before="190" w:line="350" w:lineRule="auto"/>
        <w:ind w:right="952"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项目支出严格资金审批流程进行支出，石鼓区人民代表大会常务委员会的项目支出是为行政运行服务，根据人大工作严格进行列支。</w:t>
      </w:r>
    </w:p>
    <w:p w14:paraId="428C1881">
      <w:pPr>
        <w:pStyle w:val="6"/>
        <w:numPr>
          <w:ilvl w:val="0"/>
          <w:numId w:val="1"/>
        </w:numPr>
        <w:spacing w:before="3" w:line="350" w:lineRule="auto"/>
        <w:ind w:right="939" w:rightChars="0" w:firstLine="643" w:firstLineChars="200"/>
        <w:jc w:val="both"/>
        <w:rPr>
          <w:rFonts w:hint="eastAsia" w:ascii="仿宋" w:hAnsi="仿宋" w:eastAsia="仿宋" w:cs="仿宋"/>
          <w:b/>
          <w:bCs/>
          <w:spacing w:val="2"/>
          <w:w w:val="99"/>
        </w:rPr>
      </w:pPr>
      <w:r>
        <w:rPr>
          <w:rFonts w:hint="eastAsia" w:ascii="仿宋" w:hAnsi="仿宋" w:eastAsia="仿宋" w:cs="仿宋"/>
          <w:b/>
          <w:bCs/>
          <w:spacing w:val="2"/>
          <w:w w:val="99"/>
        </w:rPr>
        <w:t>项目支出绩效目标完成程度。</w:t>
      </w:r>
    </w:p>
    <w:p w14:paraId="621265A3">
      <w:pPr>
        <w:pStyle w:val="6"/>
        <w:numPr>
          <w:ilvl w:val="0"/>
          <w:numId w:val="0"/>
        </w:numPr>
        <w:spacing w:before="3" w:line="350" w:lineRule="auto"/>
        <w:ind w:right="939" w:rightChars="0"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绩效的总体目标是顺利完成2023年度石鼓区人民代表大会常务委员会的各项工作，保障机关正常运转。绩效的阶段性目标是按照工作要求，保障石鼓区人民代表大会常务委员会完成阶段性工作任务。根据工作要求发生的项目支出，让石鼓区人民代表大会常务委员会各项工作按时完成，扩大人大工作影响力，提高了群众满意度。</w:t>
      </w:r>
    </w:p>
    <w:p w14:paraId="509A2B2B">
      <w:pPr>
        <w:pStyle w:val="6"/>
        <w:spacing w:before="3"/>
        <w:ind w:firstLine="608" w:firstLineChars="200"/>
        <w:rPr>
          <w:rFonts w:hint="eastAsia" w:ascii="黑体" w:hAnsi="黑体" w:eastAsia="黑体" w:cs="黑体"/>
          <w:spacing w:val="-10"/>
          <w:w w:val="95"/>
        </w:rPr>
      </w:pPr>
      <w:r>
        <w:rPr>
          <w:rFonts w:hint="eastAsia" w:ascii="黑体" w:hAnsi="黑体" w:eastAsia="黑体" w:cs="黑体"/>
          <w:w w:val="95"/>
        </w:rPr>
        <w:t>二、绩效评价工作情</w:t>
      </w:r>
      <w:r>
        <w:rPr>
          <w:rFonts w:hint="eastAsia" w:ascii="黑体" w:hAnsi="黑体" w:eastAsia="黑体" w:cs="黑体"/>
          <w:spacing w:val="-10"/>
          <w:w w:val="95"/>
        </w:rPr>
        <w:t>况</w:t>
      </w:r>
    </w:p>
    <w:p w14:paraId="75FCF67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石鼓区人民代表大会常务委员会预算支出绩效自评范围为2023年度纳入政府预算管理的所有预算支出，包括部门整体支出和项目支出。石鼓区人民代表大会常务委员会在预算绩效管理信息系统完成2023年度预算支出绩效自评工作。</w:t>
      </w:r>
    </w:p>
    <w:p w14:paraId="18DF1E9F">
      <w:pPr>
        <w:pStyle w:val="6"/>
        <w:spacing w:before="3"/>
        <w:ind w:firstLine="640" w:firstLineChars="200"/>
        <w:rPr>
          <w:rFonts w:hint="eastAsia" w:ascii="Times New Roman" w:hAnsi="Times New Roman" w:eastAsia="仿宋_GB2312" w:cs="Times New Roman"/>
          <w:color w:val="000000"/>
          <w:kern w:val="2"/>
          <w:sz w:val="32"/>
          <w:szCs w:val="32"/>
          <w:lang w:val="en-US" w:eastAsia="zh-CN" w:bidi="ar-SA"/>
        </w:rPr>
      </w:pPr>
    </w:p>
    <w:p w14:paraId="07776E24">
      <w:pPr>
        <w:pStyle w:val="6"/>
        <w:spacing w:before="190" w:line="350" w:lineRule="auto"/>
        <w:ind w:right="3817" w:firstLine="632" w:firstLineChars="200"/>
        <w:rPr>
          <w:rFonts w:hint="eastAsia" w:ascii="黑体" w:hAnsi="黑体" w:eastAsia="黑体" w:cs="黑体"/>
          <w:spacing w:val="-2"/>
        </w:rPr>
      </w:pPr>
      <w:r>
        <w:rPr>
          <w:rFonts w:hint="eastAsia" w:ascii="黑体" w:hAnsi="黑体" w:eastAsia="黑体" w:cs="黑体"/>
          <w:spacing w:val="-2"/>
        </w:rPr>
        <w:t>三、项目支出主要绩效及评价结论</w:t>
      </w:r>
    </w:p>
    <w:p w14:paraId="63FDF87B">
      <w:pPr>
        <w:spacing w:line="56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仿宋" w:hAnsi="仿宋" w:eastAsia="仿宋" w:cs="宋体"/>
          <w:kern w:val="0"/>
          <w:sz w:val="32"/>
          <w:szCs w:val="32"/>
          <w:highlight w:val="none"/>
          <w:lang w:val="en-US" w:eastAsia="zh-CN"/>
        </w:rPr>
        <w:t>职责履行：</w:t>
      </w:r>
      <w:r>
        <w:rPr>
          <w:rFonts w:hint="eastAsia" w:ascii="仿宋_GB2312" w:eastAsia="仿宋_GB2312"/>
          <w:b/>
          <w:bCs/>
          <w:sz w:val="32"/>
          <w:szCs w:val="32"/>
          <w:highlight w:val="none"/>
          <w:lang w:eastAsia="zh-CN"/>
        </w:rPr>
        <w:t>在人大代表联系群众工作站建设方面：</w:t>
      </w:r>
      <w:r>
        <w:rPr>
          <w:rFonts w:hint="eastAsia" w:ascii="仿宋_GB2312" w:eastAsia="仿宋_GB2312"/>
          <w:sz w:val="32"/>
          <w:szCs w:val="32"/>
          <w:highlight w:val="none"/>
          <w:lang w:eastAsia="zh-CN"/>
        </w:rPr>
        <w:t>石鼓区已建成的代表联络工作站充分发挥创新思维，运用新媒体宣传及互联网大数据收集、传送等方式，第一时间了解群众诉求，建成“网络阳光台”，将工作站的人员结构和运转情况透明化，加强群众对工作站的了解，有效巩固了群众基础。</w:t>
      </w:r>
      <w:r>
        <w:rPr>
          <w:rFonts w:hint="eastAsia" w:ascii="楷体_GB2312" w:hAnsi="楷体_GB2312" w:eastAsia="楷体_GB2312" w:cs="楷体_GB2312"/>
          <w:b/>
          <w:bCs/>
          <w:sz w:val="32"/>
          <w:szCs w:val="32"/>
          <w:highlight w:val="none"/>
          <w:lang w:val="en-US" w:eastAsia="zh-CN"/>
        </w:rPr>
        <w:t>民生实事方面：</w:t>
      </w:r>
      <w:r>
        <w:rPr>
          <w:rFonts w:hint="eastAsia" w:ascii="Times New Roman" w:hAnsi="Times New Roman" w:eastAsia="仿宋_GB2312" w:cs="Times New Roman"/>
          <w:b w:val="0"/>
          <w:bCs w:val="0"/>
          <w:sz w:val="32"/>
          <w:szCs w:val="32"/>
          <w:highlight w:val="none"/>
          <w:lang w:val="en-US" w:eastAsia="zh-CN"/>
        </w:rPr>
        <w:t>石鼓区人大常委会高度重视基层群众声音</w:t>
      </w:r>
      <w:r>
        <w:rPr>
          <w:rFonts w:hint="eastAsia" w:ascii="Times New Roman" w:hAnsi="Times New Roman" w:eastAsia="仿宋_GB2312" w:cs="Times New Roman"/>
          <w:sz w:val="32"/>
          <w:szCs w:val="32"/>
          <w:highlight w:val="none"/>
          <w:lang w:val="en-US" w:eastAsia="zh-CN"/>
        </w:rPr>
        <w:t>，通过</w:t>
      </w:r>
      <w:r>
        <w:rPr>
          <w:rFonts w:hint="eastAsia" w:ascii="仿宋_GB2312" w:eastAsia="仿宋_GB2312"/>
          <w:sz w:val="32"/>
          <w:szCs w:val="32"/>
          <w:highlight w:val="none"/>
          <w:lang w:eastAsia="zh-CN"/>
        </w:rPr>
        <w:t>开展代表活动，让区人大代表和人大机关全体干部深入基层一线，了解基层民情和百姓需求，宣传党的政策，帮助群众办实事。同时，</w:t>
      </w:r>
      <w:r>
        <w:rPr>
          <w:rFonts w:hint="eastAsia" w:ascii="仿宋_GB2312" w:eastAsia="仿宋_GB2312"/>
          <w:sz w:val="32"/>
          <w:szCs w:val="32"/>
          <w:highlight w:val="none"/>
        </w:rPr>
        <w:t>设立代表接待点，用于接待居民群众来访，</w:t>
      </w:r>
      <w:r>
        <w:rPr>
          <w:rFonts w:hint="eastAsia" w:ascii="仿宋_GB2312" w:eastAsia="仿宋_GB2312"/>
          <w:sz w:val="32"/>
          <w:szCs w:val="32"/>
          <w:highlight w:val="none"/>
          <w:lang w:eastAsia="zh-CN"/>
        </w:rPr>
        <w:t>传递百姓</w:t>
      </w:r>
      <w:r>
        <w:rPr>
          <w:rFonts w:hint="eastAsia" w:ascii="仿宋_GB2312" w:eastAsia="仿宋_GB2312"/>
          <w:sz w:val="32"/>
          <w:szCs w:val="32"/>
          <w:highlight w:val="none"/>
        </w:rPr>
        <w:t>诉求</w:t>
      </w:r>
      <w:r>
        <w:rPr>
          <w:rFonts w:hint="eastAsia" w:ascii="仿宋_GB2312" w:eastAsia="仿宋_GB2312"/>
          <w:sz w:val="32"/>
          <w:szCs w:val="32"/>
          <w:highlight w:val="none"/>
          <w:lang w:eastAsia="zh-CN"/>
        </w:rPr>
        <w:t>。</w:t>
      </w:r>
    </w:p>
    <w:p w14:paraId="15F13B76">
      <w:pPr>
        <w:spacing w:line="560" w:lineRule="exac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社会公众或服务对象满意度方面：群众满意度100%。</w:t>
      </w:r>
    </w:p>
    <w:p w14:paraId="58EAC1DB">
      <w:pPr>
        <w:pStyle w:val="7"/>
        <w:shd w:val="clear" w:color="auto" w:fill="FFFFFF"/>
        <w:spacing w:line="360" w:lineRule="auto"/>
        <w:ind w:firstLine="640" w:firstLineChars="200"/>
        <w:rPr>
          <w:rFonts w:hint="eastAsia" w:ascii="黑体" w:hAnsi="黑体" w:eastAsia="黑体" w:cs="黑体"/>
          <w:spacing w:val="-2"/>
          <w:lang w:val="en-US" w:eastAsia="zh-CN"/>
        </w:rPr>
      </w:pPr>
      <w:r>
        <w:rPr>
          <w:rFonts w:hint="eastAsia" w:ascii="仿宋" w:hAnsi="仿宋" w:eastAsia="仿宋"/>
          <w:color w:val="000000"/>
          <w:sz w:val="32"/>
          <w:szCs w:val="32"/>
          <w:shd w:val="clear" w:color="auto" w:fill="FFFFFF"/>
        </w:rPr>
        <w:t>根据考核评分细则，总得分</w:t>
      </w:r>
      <w:r>
        <w:rPr>
          <w:rFonts w:hint="eastAsia" w:ascii="仿宋" w:hAnsi="仿宋" w:eastAsia="仿宋"/>
          <w:color w:val="000000"/>
          <w:sz w:val="32"/>
          <w:szCs w:val="32"/>
          <w:shd w:val="clear" w:color="auto" w:fill="FFFFFF"/>
          <w:lang w:eastAsia="zh-CN"/>
        </w:rPr>
        <w:t>为</w:t>
      </w:r>
      <w:r>
        <w:rPr>
          <w:rFonts w:hint="eastAsia" w:ascii="仿宋" w:hAnsi="仿宋" w:eastAsia="仿宋"/>
          <w:color w:val="000000"/>
          <w:sz w:val="32"/>
          <w:szCs w:val="32"/>
          <w:shd w:val="clear" w:color="auto" w:fill="FFFFFF"/>
          <w:lang w:val="en-US" w:eastAsia="zh-CN"/>
        </w:rPr>
        <w:t xml:space="preserve"> 97.84 </w:t>
      </w:r>
      <w:r>
        <w:rPr>
          <w:rFonts w:hint="eastAsia" w:ascii="仿宋" w:hAnsi="仿宋" w:eastAsia="仿宋"/>
          <w:color w:val="000000"/>
          <w:sz w:val="32"/>
          <w:szCs w:val="32"/>
          <w:shd w:val="clear" w:color="auto" w:fill="FFFFFF"/>
        </w:rPr>
        <w:t>分，结果：</w:t>
      </w:r>
      <w:r>
        <w:rPr>
          <w:rFonts w:hint="eastAsia" w:ascii="仿宋" w:hAnsi="仿宋" w:eastAsia="仿宋"/>
          <w:color w:val="000000"/>
          <w:sz w:val="32"/>
          <w:szCs w:val="32"/>
          <w:shd w:val="clear" w:color="auto" w:fill="FFFFFF"/>
          <w:lang w:eastAsia="zh-CN"/>
        </w:rPr>
        <w:t>优秀。</w:t>
      </w:r>
    </w:p>
    <w:p w14:paraId="619765A5">
      <w:pPr>
        <w:pStyle w:val="6"/>
        <w:spacing w:before="190" w:line="350" w:lineRule="auto"/>
        <w:ind w:right="3817" w:firstLine="632" w:firstLineChars="200"/>
        <w:rPr>
          <w:rFonts w:hint="eastAsia" w:ascii="黑体" w:hAnsi="黑体" w:eastAsia="黑体" w:cs="黑体"/>
          <w:spacing w:val="-2"/>
        </w:rPr>
      </w:pPr>
      <w:r>
        <w:rPr>
          <w:rFonts w:hint="eastAsia" w:ascii="黑体" w:hAnsi="黑体" w:eastAsia="黑体" w:cs="黑体"/>
          <w:spacing w:val="-2"/>
        </w:rPr>
        <w:t>四、绩效评价指标分析</w:t>
      </w:r>
    </w:p>
    <w:p w14:paraId="7DF4CC2D">
      <w:pPr>
        <w:pStyle w:val="6"/>
        <w:spacing w:before="3"/>
        <w:ind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（一）项目支出决策情况</w:t>
      </w:r>
    </w:p>
    <w:p w14:paraId="689ADE69">
      <w:pPr>
        <w:pStyle w:val="6"/>
        <w:spacing w:before="3"/>
        <w:ind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石鼓区人民代表大会常务委员会项目支出均为延续项目，决策依据是根据石鼓区人民代表大会常务委员会工作安排，严格按照项目申报编制预算。</w:t>
      </w:r>
    </w:p>
    <w:p w14:paraId="339AF706">
      <w:pPr>
        <w:pStyle w:val="6"/>
        <w:numPr>
          <w:ilvl w:val="0"/>
          <w:numId w:val="2"/>
        </w:numPr>
        <w:spacing w:before="190"/>
        <w:ind w:firstLine="640" w:firstLineChars="200"/>
        <w:rPr>
          <w:rFonts w:hint="default"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项目执行过程情况</w:t>
      </w:r>
    </w:p>
    <w:p w14:paraId="5531AF6E">
      <w:pPr>
        <w:pStyle w:val="6"/>
        <w:numPr>
          <w:ilvl w:val="0"/>
          <w:numId w:val="0"/>
        </w:numPr>
        <w:spacing w:before="190"/>
        <w:ind w:right="0" w:rightChars="0" w:firstLine="640" w:firstLineChars="200"/>
        <w:rPr>
          <w:rFonts w:hint="default"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代表服务中心经费、</w:t>
      </w:r>
      <w:r>
        <w:rPr>
          <w:rFonts w:hint="eastAsia" w:ascii="Times New Roman" w:hAnsi="Times New Roman" w:eastAsia="仿宋_GB2312" w:cs="Times New Roman"/>
          <w:color w:val="000000"/>
          <w:kern w:val="2"/>
          <w:sz w:val="32"/>
          <w:szCs w:val="32"/>
          <w:lang w:val="en-US" w:eastAsia="zh-CN" w:bidi="ar-SA"/>
        </w:rPr>
        <w:t>干部培训经费、全区性会议费、全区信息化建设经费、省部级劳模退休发放一次性补贴、高质量发展先进个人经费以及年度考核奖等经费</w:t>
      </w:r>
      <w:r>
        <w:rPr>
          <w:rFonts w:hint="eastAsia" w:ascii="Times New Roman" w:hAnsi="Times New Roman" w:eastAsia="仿宋_GB2312" w:cs="Times New Roman"/>
          <w:b w:val="0"/>
          <w:bCs w:val="0"/>
          <w:sz w:val="32"/>
          <w:szCs w:val="32"/>
          <w:lang w:val="en-US" w:eastAsia="zh-CN" w:bidi="ar-SA"/>
        </w:rPr>
        <w:t>全部下达并且使用完毕，代表活动经费（含履职经费）、工委专项经费、农产品质量安全行等四个专项活动经费、票决制经费、人大会议费经费、选举经费，人大选举经费（上年结转）、</w:t>
      </w:r>
      <w:r>
        <w:rPr>
          <w:rFonts w:hint="eastAsia" w:ascii="Times New Roman" w:hAnsi="Times New Roman" w:eastAsia="仿宋_GB2312" w:cs="Times New Roman"/>
          <w:color w:val="000000"/>
          <w:kern w:val="2"/>
          <w:sz w:val="32"/>
          <w:szCs w:val="32"/>
          <w:lang w:val="en-US" w:eastAsia="zh-CN" w:bidi="ar-SA"/>
        </w:rPr>
        <w:t>全区机关运转及维修专项经费、人大代表履职能力提升项目经费、2023年市人大代表活动经费</w:t>
      </w:r>
      <w:r>
        <w:rPr>
          <w:rFonts w:hint="eastAsia" w:ascii="Times New Roman" w:hAnsi="Times New Roman" w:eastAsia="仿宋_GB2312" w:cs="Times New Roman"/>
          <w:b w:val="0"/>
          <w:bCs w:val="0"/>
          <w:sz w:val="32"/>
          <w:szCs w:val="32"/>
          <w:lang w:val="en-US" w:eastAsia="zh-CN" w:bidi="ar-SA"/>
        </w:rPr>
        <w:t>都是财政部门部分下达和使用，代表委员工作室经费、法制建设经费、民主评议经费、人大公报印刷经费、预算联网监控经费、镇街人大工作站经费、</w:t>
      </w:r>
      <w:r>
        <w:rPr>
          <w:rFonts w:hint="eastAsia" w:ascii="Times New Roman" w:hAnsi="Times New Roman" w:eastAsia="仿宋_GB2312" w:cs="Times New Roman"/>
          <w:color w:val="000000"/>
          <w:kern w:val="2"/>
          <w:sz w:val="32"/>
          <w:szCs w:val="32"/>
          <w:lang w:val="en-US" w:eastAsia="zh-CN" w:bidi="ar-SA"/>
        </w:rPr>
        <w:t>2023年省代表活动经费</w:t>
      </w:r>
      <w:bookmarkStart w:id="0" w:name="_GoBack"/>
      <w:bookmarkEnd w:id="0"/>
      <w:r>
        <w:rPr>
          <w:rFonts w:hint="eastAsia" w:ascii="Times New Roman" w:hAnsi="Times New Roman" w:eastAsia="仿宋_GB2312" w:cs="Times New Roman"/>
          <w:b w:val="0"/>
          <w:bCs w:val="0"/>
          <w:sz w:val="32"/>
          <w:szCs w:val="32"/>
          <w:lang w:val="en-US" w:eastAsia="zh-CN" w:bidi="ar-SA"/>
        </w:rPr>
        <w:t>均没有下达。</w:t>
      </w:r>
    </w:p>
    <w:p w14:paraId="3C0CB5BA">
      <w:pPr>
        <w:pStyle w:val="6"/>
        <w:numPr>
          <w:ilvl w:val="0"/>
          <w:numId w:val="2"/>
        </w:numPr>
        <w:spacing w:before="190"/>
        <w:ind w:left="0" w:lef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项目支出产出情况</w:t>
      </w:r>
    </w:p>
    <w:p w14:paraId="5DBA951D">
      <w:pPr>
        <w:pStyle w:val="6"/>
        <w:numPr>
          <w:ilvl w:val="0"/>
          <w:numId w:val="0"/>
        </w:numPr>
        <w:spacing w:before="190"/>
        <w:ind w:right="0" w:rightChars="0" w:firstLine="640" w:firstLineChars="200"/>
        <w:rPr>
          <w:rFonts w:hint="default"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绩效指标中产出指标方面：石鼓区第五届人民代表大会第三次会议顺利召开，完成了选举任务，保障了2023年代表活动正常开展，石鼓区人大常委会办事（工作机构）和专门委员会的日常工作在2023年度内均正常开展，进一步宣传了票决制工作。</w:t>
      </w:r>
    </w:p>
    <w:p w14:paraId="54705D07">
      <w:pPr>
        <w:pStyle w:val="6"/>
        <w:numPr>
          <w:ilvl w:val="0"/>
          <w:numId w:val="2"/>
        </w:numPr>
        <w:spacing w:before="190"/>
        <w:ind w:left="0" w:lef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项目支出效益情况</w:t>
      </w:r>
    </w:p>
    <w:p w14:paraId="418E21C2">
      <w:pPr>
        <w:pStyle w:val="6"/>
        <w:numPr>
          <w:ilvl w:val="0"/>
          <w:numId w:val="0"/>
        </w:numPr>
        <w:spacing w:before="190"/>
        <w:ind w:right="0" w:rightChars="0" w:firstLine="640" w:firstLineChars="200"/>
        <w:rPr>
          <w:rFonts w:hint="default"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绩效指标中效益指标方面：主要是体现在社会效益方面，石鼓区第五届人民代表大会第三次会议通过了政府、计划、财政、人大、法院、检察院六个报告的决议，选举了了1名监察委员会主任、1名副区长和5名石鼓区人大常委会委员员，促进全区经济社会发展。2023年代表活动的正常开展，更好了加强了代表与群众联系，有利于反映社情民意，提高群众满意度。代表服务中心正常运转，一方面为机关提供后勤服务，另一方面成功完成了市二星文明单位创建的验工作，扩大了单位影响力。</w:t>
      </w:r>
    </w:p>
    <w:p w14:paraId="756AAA89">
      <w:pPr>
        <w:pStyle w:val="6"/>
        <w:numPr>
          <w:ilvl w:val="0"/>
          <w:numId w:val="0"/>
        </w:numPr>
        <w:spacing w:before="190"/>
        <w:ind w:leftChars="200" w:right="0" w:rightChars="0"/>
        <w:rPr>
          <w:rFonts w:hint="default" w:ascii="仿宋" w:hAnsi="仿宋" w:eastAsia="仿宋" w:cs="仿宋"/>
          <w:spacing w:val="-10"/>
          <w:w w:val="95"/>
          <w:lang w:val="en-US" w:eastAsia="zh-CN"/>
        </w:rPr>
      </w:pPr>
      <w:r>
        <w:rPr>
          <w:rFonts w:hint="eastAsia" w:ascii="仿宋" w:hAnsi="仿宋" w:eastAsia="仿宋" w:cs="仿宋"/>
          <w:spacing w:val="-10"/>
          <w:w w:val="95"/>
          <w:lang w:val="en-US" w:eastAsia="zh-CN"/>
        </w:rPr>
        <w:t xml:space="preserve">  </w:t>
      </w:r>
    </w:p>
    <w:p w14:paraId="390E7D5C">
      <w:pPr>
        <w:pStyle w:val="6"/>
        <w:spacing w:before="190"/>
        <w:ind w:firstLine="608" w:firstLineChars="200"/>
        <w:rPr>
          <w:rFonts w:hint="eastAsia" w:ascii="黑体" w:hAnsi="黑体" w:eastAsia="黑体" w:cs="黑体"/>
        </w:rPr>
      </w:pPr>
      <w:r>
        <w:rPr>
          <w:rFonts w:hint="eastAsia" w:ascii="黑体" w:hAnsi="黑体" w:eastAsia="黑体" w:cs="黑体"/>
          <w:w w:val="95"/>
        </w:rPr>
        <w:t>五、主要经验及做法、存在的问题及原因分</w:t>
      </w:r>
      <w:r>
        <w:rPr>
          <w:rFonts w:hint="eastAsia" w:ascii="黑体" w:hAnsi="黑体" w:eastAsia="黑体" w:cs="黑体"/>
          <w:spacing w:val="-10"/>
          <w:w w:val="95"/>
        </w:rPr>
        <w:t>析</w:t>
      </w:r>
    </w:p>
    <w:p w14:paraId="28D43337">
      <w:pPr>
        <w:pStyle w:val="6"/>
        <w:numPr>
          <w:ilvl w:val="0"/>
          <w:numId w:val="0"/>
        </w:numPr>
        <w:spacing w:before="190"/>
        <w:ind w:right="0" w:righ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可从资金分配和安排，资金指标下达、资金拨付和资金使用进度，资金使用管理，项目管理，政策适应性等方面概括存在的主要问题。</w:t>
      </w:r>
    </w:p>
    <w:p w14:paraId="7737A246">
      <w:pPr>
        <w:pStyle w:val="6"/>
        <w:numPr>
          <w:ilvl w:val="0"/>
          <w:numId w:val="0"/>
        </w:numPr>
        <w:spacing w:before="190"/>
        <w:ind w:right="0" w:rightChars="0" w:firstLine="640" w:firstLineChars="200"/>
        <w:rPr>
          <w:rFonts w:hint="eastAsia" w:ascii="Times New Roman" w:hAnsi="Times New Roman" w:eastAsia="仿宋_GB2312" w:cs="Times New Roman"/>
          <w:b w:val="0"/>
          <w:bCs w:val="0"/>
          <w:sz w:val="32"/>
          <w:szCs w:val="32"/>
          <w:lang w:val="en-US" w:eastAsia="zh-CN" w:bidi="ar-SA"/>
        </w:rPr>
        <w:sectPr>
          <w:pgSz w:w="11900" w:h="16840"/>
          <w:pgMar w:top="1420" w:right="840" w:bottom="1260" w:left="840" w:header="0" w:footer="1074" w:gutter="0"/>
          <w:pgNumType w:fmt="decimal"/>
          <w:cols w:space="720" w:num="1"/>
        </w:sectPr>
      </w:pPr>
    </w:p>
    <w:p w14:paraId="429E061F">
      <w:pPr>
        <w:pStyle w:val="6"/>
        <w:numPr>
          <w:ilvl w:val="0"/>
          <w:numId w:val="0"/>
        </w:numPr>
        <w:spacing w:before="190"/>
        <w:ind w:right="0" w:righ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资金分配和安排方面：石鼓区人民代表大会常务委员会严格按照《预算法》和财政部门要求进行资金申请和预算编制。</w:t>
      </w:r>
    </w:p>
    <w:p w14:paraId="05B06F99">
      <w:pPr>
        <w:pStyle w:val="6"/>
        <w:numPr>
          <w:ilvl w:val="0"/>
          <w:numId w:val="0"/>
        </w:numPr>
        <w:spacing w:before="190"/>
        <w:ind w:right="0" w:righ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资金指标下达、资金拨付和资金使用进度方面：石鼓区人民代表大会常务委员会根据工作安排需要，需要发生相关工作支出之前都会及时与财政部门沟通，递交项目资金申请报告，当财政部门将相关项目资金下达后，都会严格按照工作进度安排资金拨付。</w:t>
      </w:r>
    </w:p>
    <w:p w14:paraId="2D2F672E">
      <w:pPr>
        <w:pStyle w:val="6"/>
        <w:numPr>
          <w:ilvl w:val="0"/>
          <w:numId w:val="0"/>
        </w:numPr>
        <w:spacing w:before="190"/>
        <w:ind w:right="0" w:righ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 xml:space="preserve">资金使用管理、项目管理、政策适应性方面：石鼓区人民代表大会常务委员会严格按照资金管理要求，规范资金使用用途，加强项目管理，预算编制中的项目支出严格按照政策执行。    </w:t>
      </w:r>
    </w:p>
    <w:p w14:paraId="01540F2A">
      <w:pPr>
        <w:pStyle w:val="6"/>
        <w:numPr>
          <w:ilvl w:val="0"/>
          <w:numId w:val="0"/>
        </w:numPr>
        <w:spacing w:before="190"/>
        <w:ind w:right="0" w:righ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实际情况中，由于财政部门项目资金下达不及时和预算编制的前瞻性和精细化略有不足。在预算执行过程中出现部分项目支出预算有所调整，与年初预算存在一定结构性差异的现象。同时由于下半年和年末资金拨付相对集中，项目资金下达和预算支出会有滞后性，预算执行均衡性有待进一步提高。</w:t>
      </w:r>
    </w:p>
    <w:p w14:paraId="71188097">
      <w:pPr>
        <w:pStyle w:val="6"/>
        <w:numPr>
          <w:ilvl w:val="0"/>
          <w:numId w:val="0"/>
        </w:numPr>
        <w:spacing w:before="190"/>
        <w:ind w:right="0" w:rightChars="0" w:firstLine="912" w:firstLineChars="300"/>
        <w:rPr>
          <w:rFonts w:hint="eastAsia" w:ascii="黑体" w:hAnsi="黑体" w:eastAsia="黑体" w:cs="黑体"/>
          <w:w w:val="95"/>
        </w:rPr>
      </w:pPr>
      <w:r>
        <w:rPr>
          <w:rFonts w:hint="eastAsia" w:ascii="黑体" w:hAnsi="黑体" w:eastAsia="黑体" w:cs="黑体"/>
          <w:w w:val="95"/>
          <w:lang w:eastAsia="zh-CN"/>
        </w:rPr>
        <w:t>六、</w:t>
      </w:r>
      <w:r>
        <w:rPr>
          <w:rFonts w:hint="eastAsia" w:ascii="黑体" w:hAnsi="黑体" w:eastAsia="黑体" w:cs="黑体"/>
          <w:w w:val="95"/>
        </w:rPr>
        <w:t>有关建议</w:t>
      </w:r>
    </w:p>
    <w:p w14:paraId="1B44A237">
      <w:pPr>
        <w:pStyle w:val="6"/>
        <w:numPr>
          <w:ilvl w:val="0"/>
          <w:numId w:val="0"/>
        </w:numPr>
        <w:spacing w:before="190"/>
        <w:ind w:right="0" w:rightChars="0" w:firstLine="640" w:firstLineChars="200"/>
        <w:rPr>
          <w:rFonts w:hint="eastAsia"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一）建议财政部门在组织各预算单位编制下年度预算时候，收集各预算单位实际情况和合理化建议统筹安排预算编制，不断优化预算项目设置。同时也建议财政部门结合预算一体化系统平台整合工作开展，充分利用云平台数据，加强项目资金执行情况分析，并作为下年预算安排的参考依据，认真考虑各预算单位递延项目和新增项目的合理性。</w:t>
      </w:r>
    </w:p>
    <w:p w14:paraId="23C6D785">
      <w:pPr>
        <w:pStyle w:val="6"/>
        <w:numPr>
          <w:ilvl w:val="0"/>
          <w:numId w:val="0"/>
        </w:numPr>
        <w:spacing w:before="190"/>
        <w:ind w:right="0" w:rightChars="0" w:firstLine="640" w:firstLineChars="200"/>
        <w:rPr>
          <w:rFonts w:hint="default" w:ascii="Times New Roman" w:hAnsi="Times New Roman" w:eastAsia="仿宋_GB2312" w:cs="Times New Roman"/>
          <w:b w:val="0"/>
          <w:bCs w:val="0"/>
          <w:sz w:val="32"/>
          <w:szCs w:val="32"/>
          <w:lang w:val="en-US" w:eastAsia="zh-CN" w:bidi="ar-SA"/>
        </w:rPr>
      </w:pPr>
      <w:r>
        <w:rPr>
          <w:rFonts w:hint="eastAsia" w:ascii="Times New Roman" w:hAnsi="Times New Roman" w:eastAsia="仿宋_GB2312" w:cs="Times New Roman"/>
          <w:b w:val="0"/>
          <w:bCs w:val="0"/>
          <w:sz w:val="32"/>
          <w:szCs w:val="32"/>
          <w:lang w:val="en-US" w:eastAsia="zh-CN" w:bidi="ar-SA"/>
        </w:rPr>
        <w:t>（二）建议财政部门进一步强化预算约束，加强项目资金动态管理，严格按照进度按照时间节点及时进行拨付，一方面便于单位根据下达的项目资金及时开展工作，如及时拨付人大会议费、选举经费、法制建设经费、民主评议经费等。</w:t>
      </w:r>
    </w:p>
    <w:p w14:paraId="4A7C896D">
      <w:pPr>
        <w:pStyle w:val="6"/>
        <w:spacing w:before="190"/>
        <w:ind w:firstLine="608" w:firstLineChars="200"/>
        <w:rPr>
          <w:rFonts w:hint="eastAsia" w:ascii="黑体" w:hAnsi="黑体" w:eastAsia="黑体" w:cs="黑体"/>
          <w:spacing w:val="-10"/>
          <w:w w:val="95"/>
        </w:rPr>
      </w:pPr>
      <w:r>
        <w:rPr>
          <w:rFonts w:hint="eastAsia" w:ascii="黑体" w:hAnsi="黑体" w:eastAsia="黑体" w:cs="黑体"/>
          <w:w w:val="95"/>
        </w:rPr>
        <w:t>七、其他需要说明的问</w:t>
      </w:r>
      <w:r>
        <w:rPr>
          <w:rFonts w:hint="eastAsia" w:ascii="黑体" w:hAnsi="黑体" w:eastAsia="黑体" w:cs="黑体"/>
          <w:spacing w:val="-10"/>
          <w:w w:val="95"/>
        </w:rPr>
        <w:t>题</w:t>
      </w:r>
    </w:p>
    <w:p w14:paraId="4FE1A07B">
      <w:pPr>
        <w:pStyle w:val="6"/>
        <w:spacing w:before="190" w:line="350" w:lineRule="auto"/>
        <w:ind w:right="954" w:firstLine="624" w:firstLineChars="200"/>
        <w:jc w:val="both"/>
        <w:rPr>
          <w:rFonts w:hint="eastAsia" w:ascii="仿宋" w:hAnsi="仿宋" w:eastAsia="仿宋" w:cs="仿宋"/>
          <w:spacing w:val="-2"/>
          <w:w w:val="99"/>
          <w:lang w:val="en-US" w:eastAsia="zh-CN"/>
        </w:rPr>
      </w:pPr>
      <w:r>
        <w:rPr>
          <w:rFonts w:hint="eastAsia" w:ascii="仿宋" w:hAnsi="仿宋" w:eastAsia="仿宋" w:cs="仿宋"/>
          <w:spacing w:val="-2"/>
          <w:w w:val="99"/>
          <w:lang w:val="en-US" w:eastAsia="zh-CN"/>
        </w:rPr>
        <w:t>无</w:t>
      </w:r>
    </w:p>
    <w:p w14:paraId="7B160754"/>
    <w:sectPr>
      <w:pgSz w:w="11900" w:h="16840"/>
      <w:pgMar w:top="1560" w:right="840" w:bottom="1260" w:left="840" w:header="0" w:footer="107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4056F"/>
    <w:multiLevelType w:val="singleLevel"/>
    <w:tmpl w:val="F674056F"/>
    <w:lvl w:ilvl="0" w:tentative="0">
      <w:start w:val="2"/>
      <w:numFmt w:val="chineseCounting"/>
      <w:suff w:val="nothing"/>
      <w:lvlText w:val="（%1）"/>
      <w:lvlJc w:val="left"/>
      <w:rPr>
        <w:rFonts w:hint="eastAsia"/>
      </w:rPr>
    </w:lvl>
  </w:abstractNum>
  <w:abstractNum w:abstractNumId="1">
    <w:nsid w:val="4BBA3EFA"/>
    <w:multiLevelType w:val="singleLevel"/>
    <w:tmpl w:val="4BBA3EF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DdiNjYzNTlmYTY2MmM3ODNlMzJjYWE1YmRhYzUifQ=="/>
  </w:docVars>
  <w:rsids>
    <w:rsidRoot w:val="3070666E"/>
    <w:rsid w:val="001B223C"/>
    <w:rsid w:val="00FC7C79"/>
    <w:rsid w:val="03391357"/>
    <w:rsid w:val="03925D04"/>
    <w:rsid w:val="061F3E1B"/>
    <w:rsid w:val="0ACB4F8A"/>
    <w:rsid w:val="0B8F5615"/>
    <w:rsid w:val="0BD50CE9"/>
    <w:rsid w:val="0CBB102F"/>
    <w:rsid w:val="0D9B6136"/>
    <w:rsid w:val="0EAC51C9"/>
    <w:rsid w:val="11A71C98"/>
    <w:rsid w:val="11B8229A"/>
    <w:rsid w:val="13C46A1B"/>
    <w:rsid w:val="13CA5B3F"/>
    <w:rsid w:val="14B13C12"/>
    <w:rsid w:val="16DB00D8"/>
    <w:rsid w:val="17597957"/>
    <w:rsid w:val="182D03BE"/>
    <w:rsid w:val="186F2D2B"/>
    <w:rsid w:val="18B057C0"/>
    <w:rsid w:val="1BDE6F32"/>
    <w:rsid w:val="20A91472"/>
    <w:rsid w:val="21DD600E"/>
    <w:rsid w:val="23307FB5"/>
    <w:rsid w:val="237856E2"/>
    <w:rsid w:val="23C1063A"/>
    <w:rsid w:val="24AF6810"/>
    <w:rsid w:val="26815ADB"/>
    <w:rsid w:val="27093307"/>
    <w:rsid w:val="27D36DD5"/>
    <w:rsid w:val="29825C73"/>
    <w:rsid w:val="2BF44E96"/>
    <w:rsid w:val="2CF31BD2"/>
    <w:rsid w:val="2D775E47"/>
    <w:rsid w:val="2EAB7F51"/>
    <w:rsid w:val="2FAF612D"/>
    <w:rsid w:val="3070666E"/>
    <w:rsid w:val="34012F1B"/>
    <w:rsid w:val="347D2547"/>
    <w:rsid w:val="349D4ABF"/>
    <w:rsid w:val="37F52D97"/>
    <w:rsid w:val="382F7E4E"/>
    <w:rsid w:val="3B445B64"/>
    <w:rsid w:val="3C6C1F6F"/>
    <w:rsid w:val="3CC66AB0"/>
    <w:rsid w:val="3CCC53B8"/>
    <w:rsid w:val="3D000214"/>
    <w:rsid w:val="3D1F717A"/>
    <w:rsid w:val="400A5C4F"/>
    <w:rsid w:val="40D55C93"/>
    <w:rsid w:val="4254452C"/>
    <w:rsid w:val="42752807"/>
    <w:rsid w:val="43924EDB"/>
    <w:rsid w:val="44817E8C"/>
    <w:rsid w:val="45102FBE"/>
    <w:rsid w:val="475E04CC"/>
    <w:rsid w:val="478C51A8"/>
    <w:rsid w:val="478C583D"/>
    <w:rsid w:val="47ED4C61"/>
    <w:rsid w:val="481E3C44"/>
    <w:rsid w:val="48623B31"/>
    <w:rsid w:val="48700CCD"/>
    <w:rsid w:val="49AF527E"/>
    <w:rsid w:val="49FC1D63"/>
    <w:rsid w:val="4A6A2D2F"/>
    <w:rsid w:val="4ADD6890"/>
    <w:rsid w:val="4BF54CBC"/>
    <w:rsid w:val="4C525C6E"/>
    <w:rsid w:val="4CF22BB7"/>
    <w:rsid w:val="4E7D5384"/>
    <w:rsid w:val="51F97259"/>
    <w:rsid w:val="52365C0D"/>
    <w:rsid w:val="5429409D"/>
    <w:rsid w:val="544132FF"/>
    <w:rsid w:val="5451081D"/>
    <w:rsid w:val="557F00B0"/>
    <w:rsid w:val="55E45A3B"/>
    <w:rsid w:val="58B101BD"/>
    <w:rsid w:val="59B4560D"/>
    <w:rsid w:val="5A005B9A"/>
    <w:rsid w:val="5B0427D1"/>
    <w:rsid w:val="5CEA610D"/>
    <w:rsid w:val="5EE60890"/>
    <w:rsid w:val="5FB40CBE"/>
    <w:rsid w:val="621B316D"/>
    <w:rsid w:val="631E2873"/>
    <w:rsid w:val="64394731"/>
    <w:rsid w:val="6653768C"/>
    <w:rsid w:val="67E20393"/>
    <w:rsid w:val="681C38A5"/>
    <w:rsid w:val="685D219D"/>
    <w:rsid w:val="687E4B7E"/>
    <w:rsid w:val="68B91D66"/>
    <w:rsid w:val="6E9139EF"/>
    <w:rsid w:val="6F347726"/>
    <w:rsid w:val="6F63625D"/>
    <w:rsid w:val="70140E54"/>
    <w:rsid w:val="71097740"/>
    <w:rsid w:val="72A8043B"/>
    <w:rsid w:val="730B726A"/>
    <w:rsid w:val="743A5B9A"/>
    <w:rsid w:val="74E145D6"/>
    <w:rsid w:val="751122B7"/>
    <w:rsid w:val="77DF669D"/>
    <w:rsid w:val="77EC457C"/>
    <w:rsid w:val="78476152"/>
    <w:rsid w:val="793309FF"/>
    <w:rsid w:val="7949120D"/>
    <w:rsid w:val="7B90055D"/>
    <w:rsid w:val="7D27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53"/>
      <w:ind w:left="30" w:right="27"/>
      <w:jc w:val="center"/>
      <w:outlineLvl w:val="1"/>
    </w:pPr>
    <w:rPr>
      <w:rFonts w:ascii="PMingLiU" w:hAnsi="PMingLiU" w:eastAsia="PMingLiU" w:cs="PMingLiU"/>
      <w:sz w:val="48"/>
      <w:szCs w:val="48"/>
      <w:lang w:val="en-US" w:eastAsia="zh-CN" w:bidi="ar-SA"/>
    </w:rPr>
  </w:style>
  <w:style w:type="paragraph" w:styleId="4">
    <w:name w:val="heading 2"/>
    <w:basedOn w:val="1"/>
    <w:next w:val="1"/>
    <w:qFormat/>
    <w:uiPriority w:val="1"/>
    <w:pPr>
      <w:spacing w:before="45"/>
      <w:ind w:left="30" w:right="28"/>
      <w:jc w:val="center"/>
      <w:outlineLvl w:val="2"/>
    </w:pPr>
    <w:rPr>
      <w:rFonts w:ascii="PMingLiU" w:hAnsi="PMingLiU" w:eastAsia="PMingLiU" w:cs="PMingLiU"/>
      <w:sz w:val="44"/>
      <w:szCs w:val="44"/>
      <w:lang w:val="en-US" w:eastAsia="zh-CN" w:bidi="ar-SA"/>
    </w:rPr>
  </w:style>
  <w:style w:type="paragraph" w:styleId="5">
    <w:name w:val="heading 3"/>
    <w:basedOn w:val="1"/>
    <w:next w:val="1"/>
    <w:qFormat/>
    <w:uiPriority w:val="1"/>
    <w:pPr>
      <w:ind w:left="30"/>
      <w:jc w:val="center"/>
      <w:outlineLvl w:val="3"/>
    </w:pPr>
    <w:rPr>
      <w:rFonts w:ascii="宋体" w:hAnsi="宋体" w:eastAsia="宋体" w:cs="宋体"/>
      <w:sz w:val="36"/>
      <w:szCs w:val="36"/>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Body Text"/>
    <w:basedOn w:val="1"/>
    <w:qFormat/>
    <w:uiPriority w:val="1"/>
    <w:rPr>
      <w:rFonts w:ascii="宋体" w:hAnsi="宋体" w:eastAsia="宋体" w:cs="宋体"/>
      <w:sz w:val="32"/>
      <w:szCs w:val="32"/>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2572</Words>
  <Characters>2624</Characters>
  <Lines>0</Lines>
  <Paragraphs>0</Paragraphs>
  <TotalTime>20</TotalTime>
  <ScaleCrop>false</ScaleCrop>
  <LinksUpToDate>false</LinksUpToDate>
  <CharactersWithSpaces>2641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2024-06-13T02:23:00Z</dcterms:created>
  <dc:creator>Administrator</dc:creator>
  <cp:lastModifiedBy>Administrator</cp:lastModifiedBy>
  <dcterms:modified xsi:type="dcterms:W3CDTF">2024-06-17T14:48:46Z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279F58B952E64981BD74B894C1801597_11</vt:lpwstr>
  </property>
</Properties>
</file>