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eastAsia="zh-CN"/>
        </w:rPr>
        <w:t>人民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val="en-US" w:eastAsia="zh-CN"/>
        </w:rPr>
        <w:t>街道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部门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（一）部门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概况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石鼓区人民街道位于衡阳市老城区中心地段，辖区面积约0.33平方公里，人口约3万。人民街道办事处是区委、区政府派驻机构，正科级全额拨款单位。本部门由有1个行政单位，3个二级事业单位、4个党政机构组成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政单位具体为街道本级；3个二级事业单位具体为综合行政执法大队、社会事业综合服务中心（文化综合服务站、退役军人服务站）、政务服务中心；内设4个党政机构具体为党政综合办公室（基层党建工作办公室）、经济发展办公室、社会事务办公室、自然资源和生态环境办公室（社会治安综合治理和应急管理管理办公室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部门绩效目标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设立情况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部门绩效目标：按照国家政策、法规规定和政府工作实际情况，建立健全财务管理制度，将财政资金和街道所有资金纳入监管范围，保证资金足额、按时拨付，提高财政资金使用效率。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eastAsia="zh-CN"/>
        </w:rPr>
        <w:t>一般公共预算支出情况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Chars="20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（一）基本支出情况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年本街道全年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收入总额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1048.6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万元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按收入性质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划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分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 xml:space="preserve">其中: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财政拨款收入1048.6元。2023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年本街道全年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执行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1048.6万元，其中：基本支出733.82万元，项目支出314.78万元。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eastAsia="仿宋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项目支出情况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2023年项目支出314.78万元，主要包括： 村社区工作经费、社区惠民资金、村社区信息经费、社区网格化经费、社区运转经费、社区及养老机构办公用房租金。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eastAsia="仿宋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00" w:firstLineChars="200"/>
        <w:jc w:val="both"/>
        <w:textAlignment w:val="auto"/>
        <w:outlineLvl w:val="9"/>
        <w:rPr>
          <w:rFonts w:hint="eastAsia" w:eastAsia="仿宋" w:cs="Times New Roman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eastAsia="仿宋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</w:pPr>
      <w:r>
        <w:rPr>
          <w:rFonts w:hint="eastAsia" w:eastAsia="仿宋" w:cs="Times New Roman"/>
          <w:b/>
          <w:bCs/>
          <w:color w:val="auto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、部门整体支出绩效情况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人民街道建立健全部门预算管理制度，在工作中全面贯彻贯彻执行党的路线方针政策和国家地方法规，落实城区党委政府各项指示和决定，抓好辖区创建全国文明城市、巩固全国卫生城市、社会治安综合治理、文明创建等社会性群众性工作，坚持稳中求进工作总基调，坚持新发展理念，强化财政收支管理，牢固树立过“紧日子”思想，推进厉行节约，压缩一般性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1、预算编制情况。严格按照《中华人民共和国预算法》和相关法律法规要求，根据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区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财政局的部署要求，按照保工资、保运转、保民生的支出顺序安排预算，财政资金实行统一编制，统一管理，人员经费和公用经费严格执行定额定员标准，各项支出真实全面反映。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2、执行管理情况。街道在预算执行中严格执行街道财务管理相关规定，树立过紧日子的思想，严控“三公经费”及工作经费类等一般性支出，提高财政资金使用效益。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2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3、决算编制情况。街道按实际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收入支出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情况编制决算报表，做到账证、账表、账实相符。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、存在的问题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</w:rPr>
        <w:t>原因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20" w:firstLineChars="200"/>
        <w:textAlignment w:val="auto"/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存在问题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及原因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一是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绩效评价还处在起步实施阶段，财务人员对绩效评价的理解和掌握还有一个过程，对绩效评价结果的运用不够充分。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二是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部分单位人员还存在重建设轻绩效的思想，对绩效评价的重要性认识还有待加强。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八、下一步改进措施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20" w:firstLineChars="20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改进措施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：要求相关单位加快项目支出进度、完工验收、资金报账进度等，进一步提高资金使用效益，积极按要求进行公示公开，同时加强对绩效管理和评价的学习，将绩效评价贯穿项目建设的全过程。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其他需要说明情况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bookmarkStart w:id="0" w:name="_GoBack"/>
      <w:bookmarkEnd w:id="0"/>
    </w:p>
    <w:tbl>
      <w:tblPr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"/>
        <w:gridCol w:w="903"/>
        <w:gridCol w:w="1558"/>
        <w:gridCol w:w="777"/>
        <w:gridCol w:w="1170"/>
        <w:gridCol w:w="1609"/>
        <w:gridCol w:w="806"/>
        <w:gridCol w:w="806"/>
        <w:gridCol w:w="984"/>
        <w:gridCol w:w="715"/>
        <w:gridCol w:w="4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预算部门名称</w:t>
            </w: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石鼓区人民街道办事处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年初预算数(万元)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全年预算数（万元）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全年执行数（万元）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1048.60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1048.60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1048.60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按收入性质分：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按支出性质分：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一般公共预算：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1048.60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其中:基本支出：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政府性基金拨款：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纳入专户管理的非税收入拨款：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项目支出：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6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9" w:hRule="atLeast"/>
        </w:trPr>
        <w:tc>
          <w:tcPr>
            <w:tcW w:w="26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目标1：贯彻执行上级的各项方针政策，保障公民享有宪法规定的经济、政治和文化权利。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目标2：加强综合治理，维护社会稳定，妥善处理突发性、群体性事件，调节和处理好各种利益矛盾和纠纷。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目标3：根据创建文明城市巩固卫生城市的需要，组织实行辖区内各种活动。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目标4：保障人员经费与日常运转。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员经费与日常运转，根据创建文明城市巩固卫生城市的需要，组织实行辖区内各种活动，加强综合治理，维护社会稳定，妥善处理突发性、群体性事件，调节和处理好各种利益矛盾和纠纷，贯彻执行上级的各项方针政策，保障公民享有宪法规定的经济、政治和文化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1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消防排查、安全生产隐患排查次数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保障工资正常发放月份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组织各类活动次数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预算执行率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2023年1-12月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“三公”经费控制率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保证各项工作的开展，努力创建和谐社会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发展创造和谐稳定的生态环境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人与自然和谐发展，维护生态与经济的平衡发展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服务群众满意，满意率在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根据2023年工作安排经费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不超出预算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未超出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01DD9"/>
    <w:multiLevelType w:val="singleLevel"/>
    <w:tmpl w:val="E2C01D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7AB579"/>
    <w:multiLevelType w:val="singleLevel"/>
    <w:tmpl w:val="1C7AB57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9F5E55"/>
    <w:multiLevelType w:val="singleLevel"/>
    <w:tmpl w:val="429F5E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8C80BF"/>
    <w:multiLevelType w:val="singleLevel"/>
    <w:tmpl w:val="548C80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0B7E"/>
    <w:rsid w:val="0FA93FC3"/>
    <w:rsid w:val="230E33C4"/>
    <w:rsid w:val="60510EED"/>
    <w:rsid w:val="6236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等线" w:hAnsi="等线" w:eastAsia="等线" w:cs="Times New Roman"/>
      <w:kern w:val="2"/>
      <w:sz w:val="21"/>
      <w:szCs w:val="21"/>
      <w:lang w:val="en-US" w:eastAsia="zh-CN" w:bidi="ar"/>
    </w:rPr>
  </w:style>
  <w:style w:type="paragraph" w:customStyle="1" w:styleId="6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2024-06-18T00:51:00Z</dcterms:created>
  <dc:creator>Administrator</dc:creator>
  <cp:lastModifiedBy>∞</cp:lastModifiedBy>
  <cp:lastPrinted>2024-11-20T09:23:00Z</cp:lastPrinted>
  <dcterms:modified xsi:type="dcterms:W3CDTF">2024-12-19T02:12:26Z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