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</w:p>
    <w:p>
      <w:pPr>
        <w:autoSpaceDE w:val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年度石鼓区园林绿化所</w:t>
      </w:r>
    </w:p>
    <w:p>
      <w:pPr>
        <w:autoSpaceDE w:val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绩效自评报告</w:t>
      </w:r>
    </w:p>
    <w:p>
      <w:pPr>
        <w:pStyle w:val="3"/>
        <w:spacing w:before="7"/>
        <w:rPr>
          <w:sz w:val="43"/>
        </w:rPr>
      </w:pPr>
    </w:p>
    <w:p>
      <w:pPr>
        <w:pStyle w:val="3"/>
        <w:numPr>
          <w:ilvl w:val="0"/>
          <w:numId w:val="1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部门、单位基本情况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（一） 石鼓区园林绿化所基本情况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1、负责辖区内主次干道行道树和绿地的日常养护工作；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2、负责管护区内绿化及配套设施的改造工作；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3、负责普查和管理辖区内绿化资源及设施设备；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4、负责向城市管理和综合执法局上报绿地占用和损绿、毁绿情况；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5、承担本所技术工人的技能考核；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6、完成上级交办的其他工作；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本单位内设机构包括：办公室、财务股、维护股、质检股、工程股；我所是副科级全额事业单位，单位编制数为22人。截止2023年12月底，共有财政全额拔款人员32人，其中：在职人员14人，退休人员18人，临聘养护工人64人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（二）石鼓区园林绿化所2023年度整体支出绩效目标和专项资金绩效目标：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（1）确保绿地、花坛、小游园和行道树无毁坏、缺株、病虫害。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（2）确保公共绿地、绿化带、花坛等无杂草、杂物、垃圾、老鼠洞。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（3）按季节做好绿地乔木、灌木、球类、地被、草皮和行道树的修剪整形工作。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（4）确保公共绿地、绿化带、花坛等周边路沿石无破损、歪斜。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（5）确保绿地植物上无明显灰尘、污染物或焚烧痕迹。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（6）确保病死株、老化苗及时更换。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（7）做好肥水管理，确保苗木生长健壮。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（8）对园林作业后黄土污染侧石、路面及时清洗。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（9）对擅自侵占公共绿地、损绿和毁绿行为及时上报并处理。</w:t>
      </w:r>
    </w:p>
    <w:p>
      <w:pPr>
        <w:pStyle w:val="3"/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二、一般公共预算支出情况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</w:rPr>
        <w:t>（一）基本支出情况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</w:rPr>
        <w:t>（二）项目支出情况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（一） 基本支出情况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2023年度基本支出545.9万元，主要用途：在职人员的工资及奖金、退休福利费、日常公用等经费。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（二） 项目支出情况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2023年度项目支出464.41万元，主要用途：园林管护资金、节假日摆花、西湖公园（代收代付）等项目。</w:t>
      </w:r>
    </w:p>
    <w:p>
      <w:pPr>
        <w:pStyle w:val="3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政府性基金预算支出情况</w:t>
      </w:r>
    </w:p>
    <w:p>
      <w:pPr>
        <w:pStyle w:val="3"/>
        <w:spacing w:line="560" w:lineRule="exact"/>
        <w:ind w:left="1599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本单位无政府性基金预算支出</w:t>
      </w:r>
    </w:p>
    <w:p>
      <w:pPr>
        <w:pStyle w:val="3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国有资本经营预算支出情况</w:t>
      </w:r>
    </w:p>
    <w:p>
      <w:pPr>
        <w:pStyle w:val="3"/>
        <w:spacing w:line="560" w:lineRule="exact"/>
        <w:ind w:left="1599" w:firstLine="320" w:firstLineChars="10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本单位无国有资本经营预算支出</w:t>
      </w:r>
    </w:p>
    <w:p>
      <w:pPr>
        <w:pStyle w:val="3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社会保险基金预算支出情况</w:t>
      </w:r>
    </w:p>
    <w:p>
      <w:pPr>
        <w:pStyle w:val="3"/>
        <w:spacing w:line="560" w:lineRule="exact"/>
        <w:ind w:left="1599" w:firstLine="320" w:firstLineChars="10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本单位无社会保险基金预算支出</w:t>
      </w:r>
    </w:p>
    <w:p>
      <w:pPr>
        <w:pStyle w:val="3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部门整体支出绩效情况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根据2023年度我所整体支出结合本单位实际情况，具体评价如下：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1、资金管理评价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从资金管理方面，一是专项资金建立了相关业务管理制度，资金拨付有完整的审批程序和手续。项目制定了项目管理制度，机构健全，分工明确；二是资金管理制度健全，建立了项目实施日常管理制度，确保项目按计划完成；三是资金使用规范，做到“专款专用”；四是园林绿化管护成效好，居民生活环境舒适度增加，为衡阳市“创文、创卫”工作做出了贡献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2、效率性评价和有效性评价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完成并确保绿地、花坛、小游园和行道树无毁坏、缺株、病虫害；完成并确保公共绿地、绿化带、花坛等无杂草、杂物、垃圾、老鼠洞；完成乔木、灌木、球类、地被、草皮等修剪整形工作；完成并确保公共绿地、绿化带、花坛等周边路沿石无破损、歪斜；完成并确保绿地植物上无明显灰尘、污染物或焚烧痕迹；确保病死株、老化苗及时更换；完成肥水管理，确保植物生长旺盛；完成并确保园林施工后场地干净整洁；对擅自侵占公共绿地、损绿和毁绿行为及时上报处理。</w:t>
      </w:r>
    </w:p>
    <w:p>
      <w:pPr>
        <w:pStyle w:val="3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存在的问题及原因分析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1、管辖面积大、人员少，管护难度大，需尽快将园林养护推向市场化管理。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2、人流量大的片区踩踏非常严重，导致多次补种，效果不佳。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3、因马路两旁车辆停靠较多，给园林施工设置了诸多障碍，增加了工作难度。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4、因社区绿地较分散，社区道路狭窄，车辆不便进出，养护难度大。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 xml:space="preserve"> 5、一线临聘人员年龄偏大，技术力量薄弱，存在较大安全隐患。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 xml:space="preserve"> 6、一线工作人员安全意识薄弱，需时刻提醒安全生产意识。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 xml:space="preserve"> 7、作业车辆普遍性能差，驾驭难度大，存在安全隐患。洒水车数量有限，旱情来临时造成苗木死亡率高。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8、社区绿化管理难度大，面积分散，破坏严重，无水源和水源压力小，需增加多辆小型或微型水车和货车方便工作。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9、对损绿毁绿行为无执法权，对绿地开挖无审批权。</w:t>
      </w:r>
    </w:p>
    <w:p>
      <w:pPr>
        <w:pStyle w:val="3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下一步改进措施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1、加大城市绿化资金的投入，政府需要设立绿化基金，加大资金投入，保障城市绿化建设。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2、“门前三包”责任制应尽早落实到位。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3、相关部门和单位应加强对未移交绿地、房地产开发商建设绿地、有物业管理的小区绿地的管养。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4、社区绿化社区应共同参与，共同维护。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5、动员全社会力量，加大对爱绿护绿的宣传。</w:t>
      </w:r>
    </w:p>
    <w:p>
      <w:pPr>
        <w:pStyle w:val="3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6、要加快推进我区园林绿化养护管理市场化进程，加快园林体制改革步伐，使园林绿化养护管理向市场化、精细化、规模化进程发展，提高园林管理水平和养护质量。</w:t>
      </w:r>
    </w:p>
    <w:p>
      <w:pPr>
        <w:pStyle w:val="3"/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九、其他需要说明的情况</w:t>
      </w:r>
    </w:p>
    <w:p>
      <w:pPr>
        <w:pStyle w:val="3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根据以上绩效评价，我所绩效自评得分95.2。</w:t>
      </w:r>
    </w:p>
    <w:p>
      <w:pPr>
        <w:pStyle w:val="3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kern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24"/>
          <w:szCs w:val="2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/>
        </w:rPr>
        <w:t>)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55"/>
        <w:gridCol w:w="1194"/>
        <w:gridCol w:w="1079"/>
        <w:gridCol w:w="91"/>
        <w:gridCol w:w="1146"/>
        <w:gridCol w:w="1084"/>
        <w:gridCol w:w="697"/>
        <w:gridCol w:w="865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预算部门名称</w:t>
            </w:r>
          </w:p>
        </w:tc>
        <w:tc>
          <w:tcPr>
            <w:tcW w:w="87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/>
              </w:rPr>
              <w:t>石鼓区园林绿化所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年度预算申请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预算数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全年预算数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执行数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分值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执行率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年度资金总额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279.27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1010.31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1010.31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10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lang w:val="en-US" w:eastAsia="zh-CN"/>
              </w:rPr>
              <w:t>100%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按收入性质分：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 xml:space="preserve">  其中：  一般公共预算：781.54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其中：基本支出：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/>
              </w:rPr>
              <w:t>545.9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80" w:firstLineChars="4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政府性基金拨款：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60" w:firstLineChars="3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项目支出：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/>
              </w:rPr>
              <w:t>464.41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纳入专户管理的非税收入拨款：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80" w:firstLineChars="4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其他资金：228.77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年度总体目标</w:t>
            </w: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预期目标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达到城乡治理标准化要求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根据进度完成达标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标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一级指标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二级指标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三级指标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指标值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完成值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得分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(50分)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新增绿地面积率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"/>
                <w:kern w:val="0"/>
                <w:sz w:val="21"/>
                <w:szCs w:val="21"/>
                <w:lang w:val="en-US"/>
              </w:rPr>
              <w:t>100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"/>
                <w:kern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乔木养护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"/>
                <w:kern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植株强壮、完整、无病虫害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植株强壮、完整、无病虫害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8</w:t>
            </w: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日常维护质量整体效果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按时完成结算按时归档资料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按时完成进度款拨付和资料整理归档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按时完成资金拨付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按时完成资金拨付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95%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按最低价成交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按最低价成交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90%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预算是否超支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未超支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（30分）　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益指标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促进园林行业经济发展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促进园林经济发展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98%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……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益指标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eastAsia="zh-CN"/>
              </w:rPr>
              <w:t>排除居民安全隐患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eastAsia="zh-CN"/>
              </w:rPr>
              <w:t>及时、高效排除安全隐患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市容美观干净效果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95%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益指标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绿化率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提高绿化率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98%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绿地覆盖率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提升绿地覆盖率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98%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可持续影响指标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园林管护可持续发展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lang w:eastAsia="zh-CN"/>
              </w:rPr>
              <w:t>园林生态环境可持续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100%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（10分）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服务对象满意度指标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市民满意程度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基本满意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eastAsia="zh-CN"/>
              </w:rPr>
              <w:t>社区居民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满意程度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基本满意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9</w:t>
            </w: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.2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5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总分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100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95.2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/>
    <w:p>
      <w:pPr>
        <w:pStyle w:val="3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kern w:val="2"/>
        </w:rPr>
        <w:sectPr>
          <w:footerReference r:id="rId3" w:type="even"/>
          <w:pgSz w:w="11900" w:h="16840"/>
          <w:pgMar w:top="1420" w:right="840" w:bottom="1260" w:left="840" w:header="0" w:footer="1074" w:gutter="0"/>
          <w:pgNumType w:start="1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10002003" w:usb1="AB1E0800" w:usb2="000A004E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9866630</wp:posOffset>
              </wp:positionV>
              <wp:extent cx="411480" cy="223520"/>
              <wp:effectExtent l="0" t="0" r="0" b="0"/>
              <wp:wrapNone/>
              <wp:docPr id="1" name="docshap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7" o:spid="_x0000_s1026" o:spt="202" type="#_x0000_t202" style="position:absolute;left:0pt;margin-left:88.95pt;margin-top:776.9pt;height:17.6pt;width:32.4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xmTUU2gAAAA0BAAAPAAAAAAAAAAEAIAAAADgAAABkcnMvZG93bnJldi54&#10;bWxQSwECFAAUAAAACACHTuJACDeXnKkBAABvAwAADgAAAAAAAAABACAAAAA/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</w:rPr>
                      <w:t>10</w:t>
                    </w:r>
                    <w:r>
                      <w:rPr>
                        <w:rFonts w:asci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CDDA5"/>
    <w:multiLevelType w:val="singleLevel"/>
    <w:tmpl w:val="961CDD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6DAD7A"/>
    <w:multiLevelType w:val="singleLevel"/>
    <w:tmpl w:val="4F6DAD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8D"/>
    <w:rsid w:val="00140567"/>
    <w:rsid w:val="006850AE"/>
    <w:rsid w:val="007B2697"/>
    <w:rsid w:val="009C5A3C"/>
    <w:rsid w:val="00A1178D"/>
    <w:rsid w:val="00A35DEC"/>
    <w:rsid w:val="00AA2C7C"/>
    <w:rsid w:val="00B2243F"/>
    <w:rsid w:val="2CF710A6"/>
    <w:rsid w:val="37ED2DAF"/>
    <w:rsid w:val="6B3DC39E"/>
    <w:rsid w:val="7ACDEFEE"/>
    <w:rsid w:val="7BC3457A"/>
    <w:rsid w:val="7BDF0FD4"/>
    <w:rsid w:val="7BFBA4C6"/>
    <w:rsid w:val="7BFF90DA"/>
    <w:rsid w:val="7E7FFD8F"/>
    <w:rsid w:val="7FF7FF1B"/>
    <w:rsid w:val="CEDFBC31"/>
    <w:rsid w:val="CEEDC51C"/>
    <w:rsid w:val="D8DE56D4"/>
    <w:rsid w:val="DDEE851A"/>
    <w:rsid w:val="E7FFE4B9"/>
    <w:rsid w:val="F7EE5CD8"/>
    <w:rsid w:val="F8D5B69C"/>
    <w:rsid w:val="FD5EDA6E"/>
    <w:rsid w:val="FE2ABDBD"/>
    <w:rsid w:val="FEFF2E93"/>
    <w:rsid w:val="FFB77FE9"/>
    <w:rsid w:val="FFD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1"/>
    <w:pPr>
      <w:spacing w:before="45"/>
      <w:ind w:left="30" w:right="28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Body Text Indent 2"/>
    <w:basedOn w:val="1"/>
    <w:link w:val="1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1"/>
    <w:rPr>
      <w:rFonts w:ascii="PMingLiU" w:hAnsi="PMingLiU" w:eastAsia="PMingLiU" w:cs="PMingLiU"/>
      <w:kern w:val="0"/>
      <w:sz w:val="44"/>
      <w:szCs w:val="44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3">
    <w:name w:val="正文文本缩进 2 Char"/>
    <w:basedOn w:val="8"/>
    <w:link w:val="4"/>
    <w:semiHidden/>
    <w:qFormat/>
    <w:uiPriority w:val="99"/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286</Words>
  <Characters>1631</Characters>
  <Lines>13</Lines>
  <Paragraphs>3</Paragraphs>
  <TotalTime>3</TotalTime>
  <ScaleCrop>false</ScaleCrop>
  <LinksUpToDate>false</LinksUpToDate>
  <CharactersWithSpaces>1914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2024-06-12T10:14:00Z</dcterms:created>
  <dc:creator>Micorosoft</dc:creator>
  <cp:lastModifiedBy>kylin</cp:lastModifiedBy>
  <dcterms:modified xsi:type="dcterms:W3CDTF">2024-12-19T10:36:25Z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31193936642CFC12953061677FF946DD_43</vt:lpwstr>
  </property>
</Properties>
</file>