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年度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石鼓区司法局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部门整体支出绩效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（一）单位基本情况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1、单位职责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（一）承担全区法律援助、社区矫正、安置帮教、人民调解、基层法律服务、法治宣传、律师管理等司法行政工作任务。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（二）指导全区规范性文件管理有关工作，承担区政府和区政府办公室规范性文件送审稿的合法性审查工作，承办区政府及其各部门规范性文件的备案登记工作，受理有关规范性文件违法审查申请。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（三）承担全区行政复议、应诉的有关工作。承担申请区人民政府裁决的行政复议案件，办理区政府受理的行政赔偿案件，承办区政府的行政应诉事项。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（四）承担区政府法律顾问工作；负责对区政府重大行政决策进行合法性审查或者论证说明。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机构设置情况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内设股室为区委全面依法治区委员会办公室秘书股、政工室、办公室、行政复议应诉与法律事务室、行政执法协调监督与规范性文件管理室、普法与依法治理股、基层法治建设办公室、公共法律服务股等8个股室。所属事业单位为社区矫正服务中心、法律援助中心等2个单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二、一般公共预算支出情况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年度财政拨款基本支出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453.87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万元，其中：人员经费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400.56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万元，占基本支出的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88.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%，主要包括基本工资、津贴补贴、奖金、机关事业单位基本养老保险缴费、职工基本医疗保险缴费、其他社会保障缴费、住房公积金、其他工资福利支出、退休费、生活补助；公用经费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53.31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万元，占基本支出的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11.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%，主要包括办公费、印刷费、咨询费、手续费、水费、邮电费、差旅费、维修（护）费、会议费、培训费、公务接待费、劳务费、工会经费、其他交通费用、其他商品和服务支出、办公设备购置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年度财政拨款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支出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298.47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包括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法律援助、法律服务、社区矫正、人民调解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等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政府性基金预算支出情况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：无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国有资本经营预算支出情况：无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社会保险基金预算支出情况：无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年我局扎实抓好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司法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业务工作，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严格按照预算绩效控制支出，部门整体支出使用效果达到预期。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sz w:val="30"/>
          <w:szCs w:val="30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我局预算编制全面性、科学性、精准性还有待加强。      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</w:t>
      </w:r>
      <w:r>
        <w:rPr>
          <w:rFonts w:hint="eastAsia" w:ascii="黑体" w:hAnsi="黑体" w:eastAsia="黑体" w:cs="黑体"/>
          <w:sz w:val="30"/>
          <w:szCs w:val="30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逐步完善预算管理机制，提高经费使用效益，尽最大限度提示工作的预见性，在绩效目标的具体化和量化上下功夫。提高预算编制的科学水平，强化预算执行力度，提高预算执行效率。加强人员的培训和业务学习，不断提高工作人员的政治素质、业务能力和职业道德水平。</w:t>
      </w:r>
    </w:p>
    <w:p>
      <w:pPr>
        <w:pStyle w:val="2"/>
        <w:ind w:firstLine="600" w:firstLineChars="200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九、绩效自评结果拟应用和公开情况：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自评结果</w:t>
      </w:r>
      <w:r>
        <w:rPr>
          <w:rFonts w:hint="eastAsia" w:eastAsia="仿宋" w:cs="Times New Roman"/>
          <w:color w:val="auto"/>
          <w:kern w:val="2"/>
          <w:sz w:val="28"/>
          <w:szCs w:val="28"/>
          <w:lang w:val="en-US" w:eastAsia="zh-CN" w:bidi="ar-SA"/>
        </w:rPr>
        <w:t>97.38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lang w:val="en-US" w:eastAsia="zh-CN" w:bidi="ar-SA"/>
        </w:rPr>
        <w:t>分。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</w:t>
      </w:r>
      <w:r>
        <w:rPr>
          <w:rFonts w:hint="eastAsia" w:ascii="黑体" w:hAnsi="黑体" w:eastAsia="黑体" w:cs="黑体"/>
          <w:sz w:val="30"/>
          <w:szCs w:val="30"/>
        </w:rPr>
        <w:t>其他需要说明的情况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  <w:t>无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701" w:bottom="1440" w:left="1701" w:header="720" w:footer="1077" w:gutter="0"/>
      <w:pgNumType w:fmt="decimal"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  <w:ind w:right="360" w:firstLine="360"/>
      <w:rPr>
        <w:sz w:val="28"/>
        <w:szCs w:val="28"/>
      </w:rPr>
    </w:pPr>
    <w:r>
      <w:rPr>
        <w:rStyle w:val="8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BFD35"/>
    <w:multiLevelType w:val="singleLevel"/>
    <w:tmpl w:val="958BFD3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93FEA37"/>
    <w:multiLevelType w:val="singleLevel"/>
    <w:tmpl w:val="993FEA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jBkMDI0ZmNhNTViZmI0YzZlZjYzNTRlMzY2MzEifQ=="/>
  </w:docVars>
  <w:rsids>
    <w:rsidRoot w:val="00000000"/>
    <w:rsid w:val="02A10CB7"/>
    <w:rsid w:val="0D2D2A9B"/>
    <w:rsid w:val="0F50402B"/>
    <w:rsid w:val="11B71600"/>
    <w:rsid w:val="12A5432E"/>
    <w:rsid w:val="2026718D"/>
    <w:rsid w:val="211B5E32"/>
    <w:rsid w:val="23B06FF7"/>
    <w:rsid w:val="32143366"/>
    <w:rsid w:val="33C47DD7"/>
    <w:rsid w:val="344716E9"/>
    <w:rsid w:val="39386CA2"/>
    <w:rsid w:val="3F5C2634"/>
    <w:rsid w:val="487A1394"/>
    <w:rsid w:val="4A5C67F2"/>
    <w:rsid w:val="4E9D2670"/>
    <w:rsid w:val="5CD39E28"/>
    <w:rsid w:val="5F1B54D5"/>
    <w:rsid w:val="65703F5E"/>
    <w:rsid w:val="7BF94E0A"/>
    <w:rsid w:val="7CED576A"/>
    <w:rsid w:val="7E663B51"/>
    <w:rsid w:val="F5D5BBD1"/>
    <w:rsid w:val="FB72F8CE"/>
    <w:rsid w:val="FFF7E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1677</Characters>
  <Lines>0</Lines>
  <Paragraphs>0</Paragraphs>
  <TotalTime>7</TotalTime>
  <ScaleCrop>false</ScaleCrop>
  <LinksUpToDate>false</LinksUpToDate>
  <CharactersWithSpaces>1685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2024-07-06T09:04:12Z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DD0BBFE5B9C4453F80E9EE4923255D3D</vt:lpwstr>
  </property>
</Properties>
</file>