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val="en-US" w:eastAsia="zh-CN"/>
        </w:rPr>
        <w:t>2023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</w:rPr>
        <w:t>年度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eastAsia="zh-CN"/>
        </w:rPr>
        <w:t>石鼓区团区委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</w:rPr>
        <w:t>部门整体支出绩效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</w:rPr>
        <w:t>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（一）单位基本情况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1、单位职责</w:t>
      </w:r>
    </w:p>
    <w:p>
      <w:pPr>
        <w:pStyle w:val="5"/>
        <w:spacing w:before="0" w:beforeAutospacing="0" w:after="0" w:afterAutospacing="0" w:line="480" w:lineRule="atLeast"/>
        <w:ind w:firstLine="645"/>
        <w:rPr>
          <w:rFonts w:ascii="仿宋_GB2312" w:hAnsi="仿宋" w:eastAsia="仿宋_GB2312" w:cs="Times New Roman"/>
          <w:kern w:val="2"/>
          <w:sz w:val="28"/>
          <w:szCs w:val="28"/>
        </w:rPr>
      </w:pPr>
      <w:r>
        <w:rPr>
          <w:rFonts w:ascii="仿宋_GB2312" w:hAnsi="仿宋" w:eastAsia="仿宋_GB2312" w:cs="Times New Roman"/>
          <w:kern w:val="2"/>
          <w:sz w:val="28"/>
          <w:szCs w:val="28"/>
        </w:rPr>
        <w:t>1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．行使区委赋予的领导和管理全区共青团和少先队工作、对全区青年社团组织、区属各单位团组织、各小学大队部进行指导和管理。</w:t>
      </w:r>
    </w:p>
    <w:p>
      <w:pPr>
        <w:pStyle w:val="5"/>
        <w:spacing w:before="0" w:beforeAutospacing="0" w:after="0" w:afterAutospacing="0" w:line="480" w:lineRule="atLeast"/>
        <w:ind w:firstLine="645"/>
        <w:rPr>
          <w:rFonts w:hint="eastAsia" w:ascii="仿宋_GB2312" w:hAnsi="仿宋" w:eastAsia="仿宋_GB2312" w:cs="Times New Roman"/>
          <w:kern w:val="2"/>
          <w:sz w:val="28"/>
          <w:szCs w:val="28"/>
        </w:rPr>
      </w:pPr>
      <w:r>
        <w:rPr>
          <w:rFonts w:ascii="仿宋_GB2312" w:hAnsi="仿宋" w:eastAsia="仿宋_GB2312" w:cs="Times New Roman"/>
          <w:kern w:val="2"/>
          <w:sz w:val="28"/>
          <w:szCs w:val="28"/>
        </w:rPr>
        <w:t>2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．制定全区青少年事业发展和青少年工作方案、政策，对青少年活动阵地和青少年服务机构的建设进行规划和管理。</w:t>
      </w:r>
    </w:p>
    <w:p>
      <w:pPr>
        <w:pStyle w:val="5"/>
        <w:spacing w:before="0" w:beforeAutospacing="0" w:after="0" w:afterAutospacing="0" w:line="480" w:lineRule="atLeast"/>
        <w:ind w:firstLine="645"/>
        <w:rPr>
          <w:rFonts w:hint="eastAsia" w:ascii="仿宋_GB2312" w:hAnsi="仿宋" w:eastAsia="仿宋_GB2312" w:cs="Times New Roman"/>
          <w:kern w:val="2"/>
          <w:sz w:val="28"/>
          <w:szCs w:val="28"/>
        </w:rPr>
      </w:pPr>
      <w:r>
        <w:rPr>
          <w:rFonts w:ascii="仿宋_GB2312" w:hAnsi="仿宋" w:eastAsia="仿宋_GB2312" w:cs="Times New Roman"/>
          <w:kern w:val="2"/>
          <w:sz w:val="28"/>
          <w:szCs w:val="28"/>
        </w:rPr>
        <w:t>3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．组织实施有关青少年事务的法律和法规，协助区委、区政府处理与青少年利益相关的事务。</w:t>
      </w:r>
    </w:p>
    <w:p>
      <w:pPr>
        <w:pStyle w:val="5"/>
        <w:spacing w:before="0" w:beforeAutospacing="0" w:after="0" w:afterAutospacing="0" w:line="480" w:lineRule="atLeast"/>
        <w:ind w:firstLine="645"/>
        <w:rPr>
          <w:rFonts w:hint="eastAsia" w:ascii="仿宋_GB2312" w:hAnsi="仿宋" w:eastAsia="仿宋_GB2312" w:cs="Times New Roman"/>
          <w:kern w:val="2"/>
          <w:sz w:val="28"/>
          <w:szCs w:val="28"/>
        </w:rPr>
      </w:pPr>
      <w:r>
        <w:rPr>
          <w:rFonts w:ascii="仿宋_GB2312" w:hAnsi="仿宋" w:eastAsia="仿宋_GB2312" w:cs="Times New Roman"/>
          <w:kern w:val="2"/>
          <w:sz w:val="28"/>
          <w:szCs w:val="28"/>
        </w:rPr>
        <w:t>4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．调查青年思想动态和青年工作状况，提出相应对策，组织</w:t>
      </w:r>
      <w:r>
        <w:rPr>
          <w:rFonts w:ascii="仿宋_GB2312" w:hAnsi="仿宋" w:eastAsia="仿宋_GB2312" w:cs="Times New Roman"/>
          <w:kern w:val="2"/>
          <w:sz w:val="28"/>
          <w:szCs w:val="28"/>
        </w:rPr>
        <w:t>"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青年志愿者</w:t>
      </w:r>
      <w:r>
        <w:rPr>
          <w:rFonts w:ascii="仿宋_GB2312" w:hAnsi="仿宋" w:eastAsia="仿宋_GB2312" w:cs="Times New Roman"/>
          <w:kern w:val="2"/>
          <w:sz w:val="28"/>
          <w:szCs w:val="28"/>
        </w:rPr>
        <w:t>"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开展各种有益的活动。</w:t>
      </w:r>
    </w:p>
    <w:p>
      <w:pPr>
        <w:pStyle w:val="5"/>
        <w:spacing w:before="0" w:beforeAutospacing="0" w:after="0" w:afterAutospacing="0" w:line="480" w:lineRule="atLeast"/>
        <w:ind w:firstLine="645"/>
        <w:rPr>
          <w:rFonts w:hint="eastAsia" w:ascii="仿宋_GB2312" w:hAnsi="仿宋" w:eastAsia="仿宋_GB2312" w:cs="Times New Roman"/>
          <w:kern w:val="2"/>
          <w:sz w:val="28"/>
          <w:szCs w:val="28"/>
        </w:rPr>
      </w:pPr>
      <w:r>
        <w:rPr>
          <w:rFonts w:ascii="仿宋_GB2312" w:hAnsi="仿宋" w:eastAsia="仿宋_GB2312" w:cs="Times New Roman"/>
          <w:kern w:val="2"/>
          <w:sz w:val="28"/>
          <w:szCs w:val="28"/>
        </w:rPr>
        <w:t>5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．协助政府教育部门做好全区中小学学生的教育管理工作，维护学校稳定和社会安定团结。</w:t>
      </w:r>
    </w:p>
    <w:p>
      <w:pPr>
        <w:pStyle w:val="5"/>
        <w:spacing w:before="0" w:beforeAutospacing="0" w:after="0" w:afterAutospacing="0" w:line="480" w:lineRule="atLeast"/>
        <w:ind w:firstLine="645"/>
        <w:rPr>
          <w:rFonts w:hint="eastAsia" w:ascii="仿宋_GB2312" w:hAnsi="仿宋" w:eastAsia="仿宋_GB2312" w:cs="Times New Roman"/>
          <w:kern w:val="2"/>
          <w:sz w:val="28"/>
          <w:szCs w:val="28"/>
        </w:rPr>
      </w:pPr>
      <w:r>
        <w:rPr>
          <w:rFonts w:ascii="仿宋_GB2312" w:hAnsi="仿宋" w:eastAsia="仿宋_GB2312" w:cs="Times New Roman"/>
          <w:kern w:val="2"/>
          <w:sz w:val="28"/>
          <w:szCs w:val="28"/>
        </w:rPr>
        <w:t>6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．在全区经济建设和农业产业化、城乡一体化工作中，组织和带领青年团员发挥生力军和突击队作用。</w:t>
      </w:r>
    </w:p>
    <w:p>
      <w:pPr>
        <w:pStyle w:val="5"/>
        <w:spacing w:before="0" w:beforeAutospacing="0" w:after="0" w:afterAutospacing="0" w:line="480" w:lineRule="atLeast"/>
        <w:ind w:firstLine="645"/>
        <w:rPr>
          <w:rFonts w:hint="eastAsia" w:ascii="仿宋_GB2312" w:hAnsi="仿宋" w:eastAsia="仿宋_GB2312" w:cs="Times New Roman"/>
          <w:kern w:val="2"/>
          <w:sz w:val="28"/>
          <w:szCs w:val="28"/>
        </w:rPr>
      </w:pPr>
      <w:r>
        <w:rPr>
          <w:rFonts w:ascii="仿宋_GB2312" w:hAnsi="仿宋" w:eastAsia="仿宋_GB2312" w:cs="Times New Roman"/>
          <w:kern w:val="2"/>
          <w:sz w:val="28"/>
          <w:szCs w:val="28"/>
        </w:rPr>
        <w:t>7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．负责区内外青少年交流、夏令营、表彰工作，主动做好青年统战对象的团结工作。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-SA"/>
        </w:rPr>
        <w:t>机构设置情况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内设办公室</w:t>
      </w:r>
      <w:r>
        <w:rPr>
          <w:rFonts w:ascii="仿宋_GB2312" w:hAnsi="仿宋" w:eastAsia="仿宋_GB2312" w:cs="Times New Roman"/>
          <w:kern w:val="2"/>
          <w:sz w:val="28"/>
          <w:szCs w:val="28"/>
        </w:rPr>
        <w:t>1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个股室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二、一般公共预算支出情况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2023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 xml:space="preserve"> 年度财政拨款基本支出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35.81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万元，其中：人员经费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32.19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万元，占基本支出的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8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9.89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%，主要包括基本工资、津贴补贴、奖金、机关事业单位基本养老保险缴费、职工基本医疗保险缴费、其他社会保障缴费、住房公积金、其他工资福利支出、退休费、生活补助；公用经费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3.62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万元，占基本支出的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0.11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%，主要包括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办公费、印刷费、咨询费、手续费、水费、邮电费、差旅费、维修（护）费、会议费、培训费、公务接待费、劳务费、工会经费、其他交通费用、其他商品和服务支出、办公设备购置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2023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 xml:space="preserve"> 年度财政拨款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项目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支出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9.07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万元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包括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志愿者管理专项、青少年管理专项、基层团组织建设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等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政府性基金预算支出情况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：无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国有资本经营预算支出情况：无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社会保险基金预算支出情况：无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  <w:t>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2023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年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部门严格按照预算绩效控制支出，部门整体支出使用效果达到预期。</w:t>
      </w:r>
    </w:p>
    <w:p>
      <w:pPr>
        <w:spacing w:line="56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七、</w:t>
      </w:r>
      <w:r>
        <w:rPr>
          <w:rFonts w:hint="eastAsia" w:ascii="黑体" w:hAnsi="黑体" w:eastAsia="黑体" w:cs="黑体"/>
          <w:sz w:val="30"/>
          <w:szCs w:val="30"/>
        </w:rPr>
        <w:t>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 xml:space="preserve">预算编制全面性、科学性、精准性还有待加强。      </w:t>
      </w:r>
    </w:p>
    <w:p>
      <w:pPr>
        <w:spacing w:line="56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八、</w:t>
      </w:r>
      <w:r>
        <w:rPr>
          <w:rFonts w:hint="eastAsia" w:ascii="黑体" w:hAnsi="黑体" w:eastAsia="黑体" w:cs="黑体"/>
          <w:sz w:val="30"/>
          <w:szCs w:val="30"/>
        </w:rPr>
        <w:t>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逐步完善预算管理机制，提高经费使用效益，尽最大限度提示工作的预见性，在绩效目标的具体化和量化上下功夫。提高预算编制的科学水平，强化预算执行力度，提高预算执行效率。加强人员的培训和业务学习，不断提高工作人员的政治素质、业务能力和职业道德水平。</w:t>
      </w:r>
    </w:p>
    <w:p>
      <w:pPr>
        <w:pStyle w:val="2"/>
        <w:ind w:firstLine="600" w:firstLineChars="200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九、绩效自评结果拟应用和公开情况：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-SA"/>
        </w:rPr>
        <w:t>自评结果</w:t>
      </w:r>
      <w:r>
        <w:rPr>
          <w:rFonts w:hint="eastAsia" w:eastAsia="仿宋" w:cs="Times New Roman"/>
          <w:color w:val="auto"/>
          <w:kern w:val="2"/>
          <w:sz w:val="28"/>
          <w:szCs w:val="28"/>
          <w:lang w:val="en-US" w:eastAsia="zh-CN" w:bidi="ar-SA"/>
        </w:rPr>
        <w:t>98.84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-SA"/>
        </w:rPr>
        <w:t>分。</w:t>
      </w:r>
    </w:p>
    <w:p>
      <w:pPr>
        <w:spacing w:line="560" w:lineRule="exact"/>
        <w:ind w:firstLine="600" w:firstLineChars="200"/>
        <w:rPr>
          <w:rFonts w:hint="eastAsia" w:ascii="Times New Roman" w:hAnsi="Times New Roman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十、</w:t>
      </w:r>
      <w:r>
        <w:rPr>
          <w:rFonts w:hint="eastAsia" w:ascii="黑体" w:hAnsi="黑体" w:eastAsia="黑体" w:cs="黑体"/>
          <w:sz w:val="30"/>
          <w:szCs w:val="30"/>
        </w:rPr>
        <w:t>其他需要说明的情况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：</w:t>
      </w:r>
      <w:r>
        <w:rPr>
          <w:rFonts w:hint="eastAsia" w:ascii="Times New Roman" w:hAnsi="Times New Roman" w:eastAsia="仿宋" w:cs="Times New Roman"/>
          <w:kern w:val="2"/>
          <w:sz w:val="30"/>
          <w:szCs w:val="30"/>
          <w:lang w:val="en-US" w:eastAsia="zh-CN" w:bidi="ar-SA"/>
        </w:rPr>
        <w:t>无</w:t>
      </w:r>
    </w:p>
    <w:p>
      <w:pPr>
        <w:rPr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40" w:right="1701" w:bottom="1440" w:left="1701" w:header="720" w:footer="1077" w:gutter="0"/>
      <w:pgNumType w:fmt="decimal" w:start="1"/>
      <w:cols w:space="720" w:num="1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>
    <w:pPr>
      <w:pStyle w:val="3"/>
      <w:ind w:right="360" w:firstLine="360"/>
      <w:rPr>
        <w:sz w:val="28"/>
        <w:szCs w:val="28"/>
      </w:rPr>
    </w:pPr>
    <w:r>
      <w:rPr>
        <w:rStyle w:val="8"/>
        <w:sz w:val="28"/>
        <w:szCs w:val="28"/>
      </w:rPr>
      <w:t>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8BFD35"/>
    <w:multiLevelType w:val="singleLevel"/>
    <w:tmpl w:val="958BFD3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993FEA37"/>
    <w:multiLevelType w:val="singleLevel"/>
    <w:tmpl w:val="993FEA3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YjBkMDI0ZmNhNTViZmI0YzZlZjYzNTRlMzY2MzEifQ=="/>
  </w:docVars>
  <w:rsids>
    <w:rsidRoot w:val="00000000"/>
    <w:rsid w:val="02A10CB7"/>
    <w:rsid w:val="0D2D2A9B"/>
    <w:rsid w:val="0F50402B"/>
    <w:rsid w:val="11B71600"/>
    <w:rsid w:val="12A5432E"/>
    <w:rsid w:val="2026718D"/>
    <w:rsid w:val="211B5E32"/>
    <w:rsid w:val="220276FE"/>
    <w:rsid w:val="23B06FF7"/>
    <w:rsid w:val="32143366"/>
    <w:rsid w:val="33C47DD7"/>
    <w:rsid w:val="344716E9"/>
    <w:rsid w:val="39386CA2"/>
    <w:rsid w:val="3F5C2634"/>
    <w:rsid w:val="487A1394"/>
    <w:rsid w:val="4A5C67F2"/>
    <w:rsid w:val="4E9D2670"/>
    <w:rsid w:val="54EB4097"/>
    <w:rsid w:val="5CD39E28"/>
    <w:rsid w:val="5F1B54D5"/>
    <w:rsid w:val="65703F5E"/>
    <w:rsid w:val="7BF94E0A"/>
    <w:rsid w:val="7CED576A"/>
    <w:rsid w:val="7E663B51"/>
    <w:rsid w:val="F5D5BBD1"/>
    <w:rsid w:val="FB72F8CE"/>
    <w:rsid w:val="FFF7E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customStyle="1" w:styleId="9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1558</Words>
  <Characters>1677</Characters>
  <Lines>0</Lines>
  <Paragraphs>0</Paragraphs>
  <TotalTime>10</TotalTime>
  <ScaleCrop>false</ScaleCrop>
  <LinksUpToDate>false</LinksUpToDate>
  <CharactersWithSpaces>1685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dcterms:modified xsi:type="dcterms:W3CDTF">2024-07-10T08:24:17Z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DD0BBFE5B9C4453F80E9EE4923255D3D</vt:lpwstr>
  </property>
</Properties>
</file>