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49"/>
        <w:ind w:left="959"/>
        <w:rPr>
          <w:rFonts w:ascii="Times New Roman"/>
          <w:b/>
          <w:bCs/>
          <w:sz w:val="20"/>
        </w:rPr>
      </w:pPr>
      <w:r>
        <w:rPr>
          <w:b/>
          <w:bCs/>
          <w:w w:val="95"/>
        </w:rPr>
        <w:t>附件</w:t>
      </w:r>
      <w:r>
        <w:rPr>
          <w:rFonts w:ascii="Times New Roman" w:eastAsia="Times New Roman"/>
          <w:b/>
          <w:bCs/>
          <w:spacing w:val="-10"/>
          <w:w w:val="95"/>
        </w:rPr>
        <w:t>7</w:t>
      </w: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8"/>
        <w:rPr>
          <w:rFonts w:ascii="Times New Roman"/>
          <w:sz w:val="26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b/>
          <w:bCs/>
          <w:spacing w:val="-2"/>
          <w:sz w:val="48"/>
          <w:szCs w:val="4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2"/>
          <w:sz w:val="48"/>
          <w:szCs w:val="48"/>
          <w:lang w:val="en-US" w:eastAsia="zh-CN" w:bidi="ar-SA"/>
        </w:rPr>
        <w:t>项目支出绩效自评汇总报告</w:t>
      </w:r>
    </w:p>
    <w:p>
      <w:pPr>
        <w:pStyle w:val="5"/>
        <w:spacing w:before="68"/>
        <w:ind w:right="27"/>
        <w:rPr>
          <w:rFonts w:hint="eastAsia" w:ascii="PMingLiU" w:eastAsia="PMingLiU"/>
        </w:rPr>
      </w:pPr>
      <w:r>
        <w:rPr>
          <w:rFonts w:hint="eastAsia" w:ascii="PMingLiU" w:eastAsia="PMingLiU"/>
        </w:rPr>
        <w:t>（</w:t>
      </w:r>
      <w:r>
        <w:rPr>
          <w:rFonts w:ascii="Times New Roman" w:eastAsia="Times New Roman"/>
        </w:rPr>
        <w:t>2023</w:t>
      </w:r>
      <w:r>
        <w:rPr>
          <w:rFonts w:hint="eastAsia" w:ascii="PMingLiU" w:eastAsia="PMingLiU"/>
        </w:rPr>
        <w:t>年度</w:t>
      </w:r>
      <w:r>
        <w:rPr>
          <w:rFonts w:hint="eastAsia" w:ascii="PMingLiU" w:eastAsia="PMingLiU"/>
          <w:spacing w:val="-10"/>
        </w:rPr>
        <w:t>）</w:t>
      </w:r>
    </w:p>
    <w:p>
      <w:pPr>
        <w:pStyle w:val="6"/>
        <w:rPr>
          <w:rFonts w:ascii="PMingLiU"/>
          <w:sz w:val="42"/>
        </w:rPr>
      </w:pPr>
    </w:p>
    <w:p>
      <w:pPr>
        <w:pStyle w:val="6"/>
        <w:rPr>
          <w:rFonts w:ascii="PMingLiU"/>
          <w:sz w:val="42"/>
        </w:rPr>
      </w:pPr>
    </w:p>
    <w:p>
      <w:pPr>
        <w:pStyle w:val="6"/>
        <w:rPr>
          <w:rFonts w:ascii="PMingLiU"/>
          <w:sz w:val="42"/>
        </w:rPr>
      </w:pPr>
    </w:p>
    <w:p>
      <w:pPr>
        <w:pStyle w:val="6"/>
        <w:rPr>
          <w:rFonts w:ascii="PMingLiU"/>
          <w:sz w:val="42"/>
        </w:rPr>
      </w:pPr>
    </w:p>
    <w:p>
      <w:pPr>
        <w:pStyle w:val="6"/>
        <w:rPr>
          <w:rFonts w:ascii="PMingLiU"/>
          <w:sz w:val="42"/>
        </w:rPr>
      </w:pPr>
    </w:p>
    <w:p>
      <w:pPr>
        <w:pStyle w:val="6"/>
        <w:rPr>
          <w:rFonts w:ascii="PMingLiU"/>
          <w:sz w:val="42"/>
        </w:rPr>
      </w:pPr>
    </w:p>
    <w:p>
      <w:pPr>
        <w:pStyle w:val="6"/>
        <w:rPr>
          <w:rFonts w:ascii="PMingLiU"/>
          <w:sz w:val="5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3577" w:right="3577" w:firstLine="0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3577" w:right="3577" w:firstLine="0"/>
        <w:jc w:val="center"/>
        <w:textAlignment w:val="auto"/>
        <w:rPr>
          <w:sz w:val="36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主要负责人签字：</w:t>
      </w:r>
    </w:p>
    <w:p>
      <w:pPr>
        <w:pStyle w:val="6"/>
        <w:spacing w:before="6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tabs>
          <w:tab w:val="left" w:pos="802"/>
        </w:tabs>
        <w:ind w:left="1"/>
        <w:jc w:val="center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月    日</w:t>
      </w:r>
    </w:p>
    <w:p>
      <w:pPr>
        <w:spacing w:after="0"/>
        <w:jc w:val="center"/>
        <w:sectPr>
          <w:pgSz w:w="11900" w:h="16840"/>
          <w:pgMar w:top="1380" w:right="840" w:bottom="1260" w:left="840" w:header="0" w:footer="1074" w:gutter="0"/>
          <w:pgNumType w:fmt="decimal"/>
          <w:cols w:space="720" w:num="1"/>
        </w:sectPr>
      </w:pPr>
    </w:p>
    <w:p>
      <w:pPr>
        <w:pStyle w:val="4"/>
        <w:rPr>
          <w:rFonts w:hint="eastAsia" w:asciiTheme="minorEastAsia" w:hAnsiTheme="minorEastAsia" w:eastAsiaTheme="minorEastAsia" w:cstheme="minorEastAsia"/>
          <w:b/>
          <w:bCs/>
          <w:spacing w:val="-2"/>
          <w:sz w:val="48"/>
          <w:szCs w:val="4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2"/>
          <w:sz w:val="48"/>
          <w:szCs w:val="48"/>
          <w:lang w:val="en-US" w:eastAsia="zh-CN" w:bidi="ar-SA"/>
        </w:rPr>
        <w:t>项目支出绩效自评汇总报告</w:t>
      </w:r>
    </w:p>
    <w:p>
      <w:pPr>
        <w:pStyle w:val="6"/>
      </w:pPr>
    </w:p>
    <w:p>
      <w:pPr>
        <w:pStyle w:val="6"/>
        <w:spacing w:before="9"/>
        <w:rPr>
          <w:sz w:val="29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项目支出基本情况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b/>
          <w:bCs/>
          <w:spacing w:val="-2"/>
          <w:w w:val="99"/>
        </w:rPr>
      </w:pPr>
      <w:r>
        <w:rPr>
          <w:rFonts w:hint="eastAsia" w:ascii="仿宋" w:hAnsi="仿宋" w:eastAsia="仿宋" w:cs="仿宋"/>
          <w:b/>
          <w:bCs/>
          <w:spacing w:val="-2"/>
          <w:w w:val="99"/>
          <w:lang w:val="en-US" w:eastAsia="zh-CN"/>
        </w:rPr>
        <w:t>（一）项目支出</w:t>
      </w:r>
      <w:r>
        <w:rPr>
          <w:rFonts w:hint="eastAsia" w:ascii="仿宋" w:hAnsi="仿宋" w:eastAsia="仿宋" w:cs="仿宋"/>
          <w:b/>
          <w:bCs/>
          <w:spacing w:val="-2"/>
          <w:w w:val="99"/>
        </w:rPr>
        <w:t>概况。</w:t>
      </w:r>
    </w:p>
    <w:p>
      <w:pPr>
        <w:pStyle w:val="6"/>
        <w:spacing w:before="190" w:line="350" w:lineRule="auto"/>
        <w:ind w:right="952" w:firstLine="640" w:firstLineChars="200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年本部门项目支出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主要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包括：志愿者管理专项、青少年管理专项、基层团组织建设专项、主题教育专项经费等。</w:t>
      </w:r>
    </w:p>
    <w:p>
      <w:pPr>
        <w:pStyle w:val="6"/>
        <w:spacing w:before="190" w:line="350" w:lineRule="auto"/>
        <w:ind w:right="952" w:firstLine="627" w:firstLineChars="200"/>
        <w:rPr>
          <w:rFonts w:hint="eastAsia" w:ascii="仿宋" w:hAnsi="仿宋" w:eastAsia="仿宋" w:cs="仿宋"/>
          <w:w w:val="99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"/>
          <w:w w:val="99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pacing w:val="-2"/>
          <w:w w:val="99"/>
        </w:rPr>
        <w:t>项目资金使用管理情况。</w:t>
      </w:r>
    </w:p>
    <w:p>
      <w:pPr>
        <w:pStyle w:val="6"/>
        <w:spacing w:before="190" w:line="350" w:lineRule="auto"/>
        <w:ind w:right="952"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项目支出严格资金审批流程进行支出。</w:t>
      </w:r>
    </w:p>
    <w:p>
      <w:pPr>
        <w:pStyle w:val="6"/>
        <w:numPr>
          <w:ilvl w:val="0"/>
          <w:numId w:val="2"/>
        </w:numPr>
        <w:spacing w:before="3" w:line="350" w:lineRule="auto"/>
        <w:ind w:right="939" w:rightChars="0" w:firstLine="643" w:firstLineChars="200"/>
        <w:jc w:val="both"/>
        <w:rPr>
          <w:rFonts w:hint="eastAsia" w:ascii="仿宋" w:hAnsi="仿宋" w:eastAsia="仿宋" w:cs="仿宋"/>
          <w:b/>
          <w:bCs/>
          <w:spacing w:val="2"/>
          <w:w w:val="99"/>
        </w:rPr>
      </w:pPr>
      <w:r>
        <w:rPr>
          <w:rFonts w:hint="eastAsia" w:ascii="仿宋" w:hAnsi="仿宋" w:eastAsia="仿宋" w:cs="仿宋"/>
          <w:b/>
          <w:bCs/>
          <w:spacing w:val="2"/>
          <w:w w:val="99"/>
        </w:rPr>
        <w:t>项目支出绩效目标完成程度。</w:t>
      </w:r>
    </w:p>
    <w:p>
      <w:pPr>
        <w:pStyle w:val="6"/>
        <w:numPr>
          <w:ilvl w:val="0"/>
          <w:numId w:val="0"/>
        </w:numPr>
        <w:spacing w:before="3" w:line="350" w:lineRule="auto"/>
        <w:ind w:right="939" w:righ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绩效的总体目标是顺利完成2023年度部门的各项工作，保障机关正常运转。绩效的阶段性目标是按照工作要求，保障部门完成阶段性工作任务。根据工作要求发生的项目支出，让部门各项工作按时完成，扩大工作影响力，提高群众满意度。</w:t>
      </w:r>
    </w:p>
    <w:p>
      <w:pPr>
        <w:pStyle w:val="6"/>
        <w:spacing w:before="3"/>
        <w:ind w:firstLine="608" w:firstLineChars="200"/>
        <w:rPr>
          <w:rFonts w:hint="eastAsia" w:ascii="黑体" w:hAnsi="黑体" w:eastAsia="黑体" w:cs="黑体"/>
          <w:spacing w:val="-10"/>
          <w:w w:val="95"/>
        </w:rPr>
      </w:pPr>
      <w:r>
        <w:rPr>
          <w:rFonts w:hint="eastAsia" w:ascii="黑体" w:hAnsi="黑体" w:eastAsia="黑体" w:cs="黑体"/>
          <w:w w:val="95"/>
        </w:rPr>
        <w:t>二、绩效评价工作情</w:t>
      </w:r>
      <w:r>
        <w:rPr>
          <w:rFonts w:hint="eastAsia" w:ascii="黑体" w:hAnsi="黑体" w:eastAsia="黑体" w:cs="黑体"/>
          <w:spacing w:val="-10"/>
          <w:w w:val="95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部门预算支出绩效自评范围为2023年度纳入政府预算管理的所有预算支出，包括部门整体支出和项目支出。部门在预算绩效管理信息系统完成2023年度预算支出绩效自评工作。</w:t>
      </w:r>
    </w:p>
    <w:p>
      <w:pPr>
        <w:pStyle w:val="6"/>
        <w:spacing w:before="3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190" w:line="350" w:lineRule="auto"/>
        <w:ind w:right="3817" w:firstLine="632" w:firstLineChars="200"/>
        <w:rPr>
          <w:rFonts w:hint="eastAsia" w:ascii="黑体" w:hAnsi="黑体" w:eastAsia="黑体" w:cs="黑体"/>
          <w:spacing w:val="-2"/>
        </w:rPr>
      </w:pPr>
      <w:r>
        <w:rPr>
          <w:rFonts w:hint="eastAsia" w:ascii="黑体" w:hAnsi="黑体" w:eastAsia="黑体" w:cs="黑体"/>
          <w:spacing w:val="-2"/>
        </w:rPr>
        <w:t>三、项目支出主要绩效及评价结论</w:t>
      </w:r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照区委、区政府及上级要求，日常工作在2023年度内均正常开展。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社会公众或服务对象满意度方面：满意度100%。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pacing w:val="-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根据考核评分细则，总得分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 xml:space="preserve"> 98.84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分，结果：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优秀。</w:t>
      </w:r>
    </w:p>
    <w:p>
      <w:pPr>
        <w:pStyle w:val="6"/>
        <w:spacing w:before="190" w:line="350" w:lineRule="auto"/>
        <w:ind w:right="3817" w:firstLine="632" w:firstLineChars="200"/>
        <w:rPr>
          <w:rFonts w:hint="eastAsia" w:ascii="黑体" w:hAnsi="黑体" w:eastAsia="黑体" w:cs="黑体"/>
          <w:spacing w:val="-2"/>
        </w:rPr>
      </w:pPr>
      <w:r>
        <w:rPr>
          <w:rFonts w:hint="eastAsia" w:ascii="黑体" w:hAnsi="黑体" w:eastAsia="黑体" w:cs="黑体"/>
          <w:spacing w:val="-2"/>
        </w:rPr>
        <w:t>四、绩效评价指标分析</w:t>
      </w:r>
    </w:p>
    <w:p>
      <w:pPr>
        <w:pStyle w:val="6"/>
        <w:spacing w:before="3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（一）项目支出决策情况</w:t>
      </w:r>
    </w:p>
    <w:p>
      <w:pPr>
        <w:pStyle w:val="6"/>
        <w:spacing w:before="3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部门项目支出严格按财务管理制度执行。</w:t>
      </w:r>
    </w:p>
    <w:p>
      <w:pPr>
        <w:pStyle w:val="6"/>
        <w:numPr>
          <w:ilvl w:val="0"/>
          <w:numId w:val="3"/>
        </w:numPr>
        <w:spacing w:before="190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项目执行过程情况</w:t>
      </w:r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 xml:space="preserve">项目执行过程中，严格按照资金管理要求，规范资金使用用途，加强项目管理。  </w:t>
      </w:r>
    </w:p>
    <w:p>
      <w:pPr>
        <w:pStyle w:val="6"/>
        <w:numPr>
          <w:ilvl w:val="0"/>
          <w:numId w:val="3"/>
        </w:numPr>
        <w:spacing w:before="190"/>
        <w:ind w:left="0" w:lef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项目支出产出情况</w:t>
      </w:r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绩效指标中产出指标方面：部门按照区委、区政府及上级要求，日常工作在2023年度内均正常开展。</w:t>
      </w:r>
    </w:p>
    <w:p>
      <w:pPr>
        <w:pStyle w:val="6"/>
        <w:numPr>
          <w:ilvl w:val="0"/>
          <w:numId w:val="3"/>
        </w:numPr>
        <w:spacing w:before="190"/>
        <w:ind w:left="0" w:lef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项目支出效益情况</w:t>
      </w:r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绩效指标中效益指标方面：主要是体现在社会效益方面，部门正常运转，一方面为机关提供后勤服务，另一方面扩大单位影响力，提高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满意度。</w:t>
      </w:r>
    </w:p>
    <w:p>
      <w:pPr>
        <w:pStyle w:val="6"/>
        <w:numPr>
          <w:ilvl w:val="0"/>
          <w:numId w:val="0"/>
        </w:numPr>
        <w:spacing w:before="190"/>
        <w:ind w:right="0" w:rightChars="0"/>
        <w:rPr>
          <w:rFonts w:hint="default" w:ascii="仿宋" w:hAnsi="仿宋" w:eastAsia="仿宋" w:cs="仿宋"/>
          <w:spacing w:val="-10"/>
          <w:w w:val="95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190"/>
        <w:ind w:right="0" w:rightChars="0" w:firstLine="608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95"/>
          <w:lang w:eastAsia="zh-CN"/>
        </w:rPr>
        <w:t>五、</w:t>
      </w:r>
      <w:r>
        <w:rPr>
          <w:rFonts w:hint="eastAsia" w:ascii="黑体" w:hAnsi="黑体" w:eastAsia="黑体" w:cs="黑体"/>
          <w:w w:val="95"/>
        </w:rPr>
        <w:t>主要经验及做法、存在的问题及原因分</w:t>
      </w:r>
      <w:r>
        <w:rPr>
          <w:rFonts w:hint="eastAsia" w:ascii="黑体" w:hAnsi="黑体" w:eastAsia="黑体" w:cs="黑体"/>
          <w:spacing w:val="-10"/>
          <w:w w:val="95"/>
        </w:rPr>
        <w:t>析</w:t>
      </w:r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资金分配和安排方面：部门严格按照《预算法》和财政部门要求进行资金申请和预算编制。</w:t>
      </w:r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资金指标下达、资金拨付和资金使用进度方面：部门根据工作安排需要，需要发生相关工作支出之前都会及时与财政部门沟通，递交项目资金申请报告，当财政部门将相关项目资金下达后，都会严格按照工作进度安排资金拨付。</w:t>
      </w:r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 xml:space="preserve">资金使用管理、项目管理、政策适应性方面：部门严格按照资金管理要求，规范资金使用用途，加强项目管理，预算编制中的项目支出严格按照政策执行。    </w:t>
      </w:r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实际情况中，由于下半年和年末资金拨付相对集中，项目资金下达和预算支出会有滞后性，预算执行均衡性有待进一步提高。</w:t>
      </w:r>
    </w:p>
    <w:p>
      <w:pPr>
        <w:pStyle w:val="6"/>
        <w:numPr>
          <w:ilvl w:val="0"/>
          <w:numId w:val="0"/>
        </w:numPr>
        <w:spacing w:before="190"/>
        <w:ind w:right="0" w:rightChars="0" w:firstLine="608" w:firstLineChars="200"/>
        <w:rPr>
          <w:rFonts w:hint="eastAsia" w:ascii="黑体" w:hAnsi="黑体" w:eastAsia="黑体" w:cs="黑体"/>
          <w:w w:val="95"/>
        </w:rPr>
      </w:pPr>
      <w:r>
        <w:rPr>
          <w:rFonts w:hint="eastAsia" w:ascii="黑体" w:hAnsi="黑体" w:eastAsia="黑体" w:cs="黑体"/>
          <w:w w:val="95"/>
          <w:lang w:eastAsia="zh-CN"/>
        </w:rPr>
        <w:t>六、</w:t>
      </w:r>
      <w:r>
        <w:rPr>
          <w:rFonts w:hint="eastAsia" w:ascii="黑体" w:hAnsi="黑体" w:eastAsia="黑体" w:cs="黑体"/>
          <w:w w:val="95"/>
        </w:rPr>
        <w:t>有关建议</w:t>
      </w:r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建议财政部门结合预算一体化系统平台整合工作开展，充分利用云平台数据，加强项目资金执行情况分析。</w:t>
      </w:r>
    </w:p>
    <w:p>
      <w:pPr>
        <w:pStyle w:val="6"/>
        <w:spacing w:before="190"/>
        <w:ind w:firstLine="608" w:firstLineChars="200"/>
        <w:rPr>
          <w:rFonts w:hint="eastAsia" w:ascii="黑体" w:hAnsi="黑体" w:eastAsia="黑体" w:cs="黑体"/>
          <w:spacing w:val="-10"/>
          <w:w w:val="95"/>
        </w:rPr>
      </w:pPr>
      <w:r>
        <w:rPr>
          <w:rFonts w:hint="eastAsia" w:ascii="黑体" w:hAnsi="黑体" w:eastAsia="黑体" w:cs="黑体"/>
          <w:w w:val="95"/>
        </w:rPr>
        <w:t>七、其他需要说明的问</w:t>
      </w:r>
      <w:r>
        <w:rPr>
          <w:rFonts w:hint="eastAsia" w:ascii="黑体" w:hAnsi="黑体" w:eastAsia="黑体" w:cs="黑体"/>
          <w:spacing w:val="-10"/>
          <w:w w:val="95"/>
        </w:rPr>
        <w:t>题</w:t>
      </w:r>
    </w:p>
    <w:p>
      <w:pPr>
        <w:pStyle w:val="6"/>
        <w:spacing w:before="190" w:line="350" w:lineRule="auto"/>
        <w:ind w:right="954" w:firstLine="624" w:firstLineChars="200"/>
        <w:jc w:val="both"/>
        <w:rPr>
          <w:rFonts w:hint="eastAsia" w:ascii="仿宋" w:hAnsi="仿宋" w:eastAsia="仿宋" w:cs="仿宋"/>
          <w:spacing w:val="-2"/>
          <w:w w:val="99"/>
          <w:lang w:val="en-US" w:eastAsia="zh-CN"/>
        </w:rPr>
      </w:pPr>
      <w:r>
        <w:rPr>
          <w:rFonts w:hint="eastAsia" w:ascii="仿宋" w:hAnsi="仿宋" w:eastAsia="仿宋" w:cs="仿宋"/>
          <w:spacing w:val="-2"/>
          <w:w w:val="99"/>
          <w:lang w:val="en-US" w:eastAsia="zh-CN"/>
        </w:rPr>
        <w:t>无</w:t>
      </w:r>
    </w:p>
    <w:p/>
    <w:sectPr>
      <w:pgSz w:w="11900" w:h="16840"/>
      <w:pgMar w:top="1560" w:right="840" w:bottom="1260" w:left="840" w:header="0" w:footer="107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74056F"/>
    <w:multiLevelType w:val="singleLevel"/>
    <w:tmpl w:val="F67405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3CE7557"/>
    <w:multiLevelType w:val="singleLevel"/>
    <w:tmpl w:val="13CE75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BA3EFA"/>
    <w:multiLevelType w:val="singleLevel"/>
    <w:tmpl w:val="4BBA3EF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DdiNjYzNTlmYTY2MmM3ODNlMzJjYWE1YmRhYzUifQ=="/>
  </w:docVars>
  <w:rsids>
    <w:rsidRoot w:val="3070666E"/>
    <w:rsid w:val="001B223C"/>
    <w:rsid w:val="00FC7C79"/>
    <w:rsid w:val="03391357"/>
    <w:rsid w:val="03925D04"/>
    <w:rsid w:val="061F3E1B"/>
    <w:rsid w:val="0ACB4F8A"/>
    <w:rsid w:val="0B8F5615"/>
    <w:rsid w:val="0BD50CE9"/>
    <w:rsid w:val="0CBB102F"/>
    <w:rsid w:val="0D9B6136"/>
    <w:rsid w:val="0EAC51C9"/>
    <w:rsid w:val="11A71C98"/>
    <w:rsid w:val="11B8229A"/>
    <w:rsid w:val="13C46A1B"/>
    <w:rsid w:val="13CA5B3F"/>
    <w:rsid w:val="14B13C12"/>
    <w:rsid w:val="16DB00D8"/>
    <w:rsid w:val="17597957"/>
    <w:rsid w:val="182D03BE"/>
    <w:rsid w:val="186F2D2B"/>
    <w:rsid w:val="18B057C0"/>
    <w:rsid w:val="1BDE6F32"/>
    <w:rsid w:val="20A91472"/>
    <w:rsid w:val="21DD600E"/>
    <w:rsid w:val="23307FB5"/>
    <w:rsid w:val="237856E2"/>
    <w:rsid w:val="23C1063A"/>
    <w:rsid w:val="24AF6810"/>
    <w:rsid w:val="26815ADB"/>
    <w:rsid w:val="27093307"/>
    <w:rsid w:val="27D36DD5"/>
    <w:rsid w:val="29825C73"/>
    <w:rsid w:val="2BF44E96"/>
    <w:rsid w:val="2CF31BD2"/>
    <w:rsid w:val="2D775E47"/>
    <w:rsid w:val="2EAB7F51"/>
    <w:rsid w:val="2FAF612D"/>
    <w:rsid w:val="3070666E"/>
    <w:rsid w:val="34012F1B"/>
    <w:rsid w:val="347D2547"/>
    <w:rsid w:val="349D4ABF"/>
    <w:rsid w:val="37F52D97"/>
    <w:rsid w:val="382F7E4E"/>
    <w:rsid w:val="39EC278F"/>
    <w:rsid w:val="3B445B64"/>
    <w:rsid w:val="3B6D7F1D"/>
    <w:rsid w:val="3C6C1F6F"/>
    <w:rsid w:val="3CC66AB0"/>
    <w:rsid w:val="3CCC53B8"/>
    <w:rsid w:val="3D000214"/>
    <w:rsid w:val="3D1F717A"/>
    <w:rsid w:val="400A5C4F"/>
    <w:rsid w:val="40D55C93"/>
    <w:rsid w:val="4254452C"/>
    <w:rsid w:val="42752807"/>
    <w:rsid w:val="43924EDB"/>
    <w:rsid w:val="44817E8C"/>
    <w:rsid w:val="45102FBE"/>
    <w:rsid w:val="475E04CC"/>
    <w:rsid w:val="478C51A8"/>
    <w:rsid w:val="478C583D"/>
    <w:rsid w:val="47ED4C61"/>
    <w:rsid w:val="481E3C44"/>
    <w:rsid w:val="48623B31"/>
    <w:rsid w:val="48700CCD"/>
    <w:rsid w:val="49AF527E"/>
    <w:rsid w:val="49FC1D63"/>
    <w:rsid w:val="4A6A2D2F"/>
    <w:rsid w:val="4ADD6890"/>
    <w:rsid w:val="4BF54CBC"/>
    <w:rsid w:val="4C525C6E"/>
    <w:rsid w:val="4CF22BB7"/>
    <w:rsid w:val="4E7D5384"/>
    <w:rsid w:val="51F97259"/>
    <w:rsid w:val="52365C0D"/>
    <w:rsid w:val="5429409D"/>
    <w:rsid w:val="544132FF"/>
    <w:rsid w:val="5451081D"/>
    <w:rsid w:val="557F00B0"/>
    <w:rsid w:val="55E45A3B"/>
    <w:rsid w:val="58B101BD"/>
    <w:rsid w:val="59B4560D"/>
    <w:rsid w:val="5A005B9A"/>
    <w:rsid w:val="5B0427D1"/>
    <w:rsid w:val="5CEA610D"/>
    <w:rsid w:val="5EE60890"/>
    <w:rsid w:val="5FB40CBE"/>
    <w:rsid w:val="621B316D"/>
    <w:rsid w:val="631E2873"/>
    <w:rsid w:val="64394731"/>
    <w:rsid w:val="6653768C"/>
    <w:rsid w:val="67E20393"/>
    <w:rsid w:val="681C38A5"/>
    <w:rsid w:val="685D219D"/>
    <w:rsid w:val="687E4B7E"/>
    <w:rsid w:val="68B91D66"/>
    <w:rsid w:val="6DCC411E"/>
    <w:rsid w:val="6E9139EF"/>
    <w:rsid w:val="6F347726"/>
    <w:rsid w:val="6F63625D"/>
    <w:rsid w:val="70140E54"/>
    <w:rsid w:val="71097740"/>
    <w:rsid w:val="72A8043B"/>
    <w:rsid w:val="730B726A"/>
    <w:rsid w:val="743A5B9A"/>
    <w:rsid w:val="74E145D6"/>
    <w:rsid w:val="751122B7"/>
    <w:rsid w:val="76764B30"/>
    <w:rsid w:val="77DF669D"/>
    <w:rsid w:val="77EC457C"/>
    <w:rsid w:val="78476152"/>
    <w:rsid w:val="793309FF"/>
    <w:rsid w:val="7949120D"/>
    <w:rsid w:val="7B90055D"/>
    <w:rsid w:val="7D27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53"/>
      <w:ind w:left="30" w:right="27"/>
      <w:jc w:val="center"/>
      <w:outlineLvl w:val="1"/>
    </w:pPr>
    <w:rPr>
      <w:rFonts w:ascii="PMingLiU" w:hAnsi="PMingLiU" w:eastAsia="PMingLiU" w:cs="PMingLiU"/>
      <w:sz w:val="48"/>
      <w:szCs w:val="48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spacing w:before="45"/>
      <w:ind w:left="30" w:right="28"/>
      <w:jc w:val="center"/>
      <w:outlineLvl w:val="2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paragraph" w:styleId="5">
    <w:name w:val="heading 3"/>
    <w:basedOn w:val="1"/>
    <w:next w:val="1"/>
    <w:qFormat/>
    <w:uiPriority w:val="1"/>
    <w:pPr>
      <w:ind w:left="30"/>
      <w:jc w:val="center"/>
      <w:outlineLvl w:val="3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2572</Words>
  <Characters>2624</Characters>
  <Lines>0</Lines>
  <Paragraphs>0</Paragraphs>
  <TotalTime>7</TotalTime>
  <ScaleCrop>false</ScaleCrop>
  <LinksUpToDate>false</LinksUpToDate>
  <CharactersWithSpaces>2641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2024-06-13T02:23:00Z</dcterms:created>
  <dc:creator>Administrator</dc:creator>
  <cp:lastModifiedBy>Administrator</cp:lastModifiedBy>
  <dcterms:modified xsi:type="dcterms:W3CDTF">2024-08-13T12:08:48Z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279F58B952E64981BD74B894C1801597_11</vt:lpwstr>
  </property>
</Properties>
</file>