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8BFA1">
      <w:pPr>
        <w:jc w:val="center"/>
        <w:rPr>
          <w:rFonts w:hint="eastAsia" w:ascii="黑体" w:hAnsi="黑体" w:eastAsia="黑体" w:cs="黑体"/>
          <w:sz w:val="44"/>
          <w:szCs w:val="44"/>
        </w:rPr>
      </w:pPr>
      <w:r>
        <w:rPr>
          <w:rFonts w:hint="eastAsia" w:ascii="黑体" w:hAnsi="黑体" w:eastAsia="黑体" w:cs="黑体"/>
          <w:sz w:val="44"/>
          <w:szCs w:val="44"/>
          <w:lang w:val="en-US" w:eastAsia="zh-CN"/>
        </w:rPr>
        <w:t>2023</w:t>
      </w:r>
      <w:r>
        <w:rPr>
          <w:rFonts w:hint="eastAsia" w:ascii="黑体" w:hAnsi="黑体" w:eastAsia="黑体" w:cs="黑体"/>
          <w:sz w:val="44"/>
          <w:szCs w:val="44"/>
        </w:rPr>
        <w:t>年度</w:t>
      </w:r>
      <w:r>
        <w:rPr>
          <w:rFonts w:hint="eastAsia" w:ascii="黑体" w:hAnsi="黑体" w:eastAsia="黑体" w:cs="黑体"/>
          <w:sz w:val="44"/>
          <w:szCs w:val="44"/>
          <w:lang w:eastAsia="zh-CN"/>
        </w:rPr>
        <w:t>石鼓区合江街道办事处</w:t>
      </w:r>
      <w:r>
        <w:rPr>
          <w:rFonts w:hint="eastAsia" w:ascii="黑体" w:hAnsi="黑体" w:eastAsia="黑体" w:cs="黑体"/>
          <w:sz w:val="44"/>
          <w:szCs w:val="44"/>
        </w:rPr>
        <w:t>整体支出绩效自评报告</w:t>
      </w:r>
    </w:p>
    <w:p w14:paraId="5F7D0EF8"/>
    <w:p w14:paraId="4A592C88">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切实做好2023年度部门整体支出绩效自评工作，进一步规范区级财政资金管理，强化绩效和责任意识，切实提高资金使用效益，根据《湖南省人民政府关于全面推进预算绩效管理的意见》（湘政发〔2012〕33号）、湖南省财政厅关于印发《湖南省预算绩效管理工作规程（试行）》的通知（湘财绩〔2013〕28号）、湖南省财政厅关于印发《湖南省预算支出绩效评价管理办法》的通知（湘财绩〔2020〕7号）等文件要求，结合实际，现将我单位整体支出绩效自评结果报告如下：</w:t>
      </w:r>
    </w:p>
    <w:p w14:paraId="504B6F69">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一、基本情况</w:t>
      </w:r>
    </w:p>
    <w:p w14:paraId="51CBB72A">
      <w:pPr>
        <w:ind w:firstLine="321" w:firstLineChars="1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（一）部门基本情况</w:t>
      </w:r>
    </w:p>
    <w:p w14:paraId="55307D05">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1.编制人员构成</w:t>
      </w:r>
    </w:p>
    <w:p w14:paraId="45A8AB8E">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合江街道办事处经机构管理部门核定编制人数41人，其中行政编制13人，工勤编制12人，事业编制16人；在职人数54人，其中：1.行政编制13人，工勤编制12人，事业编制10人（本年退休3人）；2.无编人员19人：军转安置9人，城管协管员10人（计入在职）；3.其他人员45人：退休人员26人（享受退休生活补贴）；财政供养人员19人（军退15人、公益性岗位4人）。</w:t>
      </w:r>
    </w:p>
    <w:p w14:paraId="78843A6D">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2.部门职责</w:t>
      </w:r>
    </w:p>
    <w:p w14:paraId="26067827">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）贯彻执行党和国家的路线方针、政策以及市、区关于街道工作方面的指示，制订具体管理办法并组织实施。</w:t>
      </w:r>
    </w:p>
    <w:p w14:paraId="09935E89">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）指导、搞好辖区内居委会的工作，支持、帮助居民委员会加强思想、组织、制度建设，向上级人民政府和有关部门及时反映居民的意见、建议和要求。</w:t>
      </w:r>
    </w:p>
    <w:p w14:paraId="0F8E1E62">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）抓好社区文化建设，开展文明街道、文明单位，文明小区建设活动，组织居民开展经常性的文化、娱乐、体育活动。</w:t>
      </w:r>
    </w:p>
    <w:p w14:paraId="4E205858">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）负责街道的人民调解、治安保卫工作，加强对违法青少年的帮教转化，保护老人、妇女、儿童的合法权益。</w:t>
      </w:r>
    </w:p>
    <w:p w14:paraId="5C888C87">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）协助有关部门做好辖区拥军优属、优抚安置、社会救济、殡葬改革、残疾人就业等工作；积极开展便民利民的社区服务和社区教育工作。</w:t>
      </w:r>
    </w:p>
    <w:p w14:paraId="23A9B080">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）会同有关部门做好辖区内常住和流动人口的管理及计划生育工作，完成区下达的各项计划生育指标任务。</w:t>
      </w:r>
    </w:p>
    <w:p w14:paraId="3447992D">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7</w:t>
      </w:r>
      <w:r>
        <w:rPr>
          <w:rFonts w:hint="eastAsia" w:ascii="仿宋" w:hAnsi="仿宋" w:eastAsia="仿宋" w:cs="仿宋"/>
          <w:sz w:val="32"/>
          <w:szCs w:val="32"/>
        </w:rPr>
        <w:t>）协助武装部门做好辖区民兵训练和兵役工作。</w:t>
      </w:r>
    </w:p>
    <w:p w14:paraId="71D2A5B0">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8</w:t>
      </w:r>
      <w:r>
        <w:rPr>
          <w:rFonts w:hint="eastAsia" w:ascii="仿宋" w:hAnsi="仿宋" w:eastAsia="仿宋" w:cs="仿宋"/>
          <w:sz w:val="32"/>
          <w:szCs w:val="32"/>
        </w:rPr>
        <w:t>）负责在辖区开展普法教育工作，做好民事调解，开展法律咨询、服务等工作，维护居民的合法权益，搞好辖区内社会管理综合治理工作。</w:t>
      </w:r>
    </w:p>
    <w:p w14:paraId="3CB3C6E3">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9</w:t>
      </w:r>
      <w:r>
        <w:rPr>
          <w:rFonts w:hint="eastAsia" w:ascii="仿宋" w:hAnsi="仿宋" w:eastAsia="仿宋" w:cs="仿宋"/>
          <w:sz w:val="32"/>
          <w:szCs w:val="32"/>
        </w:rPr>
        <w:t>）负责本辖区的城市管理工作，发动群众开展爱国卫生运动，绿化、美化、净化城市环境，协助有关部门做好环境卫生、环境保护工作。</w:t>
      </w:r>
    </w:p>
    <w:p w14:paraId="46D4FB90">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10</w:t>
      </w:r>
      <w:r>
        <w:rPr>
          <w:rFonts w:hint="eastAsia" w:ascii="仿宋" w:hAnsi="仿宋" w:eastAsia="仿宋" w:cs="仿宋"/>
          <w:sz w:val="32"/>
          <w:szCs w:val="32"/>
        </w:rPr>
        <w:t>）负责本辖区的综合执法工作，维护辖区良好秩序。</w:t>
      </w:r>
    </w:p>
    <w:p w14:paraId="40A142A0">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11</w:t>
      </w:r>
      <w:r>
        <w:rPr>
          <w:rFonts w:hint="eastAsia" w:ascii="仿宋" w:hAnsi="仿宋" w:eastAsia="仿宋" w:cs="仿宋"/>
          <w:sz w:val="32"/>
          <w:szCs w:val="32"/>
        </w:rPr>
        <w:t>）负责研究辖区经济发展的规划，协助有关部门抓好安全生产工作。</w:t>
      </w:r>
    </w:p>
    <w:p w14:paraId="2CE4ACA4">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12</w:t>
      </w:r>
      <w:r>
        <w:rPr>
          <w:rFonts w:hint="eastAsia" w:ascii="仿宋" w:hAnsi="仿宋" w:eastAsia="仿宋" w:cs="仿宋"/>
          <w:sz w:val="32"/>
          <w:szCs w:val="32"/>
        </w:rPr>
        <w:t>）配合有关部门做好辖区内的三防、抢险救灾、安全生产检查、居民迁移等工作。</w:t>
      </w:r>
    </w:p>
    <w:p w14:paraId="0ACF2F96">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13</w:t>
      </w:r>
      <w:r>
        <w:rPr>
          <w:rFonts w:hint="eastAsia" w:ascii="仿宋" w:hAnsi="仿宋" w:eastAsia="仿宋" w:cs="仿宋"/>
          <w:sz w:val="32"/>
          <w:szCs w:val="32"/>
        </w:rPr>
        <w:t>）承办区委、区政府交办的其他工作。</w:t>
      </w:r>
    </w:p>
    <w:p w14:paraId="0ECE131F">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3.机构设置</w:t>
      </w:r>
    </w:p>
    <w:p w14:paraId="6095A809">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合江街道办事处</w:t>
      </w:r>
      <w:r>
        <w:rPr>
          <w:rFonts w:hint="eastAsia" w:ascii="仿宋" w:hAnsi="仿宋" w:eastAsia="仿宋" w:cs="仿宋"/>
          <w:sz w:val="32"/>
          <w:szCs w:val="32"/>
        </w:rPr>
        <w:t>单位内设机构包括：</w:t>
      </w:r>
    </w:p>
    <w:p w14:paraId="07B54801">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党政机构：党政综合办公室、基层党建工作办公室、经济发展办公室、农业农村和扶贫工作办公室、社会事务办公室、自然资源和生态环境办公室、社会治安综合治理和应急管理办公室。</w:t>
      </w:r>
    </w:p>
    <w:p w14:paraId="1F895A44">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事业单位：社会事业综合服务中心、农业和文化综合服务中心、退役军人服务站、政务服务中心、综合行政执法大队。</w:t>
      </w:r>
    </w:p>
    <w:p w14:paraId="4162931C">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其他机构：财政所（派驻）、工会、团工委、妇联、纪工委、司法所（派驻）、武装部、重点办、社工站、人大和政协联络员。</w:t>
      </w:r>
    </w:p>
    <w:p w14:paraId="3A69D537">
      <w:pPr>
        <w:ind w:firstLine="643" w:firstLineChars="200"/>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（二）部门年度整体支出绩效目标，专项资金绩效目标</w:t>
      </w:r>
    </w:p>
    <w:p w14:paraId="3174E8B0">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2023年度部门整体支出绩效目标，一是保证街道办事处日常运转，更好的服务辖区各类群众组织及群众。二是维护好辖区社会管理秩序。三是加强社会管理，维护社会稳定，营造良好社会秩序，确保和谐稳定。</w:t>
      </w:r>
    </w:p>
    <w:p w14:paraId="1A371AB8">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2023年度专项资金绩效目标，一是保障街道退伍安置士兵的人员经费及日常公用经费。二是做好各项惠民工作，响应市委、市政府号召积极开展“创文创卫”工作，改善人居环境，切实服务民生。</w:t>
      </w:r>
    </w:p>
    <w:p w14:paraId="689BA49E">
      <w:p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二、一般公共预算支出情况   </w:t>
      </w:r>
    </w:p>
    <w:p w14:paraId="4137BFB9">
      <w:pPr>
        <w:ind w:firstLine="640" w:firstLineChars="200"/>
        <w:rPr>
          <w:rFonts w:hint="eastAsia" w:ascii="仿宋" w:hAnsi="仿宋" w:eastAsia="仿宋" w:cs="仿宋"/>
          <w:color w:val="0000FF"/>
          <w:sz w:val="32"/>
          <w:szCs w:val="32"/>
          <w:lang w:val="en-US" w:eastAsia="zh-CN"/>
        </w:rPr>
      </w:pPr>
      <w:r>
        <w:rPr>
          <w:rFonts w:hint="eastAsia" w:ascii="仿宋" w:hAnsi="仿宋" w:eastAsia="仿宋" w:cs="仿宋"/>
          <w:color w:val="0000FF"/>
          <w:sz w:val="32"/>
          <w:szCs w:val="32"/>
          <w:lang w:val="en-US" w:eastAsia="zh-CN"/>
        </w:rPr>
        <w:t>2023年总支出为</w:t>
      </w:r>
      <w:r>
        <w:rPr>
          <w:rFonts w:hint="eastAsia" w:ascii="微软雅黑" w:hAnsi="微软雅黑" w:eastAsia="微软雅黑" w:cs="微软雅黑"/>
          <w:b w:val="0"/>
          <w:bCs w:val="0"/>
          <w:i w:val="0"/>
          <w:caps w:val="0"/>
          <w:color w:val="0000FF"/>
          <w:spacing w:val="0"/>
          <w:sz w:val="24"/>
          <w:szCs w:val="24"/>
          <w:lang w:val="en-US" w:eastAsia="zh-CN"/>
        </w:rPr>
        <w:t>26311.12</w:t>
      </w:r>
      <w:r>
        <w:rPr>
          <w:rFonts w:hint="eastAsia" w:ascii="仿宋" w:hAnsi="仿宋" w:eastAsia="仿宋" w:cs="仿宋"/>
          <w:color w:val="0000FF"/>
          <w:sz w:val="32"/>
          <w:szCs w:val="32"/>
          <w:lang w:val="en-US" w:eastAsia="zh-CN"/>
        </w:rPr>
        <w:t>万元，其中基本支出735.44万元，项目支出25575.68万元。</w:t>
      </w:r>
    </w:p>
    <w:p w14:paraId="4BE17781">
      <w:pPr>
        <w:ind w:firstLine="643" w:firstLineChars="200"/>
        <w:rPr>
          <w:rFonts w:hint="default" w:ascii="仿宋" w:hAnsi="仿宋" w:eastAsia="仿宋" w:cs="仿宋"/>
          <w:sz w:val="32"/>
          <w:szCs w:val="32"/>
          <w:lang w:val="en-US" w:eastAsia="zh-CN"/>
        </w:rPr>
      </w:pPr>
      <w:r>
        <w:rPr>
          <w:rFonts w:hint="eastAsia" w:ascii="楷体" w:hAnsi="楷体" w:eastAsia="楷体" w:cs="楷体"/>
          <w:b/>
          <w:bCs/>
          <w:sz w:val="32"/>
          <w:szCs w:val="32"/>
          <w:lang w:val="en-US" w:eastAsia="zh-CN"/>
        </w:rPr>
        <w:t>（一）基本支出735.44万元。</w:t>
      </w:r>
      <w:r>
        <w:rPr>
          <w:rFonts w:hint="eastAsia" w:ascii="仿宋" w:hAnsi="仿宋" w:eastAsia="仿宋" w:cs="仿宋"/>
          <w:sz w:val="32"/>
          <w:szCs w:val="32"/>
          <w:lang w:val="en-US" w:eastAsia="zh-CN"/>
        </w:rPr>
        <w:t>其中：工资福利支出649.96万元，商品和服务支出84.3万元，对个人和家庭的补助支出1.18万元，资本性支出0万元。</w:t>
      </w:r>
    </w:p>
    <w:p w14:paraId="4C0580D1">
      <w:pPr>
        <w:ind w:firstLine="643" w:firstLineChars="200"/>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（二）项目支出25575.68万元。</w:t>
      </w:r>
      <w:r>
        <w:rPr>
          <w:rFonts w:hint="eastAsia" w:ascii="仿宋" w:hAnsi="仿宋" w:eastAsia="仿宋" w:cs="仿宋"/>
          <w:sz w:val="32"/>
          <w:szCs w:val="32"/>
          <w:lang w:val="en-US" w:eastAsia="zh-CN"/>
        </w:rPr>
        <w:t>其中：工资福利支出381.58万元，商品和服务支出338.72万元，对个人和家庭的补助支出63.14万元，资本性支出21069.53万元，对企业的补助支出3722.71万元。</w:t>
      </w:r>
    </w:p>
    <w:p w14:paraId="59F130A5">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三、政府性基金预算支出情况</w:t>
      </w:r>
    </w:p>
    <w:p w14:paraId="59EB9947">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收入、支出0万元。</w:t>
      </w:r>
    </w:p>
    <w:p w14:paraId="56C2DFD2">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四、国有资金经营预算支出情况</w:t>
      </w:r>
    </w:p>
    <w:p w14:paraId="6A63E4BD">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14:paraId="25632848">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五、社会保险基金预算支出情况</w:t>
      </w:r>
    </w:p>
    <w:p w14:paraId="0A1127A9">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14:paraId="52FCC850">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六、部门整体支出绩效情况</w:t>
      </w:r>
    </w:p>
    <w:p w14:paraId="499CBB42">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2023</w:t>
      </w:r>
      <w:r>
        <w:rPr>
          <w:rFonts w:hint="eastAsia" w:ascii="仿宋" w:hAnsi="仿宋" w:eastAsia="仿宋" w:cs="仿宋"/>
          <w:sz w:val="32"/>
          <w:szCs w:val="32"/>
        </w:rPr>
        <w:t>年，我</w:t>
      </w:r>
      <w:r>
        <w:rPr>
          <w:rFonts w:hint="eastAsia" w:ascii="仿宋" w:hAnsi="仿宋" w:eastAsia="仿宋" w:cs="仿宋"/>
          <w:sz w:val="32"/>
          <w:szCs w:val="32"/>
          <w:lang w:val="en-US" w:eastAsia="zh-CN"/>
        </w:rPr>
        <w:t>单位</w:t>
      </w:r>
      <w:r>
        <w:rPr>
          <w:rFonts w:hint="eastAsia" w:ascii="仿宋" w:hAnsi="仿宋" w:eastAsia="仿宋" w:cs="仿宋"/>
          <w:sz w:val="32"/>
          <w:szCs w:val="32"/>
        </w:rPr>
        <w:t>积极履职，强化管理，较好地完成了年度工作目标。通过加强预算收支管理，建立健全内部管理制度，</w:t>
      </w:r>
      <w:r>
        <w:rPr>
          <w:rFonts w:hint="eastAsia" w:ascii="仿宋" w:hAnsi="仿宋" w:eastAsia="仿宋" w:cs="仿宋"/>
          <w:sz w:val="32"/>
          <w:szCs w:val="32"/>
          <w:lang w:val="en-US" w:eastAsia="zh-CN"/>
        </w:rPr>
        <w:t>完善</w:t>
      </w:r>
      <w:r>
        <w:rPr>
          <w:rFonts w:hint="eastAsia" w:ascii="仿宋" w:hAnsi="仿宋" w:eastAsia="仿宋" w:cs="仿宋"/>
          <w:sz w:val="32"/>
          <w:szCs w:val="32"/>
        </w:rPr>
        <w:t>内部管理流程，部门整体支出管理水平得到提升。根据部门整体支出绩效评价指标体系，我单位</w:t>
      </w:r>
      <w:r>
        <w:rPr>
          <w:rFonts w:hint="eastAsia" w:ascii="仿宋" w:hAnsi="仿宋" w:eastAsia="仿宋" w:cs="仿宋"/>
          <w:sz w:val="32"/>
          <w:szCs w:val="32"/>
          <w:lang w:val="en-US" w:eastAsia="zh-CN"/>
        </w:rPr>
        <w:t>2023</w:t>
      </w:r>
      <w:r>
        <w:rPr>
          <w:rFonts w:hint="eastAsia" w:ascii="仿宋" w:hAnsi="仿宋" w:eastAsia="仿宋" w:cs="仿宋"/>
          <w:sz w:val="32"/>
          <w:szCs w:val="32"/>
        </w:rPr>
        <w:t>年度评价得分为</w:t>
      </w:r>
      <w:r>
        <w:rPr>
          <w:rFonts w:hint="eastAsia" w:ascii="仿宋" w:hAnsi="仿宋" w:eastAsia="仿宋" w:cs="仿宋"/>
          <w:sz w:val="32"/>
          <w:szCs w:val="32"/>
          <w:lang w:val="en-US" w:eastAsia="zh-CN"/>
        </w:rPr>
        <w:t>98</w:t>
      </w:r>
      <w:r>
        <w:rPr>
          <w:rFonts w:hint="eastAsia" w:ascii="仿宋" w:hAnsi="仿宋" w:eastAsia="仿宋" w:cs="仿宋"/>
          <w:sz w:val="32"/>
          <w:szCs w:val="32"/>
        </w:rPr>
        <w:t>分。部门整体支出绩效情况如下：</w:t>
      </w:r>
    </w:p>
    <w:p w14:paraId="5ABB2294">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预算执行</w:t>
      </w:r>
      <w:r>
        <w:rPr>
          <w:rFonts w:hint="eastAsia" w:ascii="仿宋" w:hAnsi="仿宋" w:eastAsia="仿宋" w:cs="仿宋"/>
          <w:sz w:val="32"/>
          <w:szCs w:val="32"/>
          <w:lang w:eastAsia="zh-CN"/>
        </w:rPr>
        <w:t>比较</w:t>
      </w:r>
      <w:r>
        <w:rPr>
          <w:rFonts w:hint="eastAsia" w:ascii="仿宋" w:hAnsi="仿宋" w:eastAsia="仿宋" w:cs="仿宋"/>
          <w:sz w:val="32"/>
          <w:szCs w:val="32"/>
        </w:rPr>
        <w:t>到位</w:t>
      </w:r>
      <w:r>
        <w:rPr>
          <w:rFonts w:hint="eastAsia" w:ascii="仿宋" w:hAnsi="仿宋" w:eastAsia="仿宋" w:cs="仿宋"/>
          <w:sz w:val="32"/>
          <w:szCs w:val="32"/>
          <w:lang w:eastAsia="zh-CN"/>
        </w:rPr>
        <w:t>，执行率为</w:t>
      </w:r>
      <w:r>
        <w:rPr>
          <w:rFonts w:hint="eastAsia" w:ascii="仿宋" w:hAnsi="仿宋" w:eastAsia="仿宋" w:cs="仿宋"/>
          <w:sz w:val="32"/>
          <w:szCs w:val="32"/>
          <w:lang w:val="en-US" w:eastAsia="zh-CN"/>
        </w:rPr>
        <w:t>100%，</w:t>
      </w:r>
      <w:r>
        <w:rPr>
          <w:rFonts w:hint="eastAsia" w:ascii="仿宋" w:hAnsi="仿宋" w:eastAsia="仿宋" w:cs="仿宋"/>
          <w:sz w:val="32"/>
          <w:szCs w:val="32"/>
        </w:rPr>
        <w:t>得</w:t>
      </w:r>
      <w:r>
        <w:rPr>
          <w:rFonts w:hint="eastAsia" w:ascii="仿宋" w:hAnsi="仿宋" w:eastAsia="仿宋" w:cs="仿宋"/>
          <w:sz w:val="32"/>
          <w:szCs w:val="32"/>
          <w:lang w:val="en-US" w:eastAsia="zh-CN"/>
        </w:rPr>
        <w:t>10</w:t>
      </w:r>
      <w:r>
        <w:rPr>
          <w:rFonts w:hint="eastAsia" w:ascii="仿宋" w:hAnsi="仿宋" w:eastAsia="仿宋" w:cs="仿宋"/>
          <w:sz w:val="32"/>
          <w:szCs w:val="32"/>
        </w:rPr>
        <w:t>分。</w:t>
      </w:r>
    </w:p>
    <w:p w14:paraId="087F7526">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在职人员控制率较好</w:t>
      </w:r>
      <w:r>
        <w:rPr>
          <w:rFonts w:hint="eastAsia" w:ascii="仿宋" w:hAnsi="仿宋" w:eastAsia="仿宋" w:cs="仿宋"/>
          <w:sz w:val="32"/>
          <w:szCs w:val="32"/>
          <w:lang w:eastAsia="zh-CN"/>
        </w:rPr>
        <w:t>，</w:t>
      </w:r>
      <w:r>
        <w:rPr>
          <w:rFonts w:hint="eastAsia" w:ascii="仿宋" w:hAnsi="仿宋" w:eastAsia="仿宋" w:cs="仿宋"/>
          <w:sz w:val="32"/>
          <w:szCs w:val="32"/>
        </w:rPr>
        <w:t>得5分。</w:t>
      </w:r>
    </w:p>
    <w:p w14:paraId="52CBDEF6">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“三公</w:t>
      </w:r>
      <w:r>
        <w:rPr>
          <w:rFonts w:hint="eastAsia" w:ascii="仿宋" w:hAnsi="仿宋" w:eastAsia="仿宋" w:cs="仿宋"/>
          <w:sz w:val="32"/>
          <w:szCs w:val="32"/>
          <w:lang w:val="en-US" w:eastAsia="zh-CN"/>
        </w:rPr>
        <w:t>”</w:t>
      </w:r>
      <w:r>
        <w:rPr>
          <w:rFonts w:hint="eastAsia" w:ascii="仿宋" w:hAnsi="仿宋" w:eastAsia="仿宋" w:cs="仿宋"/>
          <w:sz w:val="32"/>
          <w:szCs w:val="32"/>
        </w:rPr>
        <w:t>经费变动率</w:t>
      </w:r>
      <w:r>
        <w:rPr>
          <w:rFonts w:hint="eastAsia" w:ascii="仿宋" w:hAnsi="仿宋" w:eastAsia="仿宋" w:cs="仿宋"/>
          <w:sz w:val="32"/>
          <w:szCs w:val="32"/>
          <w:lang w:eastAsia="zh-CN"/>
        </w:rPr>
        <w:t>得</w:t>
      </w:r>
      <w:r>
        <w:rPr>
          <w:rFonts w:hint="eastAsia" w:ascii="仿宋" w:hAnsi="仿宋" w:eastAsia="仿宋" w:cs="仿宋"/>
          <w:sz w:val="32"/>
          <w:szCs w:val="32"/>
          <w:lang w:val="en-US" w:eastAsia="zh-CN"/>
        </w:rPr>
        <w:t>5分。</w:t>
      </w:r>
      <w:r>
        <w:rPr>
          <w:rFonts w:hint="eastAsia" w:ascii="仿宋" w:hAnsi="仿宋" w:eastAsia="仿宋" w:cs="仿宋"/>
          <w:sz w:val="32"/>
          <w:szCs w:val="32"/>
        </w:rPr>
        <w:t>“在公经费”变动率=［（本年度“三 公经费”预算数-上年度“三公经 费"预算数）/上年度“三公经费” 预算数</w:t>
      </w:r>
      <w:r>
        <w:rPr>
          <w:rFonts w:hint="eastAsia" w:ascii="仿宋" w:hAnsi="仿宋" w:eastAsia="仿宋" w:cs="仿宋"/>
          <w:sz w:val="32"/>
          <w:szCs w:val="32"/>
          <w:lang w:val="en-US" w:eastAsia="en-US"/>
        </w:rPr>
        <w:t>］</w:t>
      </w:r>
      <w:r>
        <w:rPr>
          <w:rFonts w:hint="eastAsia" w:ascii="仿宋" w:hAnsi="仿宋" w:eastAsia="仿宋" w:cs="仿宋"/>
          <w:sz w:val="32"/>
          <w:szCs w:val="32"/>
        </w:rPr>
        <w:t>×</w:t>
      </w:r>
      <w:r>
        <w:rPr>
          <w:rFonts w:hint="eastAsia" w:ascii="仿宋" w:hAnsi="仿宋" w:eastAsia="仿宋" w:cs="仿宋"/>
          <w:sz w:val="32"/>
          <w:szCs w:val="32"/>
          <w:lang w:val="en-US" w:eastAsia="en-US"/>
        </w:rPr>
        <w:t>100%</w:t>
      </w:r>
      <w:r>
        <w:rPr>
          <w:rFonts w:hint="eastAsia" w:ascii="仿宋" w:hAnsi="仿宋" w:eastAsia="仿宋" w:cs="仿宋"/>
          <w:sz w:val="32"/>
          <w:szCs w:val="32"/>
          <w:lang w:val="en-US" w:eastAsia="zh-CN"/>
        </w:rPr>
        <w:t>=0%，得5分。</w:t>
      </w:r>
    </w:p>
    <w:p w14:paraId="1D1F8CCE">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预算控制率</w:t>
      </w:r>
      <w:r>
        <w:rPr>
          <w:rFonts w:hint="eastAsia" w:ascii="仿宋" w:hAnsi="仿宋" w:eastAsia="仿宋" w:cs="仿宋"/>
          <w:sz w:val="32"/>
          <w:szCs w:val="32"/>
          <w:lang w:eastAsia="zh-CN"/>
        </w:rPr>
        <w:t>得</w:t>
      </w:r>
      <w:r>
        <w:rPr>
          <w:rFonts w:hint="eastAsia" w:ascii="仿宋" w:hAnsi="仿宋" w:eastAsia="仿宋" w:cs="仿宋"/>
          <w:sz w:val="32"/>
          <w:szCs w:val="32"/>
          <w:lang w:val="en-US" w:eastAsia="zh-CN"/>
        </w:rPr>
        <w:t>5分。</w:t>
      </w:r>
      <w:r>
        <w:rPr>
          <w:rFonts w:hint="eastAsia" w:ascii="仿宋" w:hAnsi="仿宋" w:eastAsia="仿宋" w:cs="仿宋"/>
          <w:sz w:val="32"/>
          <w:szCs w:val="32"/>
        </w:rPr>
        <w:t>预算控制率=（本年追加预算/年初预算）×</w:t>
      </w:r>
      <w:r>
        <w:rPr>
          <w:rFonts w:hint="eastAsia" w:ascii="仿宋" w:hAnsi="仿宋" w:eastAsia="仿宋" w:cs="仿宋"/>
          <w:sz w:val="32"/>
          <w:szCs w:val="32"/>
          <w:lang w:val="en-US" w:eastAsia="en-US"/>
        </w:rPr>
        <w:t>100%</w:t>
      </w:r>
      <w:r>
        <w:rPr>
          <w:rFonts w:hint="eastAsia" w:ascii="仿宋" w:hAnsi="仿宋" w:eastAsia="仿宋" w:cs="仿宋"/>
          <w:sz w:val="32"/>
          <w:szCs w:val="32"/>
          <w:lang w:val="en-US" w:eastAsia="zh-CN"/>
        </w:rPr>
        <w:t>=0，得5分。</w:t>
      </w:r>
    </w:p>
    <w:p w14:paraId="4ED80AE0">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公用经费控制率</w:t>
      </w:r>
      <w:r>
        <w:rPr>
          <w:rFonts w:hint="eastAsia" w:ascii="仿宋" w:hAnsi="仿宋" w:eastAsia="仿宋" w:cs="仿宋"/>
          <w:sz w:val="32"/>
          <w:szCs w:val="32"/>
          <w:lang w:eastAsia="zh-CN"/>
        </w:rPr>
        <w:t>得</w:t>
      </w:r>
      <w:r>
        <w:rPr>
          <w:rFonts w:hint="eastAsia" w:ascii="仿宋" w:hAnsi="仿宋" w:eastAsia="仿宋" w:cs="仿宋"/>
          <w:sz w:val="32"/>
          <w:szCs w:val="32"/>
          <w:lang w:val="en-US" w:eastAsia="zh-CN"/>
        </w:rPr>
        <w:t>5分。</w:t>
      </w:r>
      <w:r>
        <w:rPr>
          <w:rFonts w:hint="eastAsia" w:ascii="仿宋" w:hAnsi="仿宋" w:eastAsia="仿宋" w:cs="仿宋"/>
          <w:sz w:val="32"/>
          <w:szCs w:val="32"/>
        </w:rPr>
        <w:t>公用经费控制率=（实际支出公 用经费总额/预算安排公用经费 总额）×</w:t>
      </w:r>
      <w:r>
        <w:rPr>
          <w:rFonts w:hint="eastAsia" w:ascii="仿宋" w:hAnsi="仿宋" w:eastAsia="仿宋" w:cs="仿宋"/>
          <w:sz w:val="32"/>
          <w:szCs w:val="32"/>
          <w:lang w:val="en-US" w:eastAsia="en-US"/>
        </w:rPr>
        <w:t>100%</w:t>
      </w:r>
      <w:r>
        <w:rPr>
          <w:rFonts w:hint="eastAsia" w:ascii="仿宋" w:hAnsi="仿宋" w:eastAsia="仿宋" w:cs="仿宋"/>
          <w:sz w:val="32"/>
          <w:szCs w:val="32"/>
          <w:lang w:val="en-US" w:eastAsia="zh-CN"/>
        </w:rPr>
        <w:t>=0，得5分。</w:t>
      </w:r>
    </w:p>
    <w:p w14:paraId="5BECD888">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“三公 经费” 控制率</w:t>
      </w:r>
      <w:r>
        <w:rPr>
          <w:rFonts w:hint="eastAsia" w:ascii="仿宋" w:hAnsi="仿宋" w:eastAsia="仿宋" w:cs="仿宋"/>
          <w:sz w:val="32"/>
          <w:szCs w:val="32"/>
          <w:lang w:eastAsia="zh-CN"/>
        </w:rPr>
        <w:t>得</w:t>
      </w:r>
      <w:r>
        <w:rPr>
          <w:rFonts w:hint="eastAsia" w:ascii="仿宋" w:hAnsi="仿宋" w:eastAsia="仿宋" w:cs="仿宋"/>
          <w:sz w:val="32"/>
          <w:szCs w:val="32"/>
          <w:lang w:val="en-US" w:eastAsia="zh-CN"/>
        </w:rPr>
        <w:t>5分。</w:t>
      </w:r>
      <w:r>
        <w:rPr>
          <w:rFonts w:hint="eastAsia" w:ascii="仿宋" w:hAnsi="仿宋" w:eastAsia="仿宋" w:cs="仿宋"/>
          <w:sz w:val="32"/>
          <w:szCs w:val="32"/>
        </w:rPr>
        <w:t>“三公经费”控制率</w:t>
      </w:r>
      <w:r>
        <w:rPr>
          <w:rFonts w:hint="eastAsia" w:ascii="仿宋" w:hAnsi="仿宋" w:eastAsia="仿宋" w:cs="仿宋"/>
          <w:sz w:val="32"/>
          <w:szCs w:val="32"/>
          <w:lang w:val="en-US" w:eastAsia="zh-CN"/>
        </w:rPr>
        <w:t>=</w:t>
      </w:r>
      <w:r>
        <w:rPr>
          <w:rFonts w:hint="eastAsia" w:ascii="仿宋" w:hAnsi="仿宋" w:eastAsia="仿宋" w:cs="仿宋"/>
          <w:sz w:val="32"/>
          <w:szCs w:val="32"/>
        </w:rPr>
        <w:t>（“三公经费” 实际支出数/“三公经费”预算安排数）×</w:t>
      </w:r>
      <w:r>
        <w:rPr>
          <w:rFonts w:hint="eastAsia" w:ascii="仿宋" w:hAnsi="仿宋" w:eastAsia="仿宋" w:cs="仿宋"/>
          <w:sz w:val="32"/>
          <w:szCs w:val="32"/>
          <w:lang w:val="en-US" w:eastAsia="en-US"/>
        </w:rPr>
        <w:t xml:space="preserve">100% </w:t>
      </w:r>
      <w:r>
        <w:rPr>
          <w:rFonts w:hint="eastAsia" w:ascii="仿宋" w:hAnsi="仿宋" w:eastAsia="仿宋" w:cs="仿宋"/>
          <w:sz w:val="32"/>
          <w:szCs w:val="32"/>
          <w:lang w:val="en-US" w:eastAsia="zh-CN"/>
        </w:rPr>
        <w:t>=0，得5分。</w:t>
      </w:r>
    </w:p>
    <w:p w14:paraId="737C143D">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政府采购执行率</w:t>
      </w:r>
      <w:r>
        <w:rPr>
          <w:rFonts w:hint="eastAsia" w:ascii="仿宋" w:hAnsi="仿宋" w:eastAsia="仿宋" w:cs="仿宋"/>
          <w:sz w:val="32"/>
          <w:szCs w:val="32"/>
          <w:lang w:eastAsia="zh-CN"/>
        </w:rPr>
        <w:t>得</w:t>
      </w:r>
      <w:r>
        <w:rPr>
          <w:rFonts w:hint="eastAsia" w:ascii="仿宋" w:hAnsi="仿宋" w:eastAsia="仿宋" w:cs="仿宋"/>
          <w:sz w:val="32"/>
          <w:szCs w:val="32"/>
          <w:lang w:val="en-US" w:eastAsia="zh-CN"/>
        </w:rPr>
        <w:t>5分。</w:t>
      </w:r>
      <w:r>
        <w:rPr>
          <w:rFonts w:hint="eastAsia" w:ascii="仿宋" w:hAnsi="仿宋" w:eastAsia="仿宋" w:cs="仿宋"/>
          <w:sz w:val="32"/>
          <w:szCs w:val="32"/>
        </w:rPr>
        <w:t>政府采购执行率=（实际政府采购金额与政府采购预算金额 一致）×100%=</w:t>
      </w:r>
      <w:r>
        <w:rPr>
          <w:rFonts w:hint="eastAsia" w:ascii="仿宋" w:hAnsi="仿宋" w:eastAsia="仿宋" w:cs="仿宋"/>
          <w:sz w:val="32"/>
          <w:szCs w:val="32"/>
          <w:lang w:val="en-US" w:eastAsia="zh-CN"/>
        </w:rPr>
        <w:t>80</w:t>
      </w:r>
      <w:r>
        <w:rPr>
          <w:rFonts w:hint="eastAsia" w:ascii="仿宋" w:hAnsi="仿宋" w:eastAsia="仿宋" w:cs="仿宋"/>
          <w:sz w:val="32"/>
          <w:szCs w:val="32"/>
        </w:rPr>
        <w:t>%，得</w:t>
      </w:r>
      <w:r>
        <w:rPr>
          <w:rFonts w:hint="eastAsia" w:ascii="仿宋" w:hAnsi="仿宋" w:eastAsia="仿宋" w:cs="仿宋"/>
          <w:sz w:val="32"/>
          <w:szCs w:val="32"/>
          <w:lang w:val="en-US" w:eastAsia="zh-CN"/>
        </w:rPr>
        <w:t>5</w:t>
      </w:r>
      <w:r>
        <w:rPr>
          <w:rFonts w:hint="eastAsia" w:ascii="仿宋" w:hAnsi="仿宋" w:eastAsia="仿宋" w:cs="仿宋"/>
          <w:sz w:val="32"/>
          <w:szCs w:val="32"/>
        </w:rPr>
        <w:t>分。</w:t>
      </w:r>
    </w:p>
    <w:p w14:paraId="3B4A6F4D">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重点工作实际完成率</w:t>
      </w:r>
      <w:r>
        <w:rPr>
          <w:rFonts w:hint="eastAsia" w:ascii="仿宋" w:hAnsi="仿宋" w:eastAsia="仿宋" w:cs="仿宋"/>
          <w:sz w:val="32"/>
          <w:szCs w:val="32"/>
          <w:lang w:eastAsia="zh-CN"/>
        </w:rPr>
        <w:t>得</w:t>
      </w:r>
      <w:r>
        <w:rPr>
          <w:rFonts w:hint="eastAsia" w:ascii="仿宋" w:hAnsi="仿宋" w:eastAsia="仿宋" w:cs="仿宋"/>
          <w:sz w:val="32"/>
          <w:szCs w:val="32"/>
          <w:lang w:val="en-US" w:eastAsia="zh-CN"/>
        </w:rPr>
        <w:t>4分。</w:t>
      </w:r>
      <w:r>
        <w:rPr>
          <w:rFonts w:hint="eastAsia" w:ascii="仿宋" w:hAnsi="仿宋" w:eastAsia="仿宋" w:cs="仿宋"/>
          <w:sz w:val="32"/>
          <w:szCs w:val="32"/>
        </w:rPr>
        <w:t>根据绩效办对各部门为民办实事和部门重点工程与重点工作考核分数折算</w:t>
      </w:r>
      <w:r>
        <w:rPr>
          <w:rFonts w:hint="eastAsia" w:ascii="仿宋" w:hAnsi="仿宋" w:eastAsia="仿宋" w:cs="仿宋"/>
          <w:sz w:val="32"/>
          <w:szCs w:val="32"/>
          <w:lang w:eastAsia="zh-CN"/>
        </w:rPr>
        <w:t>，完成</w:t>
      </w:r>
      <w:r>
        <w:rPr>
          <w:rFonts w:hint="eastAsia" w:ascii="仿宋" w:hAnsi="仿宋" w:eastAsia="仿宋" w:cs="仿宋"/>
          <w:sz w:val="32"/>
          <w:szCs w:val="32"/>
          <w:lang w:val="en-US" w:eastAsia="zh-CN"/>
        </w:rPr>
        <w:t>80%，得4分。</w:t>
      </w:r>
    </w:p>
    <w:p w14:paraId="60749272">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rPr>
        <w:t>管理制度健全性得</w:t>
      </w:r>
      <w:r>
        <w:rPr>
          <w:rFonts w:hint="eastAsia" w:ascii="仿宋" w:hAnsi="仿宋" w:eastAsia="仿宋" w:cs="仿宋"/>
          <w:sz w:val="32"/>
          <w:szCs w:val="32"/>
          <w:lang w:val="en-US" w:eastAsia="zh-CN"/>
        </w:rPr>
        <w:t>5</w:t>
      </w:r>
      <w:r>
        <w:rPr>
          <w:rFonts w:hint="eastAsia" w:ascii="仿宋" w:hAnsi="仿宋" w:eastAsia="仿宋" w:cs="仿宋"/>
          <w:sz w:val="32"/>
          <w:szCs w:val="32"/>
        </w:rPr>
        <w:t>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rPr>
        <w:t>有内部财务管理制度、会 计核算制度等管理制度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rPr>
        <w:t>有本部门厉行节约制度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rPr>
        <w:t>相关管理制度合法、合规、完整；</w:t>
      </w:r>
      <w:r>
        <w:rPr>
          <w:rFonts w:hint="eastAsia" w:ascii="仿宋" w:hAnsi="仿宋" w:eastAsia="仿宋" w:cs="仿宋"/>
          <w:sz w:val="32"/>
          <w:szCs w:val="32"/>
          <w:lang w:val="en-US" w:eastAsia="zh-CN"/>
        </w:rPr>
        <w:t>4.</w:t>
      </w:r>
      <w:r>
        <w:rPr>
          <w:rFonts w:hint="eastAsia" w:ascii="仿宋" w:hAnsi="仿宋" w:eastAsia="仿宋" w:cs="仿宋"/>
          <w:sz w:val="32"/>
          <w:szCs w:val="32"/>
        </w:rPr>
        <w:t>相关管理制度得到有效执行</w:t>
      </w:r>
      <w:r>
        <w:rPr>
          <w:rFonts w:hint="eastAsia" w:ascii="仿宋" w:hAnsi="仿宋" w:eastAsia="仿宋" w:cs="仿宋"/>
          <w:sz w:val="32"/>
          <w:szCs w:val="32"/>
          <w:lang w:val="en-US" w:eastAsia="zh-CN"/>
        </w:rPr>
        <w:t>等。以上制度健全，得5分。</w:t>
      </w:r>
    </w:p>
    <w:p w14:paraId="54492678">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预决算信息</w:t>
      </w:r>
      <w:r>
        <w:rPr>
          <w:rFonts w:hint="eastAsia" w:ascii="仿宋" w:hAnsi="仿宋" w:eastAsia="仿宋" w:cs="仿宋"/>
          <w:sz w:val="32"/>
          <w:szCs w:val="32"/>
          <w:lang w:val="en-US" w:eastAsia="zh-CN"/>
        </w:rPr>
        <w:t>公开性得5分。公开内容完整性、时效性、真实性、准确性均达标，得5分。</w:t>
      </w:r>
    </w:p>
    <w:p w14:paraId="6DBA5D14">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资金使用合规性得5分。1.支出符合国家财经法规和财务管理制度规定以及有关专项资金管理办法的规定；2.资金拨付有完整的审批程序和手续；3.项目支出按规定经过评估论证；4.支出符合部门预算批复的用途；5、 资金使用无截留、挤占、挪 用、虚列支出等情况。以上均符合要求，得5分。</w:t>
      </w:r>
    </w:p>
    <w:p w14:paraId="1F6C79DB">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12.经济状况良好得10分；社会秩序正常得、辖区内环境、生态系统保持平衡，或更加优化得10分；社会发展为可持续状态得10分；群众满意度≥90%，得9分。</w:t>
      </w:r>
    </w:p>
    <w:p w14:paraId="55CA0519">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七、存在的问题及原因分析</w:t>
      </w:r>
    </w:p>
    <w:p w14:paraId="612A6A16">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财政收支矛盾仍然存在，人员经费、民生支出等刚性支出不断增加，“三保”压力较大，造成收支矛盾比较突出。财政管理还需进一步加强，随着财政体制改革不断深入，财政管理水平与改革的需要还存在一定的差距，还需进一步提升业务素质和管理能力</w:t>
      </w:r>
      <w:r>
        <w:rPr>
          <w:rFonts w:hint="eastAsia" w:ascii="仿宋" w:hAnsi="仿宋" w:eastAsia="仿宋" w:cs="仿宋"/>
          <w:sz w:val="32"/>
          <w:szCs w:val="32"/>
        </w:rPr>
        <w:t>。</w:t>
      </w:r>
    </w:p>
    <w:p w14:paraId="431CC33A">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八、下一步改进措施</w:t>
      </w:r>
    </w:p>
    <w:p w14:paraId="43342EF7">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下一步，将紧紧围绕中心工作，立足财政职责，坚守原则，发奋进取，攻坚克难，确保完成各项工作目标。</w:t>
      </w:r>
    </w:p>
    <w:p w14:paraId="3D528FCA">
      <w:pPr>
        <w:ind w:firstLine="643" w:firstLineChars="200"/>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1.切实提升财政运行质量</w:t>
      </w:r>
      <w:r>
        <w:rPr>
          <w:rFonts w:hint="eastAsia" w:ascii="楷体" w:hAnsi="楷体" w:eastAsia="楷体" w:cs="楷体"/>
          <w:b/>
          <w:bCs/>
          <w:sz w:val="32"/>
          <w:szCs w:val="32"/>
        </w:rPr>
        <w:t>。</w:t>
      </w:r>
      <w:r>
        <w:rPr>
          <w:rFonts w:hint="eastAsia" w:ascii="仿宋" w:hAnsi="仿宋" w:eastAsia="仿宋" w:cs="仿宋"/>
          <w:sz w:val="32"/>
          <w:szCs w:val="32"/>
          <w:lang w:val="en-US" w:eastAsia="zh-CN"/>
        </w:rPr>
        <w:t xml:space="preserve">按照区相关会议精神要求，全面贯彻新发展理念，科学谋划，全面提高预算执行水平，科学编制街道各部门预算，从严控制一般性支出和“三公经费”支出。进一步深化财政绩效管理改革，扎实开展绩效运行监控。逐步完善规范固定资产管理，确保国有资产不流失。   </w:t>
      </w:r>
    </w:p>
    <w:p w14:paraId="46D9A230">
      <w:pPr>
        <w:ind w:firstLine="643" w:firstLineChars="200"/>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2.着力保障“三保”支出。</w:t>
      </w:r>
      <w:r>
        <w:rPr>
          <w:rFonts w:hint="eastAsia" w:ascii="仿宋" w:hAnsi="仿宋" w:eastAsia="仿宋" w:cs="仿宋"/>
          <w:sz w:val="32"/>
          <w:szCs w:val="32"/>
          <w:lang w:val="en-US" w:eastAsia="zh-CN"/>
        </w:rPr>
        <w:t>严格遵守“以收定支”“收支平衡”的基本原则，进一步压缩公用经费，非重点、非刚性和非当前必须的支出按区财政要求一律不安排。优先足额保障“三保”支出，优化支出结构，精打细算过“紧日子”，防止“三保”留有缺口。持续保障和改善民生，积极响应市区两级“创文创卫”工作要求，进一步提升城市人居环境，支持社会福利、最低生活保障等惠民工作，确保和谐稳定。</w:t>
      </w:r>
    </w:p>
    <w:p w14:paraId="7E1A4561">
      <w:pPr>
        <w:ind w:firstLine="643" w:firstLineChars="200"/>
        <w:rPr>
          <w:rFonts w:hint="eastAsia" w:ascii="仿宋" w:hAnsi="仿宋" w:eastAsia="仿宋" w:cs="仿宋"/>
          <w:sz w:val="32"/>
          <w:szCs w:val="32"/>
          <w:lang w:val="en-US"/>
        </w:rPr>
      </w:pPr>
      <w:r>
        <w:rPr>
          <w:rFonts w:hint="eastAsia" w:ascii="楷体" w:hAnsi="楷体" w:eastAsia="楷体" w:cs="楷体"/>
          <w:b/>
          <w:bCs/>
          <w:sz w:val="32"/>
          <w:szCs w:val="32"/>
          <w:lang w:val="en-US" w:eastAsia="zh-CN"/>
        </w:rPr>
        <w:t>3.不断提升财政管理效能。</w:t>
      </w:r>
      <w:r>
        <w:rPr>
          <w:rFonts w:hint="eastAsia" w:ascii="仿宋" w:hAnsi="仿宋" w:eastAsia="仿宋" w:cs="仿宋"/>
          <w:sz w:val="32"/>
          <w:szCs w:val="32"/>
        </w:rPr>
        <w:t>严格</w:t>
      </w:r>
      <w:r>
        <w:rPr>
          <w:rFonts w:hint="eastAsia" w:ascii="仿宋" w:hAnsi="仿宋" w:eastAsia="仿宋" w:cs="仿宋"/>
          <w:sz w:val="32"/>
          <w:szCs w:val="32"/>
          <w:lang w:val="en-US" w:eastAsia="zh-CN"/>
        </w:rPr>
        <w:t>预算执行管理，动态监控效能，合理把握预算执行进度，提升公务卡使用比率。</w:t>
      </w:r>
      <w:r>
        <w:rPr>
          <w:rFonts w:hint="eastAsia" w:ascii="仿宋" w:hAnsi="仿宋" w:eastAsia="仿宋" w:cs="仿宋"/>
          <w:sz w:val="32"/>
          <w:szCs w:val="32"/>
        </w:rPr>
        <w:t>加强资产管理</w:t>
      </w:r>
      <w:r>
        <w:rPr>
          <w:rFonts w:hint="eastAsia" w:ascii="仿宋" w:hAnsi="仿宋" w:eastAsia="仿宋" w:cs="仿宋"/>
          <w:sz w:val="32"/>
          <w:szCs w:val="32"/>
          <w:lang w:eastAsia="zh-CN"/>
        </w:rPr>
        <w:t>，</w:t>
      </w:r>
      <w:r>
        <w:rPr>
          <w:rFonts w:hint="eastAsia" w:ascii="仿宋" w:hAnsi="仿宋" w:eastAsia="仿宋" w:cs="仿宋"/>
          <w:sz w:val="32"/>
          <w:szCs w:val="32"/>
        </w:rPr>
        <w:t>规范各类资产的购置审批制度、资产出租出借和收入管理制度、资产采购制度、使用管理制度、资产处置和报废审批制度、资产管理岗位职责制度等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继续深化其他财政改革，继续完善预决算公开机制，建立健全绩效指标体系，提高绩效评价质量，充分利用评价结果，切实提升财政资金配置效率和使用效率。</w:t>
      </w:r>
    </w:p>
    <w:p w14:paraId="5335B3E7">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九、绩效自评结果拟应用和公开情况</w:t>
      </w:r>
    </w:p>
    <w:p w14:paraId="5D2B49D5">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绩效自评结果将报街道党工委办事处，为项目资金的进一步规范、合理、高效使用提供客观依据，并在合江街道公示栏进行张贴公示。</w:t>
      </w:r>
    </w:p>
    <w:p w14:paraId="33EAD6F3">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十、其他需要说明的情况</w:t>
      </w:r>
    </w:p>
    <w:p w14:paraId="6FCE7B72">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yZTg3MGQ1M2ExOTU4MzhiYWYwYWE3YjliY2UxZGMifQ=="/>
  </w:docVars>
  <w:rsids>
    <w:rsidRoot w:val="0F606ECD"/>
    <w:rsid w:val="01564A30"/>
    <w:rsid w:val="015A1044"/>
    <w:rsid w:val="019C2893"/>
    <w:rsid w:val="024C1361"/>
    <w:rsid w:val="02526FA3"/>
    <w:rsid w:val="026A09AB"/>
    <w:rsid w:val="05137474"/>
    <w:rsid w:val="05941173"/>
    <w:rsid w:val="078F5F46"/>
    <w:rsid w:val="08970D54"/>
    <w:rsid w:val="0F606ECD"/>
    <w:rsid w:val="16C1171F"/>
    <w:rsid w:val="17EA0B33"/>
    <w:rsid w:val="1CD372E6"/>
    <w:rsid w:val="222B617F"/>
    <w:rsid w:val="25BC098C"/>
    <w:rsid w:val="26504F07"/>
    <w:rsid w:val="2A81027A"/>
    <w:rsid w:val="2AA42A4B"/>
    <w:rsid w:val="2AF369D8"/>
    <w:rsid w:val="2B640A7E"/>
    <w:rsid w:val="2C8A6350"/>
    <w:rsid w:val="30581023"/>
    <w:rsid w:val="355D2576"/>
    <w:rsid w:val="3A6211AF"/>
    <w:rsid w:val="40D114D5"/>
    <w:rsid w:val="42D67409"/>
    <w:rsid w:val="44010B71"/>
    <w:rsid w:val="48353F00"/>
    <w:rsid w:val="484F0C0E"/>
    <w:rsid w:val="48923B5E"/>
    <w:rsid w:val="4D2372D5"/>
    <w:rsid w:val="4E955F9A"/>
    <w:rsid w:val="50F9240C"/>
    <w:rsid w:val="514A234E"/>
    <w:rsid w:val="519C0348"/>
    <w:rsid w:val="55984264"/>
    <w:rsid w:val="563C6C65"/>
    <w:rsid w:val="563E4579"/>
    <w:rsid w:val="574A6E44"/>
    <w:rsid w:val="5B911989"/>
    <w:rsid w:val="61686CEA"/>
    <w:rsid w:val="62980CCF"/>
    <w:rsid w:val="62E92923"/>
    <w:rsid w:val="66E15E7E"/>
    <w:rsid w:val="6C2C7378"/>
    <w:rsid w:val="6D4613E4"/>
    <w:rsid w:val="6D844C40"/>
    <w:rsid w:val="6F60582E"/>
    <w:rsid w:val="72154354"/>
    <w:rsid w:val="737F7324"/>
    <w:rsid w:val="762B2E39"/>
    <w:rsid w:val="76E03224"/>
    <w:rsid w:val="7752540E"/>
    <w:rsid w:val="77E3406E"/>
    <w:rsid w:val="78496FD5"/>
    <w:rsid w:val="7A9455D6"/>
    <w:rsid w:val="7E1932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kern w:val="0"/>
      <w:sz w:val="24"/>
      <w:lang w:val="en-US" w:eastAsia="zh-CN" w:bidi="ar"/>
    </w:rPr>
  </w:style>
  <w:style w:type="character" w:styleId="8">
    <w:name w:val="page number"/>
    <w:basedOn w:val="7"/>
    <w:qFormat/>
    <w:uiPriority w:val="0"/>
  </w:style>
  <w:style w:type="character" w:styleId="9">
    <w:name w:val="FollowedHyperlink"/>
    <w:basedOn w:val="7"/>
    <w:qFormat/>
    <w:uiPriority w:val="0"/>
    <w:rPr>
      <w:color w:val="333333"/>
      <w:u w:val="none"/>
    </w:rPr>
  </w:style>
  <w:style w:type="character" w:styleId="10">
    <w:name w:val="Emphasis"/>
    <w:basedOn w:val="7"/>
    <w:qFormat/>
    <w:uiPriority w:val="0"/>
    <w:rPr>
      <w:rFonts w:ascii="微软雅黑" w:hAnsi="微软雅黑" w:eastAsia="微软雅黑" w:cs="微软雅黑"/>
    </w:rPr>
  </w:style>
  <w:style w:type="character" w:styleId="11">
    <w:name w:val="Hyperlink"/>
    <w:basedOn w:val="7"/>
    <w:qFormat/>
    <w:uiPriority w:val="0"/>
    <w:rPr>
      <w:color w:val="333333"/>
      <w:u w:val="none"/>
    </w:rPr>
  </w:style>
  <w:style w:type="character" w:customStyle="1" w:styleId="12">
    <w:name w:val="text"/>
    <w:basedOn w:val="7"/>
    <w:qFormat/>
    <w:uiPriority w:val="0"/>
    <w:rPr>
      <w:color w:val="666666"/>
    </w:rPr>
  </w:style>
  <w:style w:type="character" w:customStyle="1" w:styleId="13">
    <w:name w:val="hover19"/>
    <w:basedOn w:val="7"/>
    <w:qFormat/>
    <w:uiPriority w:val="0"/>
    <w:rPr>
      <w:color w:val="000000"/>
      <w:shd w:val="clear" w:fill="FFFFFF"/>
    </w:rPr>
  </w:style>
  <w:style w:type="character" w:customStyle="1" w:styleId="14">
    <w:name w:val="after"/>
    <w:basedOn w:val="7"/>
    <w:qFormat/>
    <w:uiPriority w:val="0"/>
    <w:rPr>
      <w:shd w:val="clear" w:fill="FFFFFF"/>
    </w:rPr>
  </w:style>
  <w:style w:type="character" w:customStyle="1" w:styleId="15">
    <w:name w:val="last"/>
    <w:basedOn w:val="7"/>
    <w:qFormat/>
    <w:uiPriority w:val="0"/>
  </w:style>
  <w:style w:type="character" w:customStyle="1" w:styleId="16">
    <w:name w:val="wx-space"/>
    <w:basedOn w:val="7"/>
    <w:qFormat/>
    <w:uiPriority w:val="0"/>
  </w:style>
  <w:style w:type="character" w:customStyle="1" w:styleId="17">
    <w:name w:val="wx-space1"/>
    <w:basedOn w:val="7"/>
    <w:qFormat/>
    <w:uiPriority w:val="0"/>
  </w:style>
  <w:style w:type="paragraph" w:customStyle="1" w:styleId="18">
    <w:name w:val="Other|1"/>
    <w:basedOn w:val="1"/>
    <w:qFormat/>
    <w:uiPriority w:val="0"/>
    <w:pPr>
      <w:widowControl w:val="0"/>
      <w:shd w:val="clear" w:color="auto" w:fill="auto"/>
      <w:spacing w:line="302" w:lineRule="exact"/>
    </w:pPr>
    <w:rPr>
      <w:rFonts w:ascii="宋体" w:hAnsi="宋体" w:eastAsia="宋体" w:cs="宋体"/>
      <w:sz w:val="19"/>
      <w:szCs w:val="19"/>
      <w:u w:val="none"/>
      <w:shd w:val="clear" w:color="auto" w:fill="auto"/>
      <w:lang w:val="zh-CN" w:eastAsia="zh-CN" w:bidi="zh-CN"/>
    </w:rPr>
  </w:style>
  <w:style w:type="character" w:customStyle="1" w:styleId="19">
    <w:name w:val="hover18"/>
    <w:basedOn w:val="7"/>
    <w:qFormat/>
    <w:uiPriority w:val="0"/>
    <w:rPr>
      <w:color w:val="000000"/>
      <w:shd w:val="clear" w:fill="FFFFFF"/>
    </w:rPr>
  </w:style>
  <w:style w:type="paragraph" w:customStyle="1" w:styleId="20">
    <w:name w:val="列出段落"/>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3237</Words>
  <Characters>3427</Characters>
  <Lines>0</Lines>
  <Paragraphs>0</Paragraphs>
  <TotalTime>56</TotalTime>
  <ScaleCrop>false</ScaleCrop>
  <LinksUpToDate>false</LinksUpToDate>
  <CharactersWithSpaces>3450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2020-07-28T15:09:00Z</dcterms:created>
  <dc:creator>Administrator</dc:creator>
  <cp:lastModifiedBy>微信用户</cp:lastModifiedBy>
  <dcterms:modified xsi:type="dcterms:W3CDTF">2024-12-19T06:33:43Z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F7E05A28E3A444C4BF1672D26141C279</vt:lpwstr>
  </property>
</Properties>
</file>