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0DB38">
      <w:pPr>
        <w:spacing w:afterLines="100"/>
        <w:rPr>
          <w:rFonts w:ascii="Times New Roman" w:hAnsi="Times New Roman" w:eastAsia="仿宋_GB2312"/>
          <w:kern w:val="0"/>
          <w:sz w:val="32"/>
          <w:szCs w:val="32"/>
        </w:rPr>
      </w:pPr>
    </w:p>
    <w:p w14:paraId="1F626952">
      <w:pPr>
        <w:spacing w:afterLines="100"/>
        <w:rPr>
          <w:rFonts w:ascii="Times New Roman" w:hAnsi="Times New Roman" w:eastAsia="仿宋_GB2312"/>
          <w:kern w:val="0"/>
          <w:sz w:val="32"/>
          <w:szCs w:val="32"/>
        </w:rPr>
      </w:pPr>
    </w:p>
    <w:p w14:paraId="285E7885">
      <w:pPr>
        <w:rPr>
          <w:rFonts w:ascii="Times New Roman" w:hAnsi="Times New Roman" w:eastAsia="方正小标宋简体"/>
          <w:sz w:val="48"/>
          <w:szCs w:val="48"/>
        </w:rPr>
      </w:pPr>
    </w:p>
    <w:p w14:paraId="3309544E">
      <w:pPr>
        <w:rPr>
          <w:rFonts w:ascii="Times New Roman" w:hAnsi="Times New Roman" w:eastAsia="方正小标宋简体"/>
          <w:sz w:val="48"/>
          <w:szCs w:val="48"/>
        </w:rPr>
      </w:pPr>
    </w:p>
    <w:p w14:paraId="2B058B73">
      <w:pPr>
        <w:jc w:val="center"/>
        <w:rPr>
          <w:rFonts w:ascii="Times New Roman" w:hAnsi="Times New Roman" w:eastAsia="方正小标宋简体"/>
          <w:sz w:val="48"/>
          <w:szCs w:val="48"/>
        </w:rPr>
      </w:pPr>
      <w:r>
        <w:rPr>
          <w:rFonts w:hint="eastAsia" w:ascii="Times New Roman" w:hAnsi="Times New Roman" w:eastAsia="方正小标宋简体"/>
          <w:sz w:val="48"/>
          <w:szCs w:val="48"/>
          <w:lang w:val="en-US" w:eastAsia="zh-CN"/>
        </w:rPr>
        <w:t>石鼓区工商联</w:t>
      </w:r>
      <w:r>
        <w:rPr>
          <w:rFonts w:ascii="Times New Roman" w:hAnsi="Times New Roman" w:eastAsia="方正小标宋简体"/>
          <w:sz w:val="48"/>
          <w:szCs w:val="48"/>
        </w:rPr>
        <w:t>部门整体支出绩效自评报告</w:t>
      </w:r>
    </w:p>
    <w:p w14:paraId="4BED55E9">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1E514A01">
      <w:pPr>
        <w:jc w:val="center"/>
        <w:rPr>
          <w:rFonts w:ascii="Times New Roman" w:hAnsi="Times New Roman" w:eastAsia="黑体"/>
          <w:sz w:val="32"/>
          <w:szCs w:val="32"/>
        </w:rPr>
      </w:pPr>
    </w:p>
    <w:p w14:paraId="1D0404A2">
      <w:pPr>
        <w:jc w:val="center"/>
        <w:rPr>
          <w:rFonts w:ascii="Times New Roman" w:hAnsi="Times New Roman" w:eastAsia="黑体"/>
          <w:sz w:val="32"/>
          <w:szCs w:val="32"/>
        </w:rPr>
      </w:pPr>
    </w:p>
    <w:p w14:paraId="28EF3691">
      <w:pPr>
        <w:jc w:val="center"/>
        <w:rPr>
          <w:rFonts w:ascii="Times New Roman" w:hAnsi="Times New Roman" w:eastAsia="黑体"/>
          <w:sz w:val="32"/>
          <w:szCs w:val="32"/>
        </w:rPr>
      </w:pPr>
    </w:p>
    <w:p w14:paraId="47F4287C">
      <w:pPr>
        <w:jc w:val="center"/>
        <w:rPr>
          <w:rFonts w:ascii="Times New Roman" w:hAnsi="Times New Roman" w:eastAsia="黑体"/>
          <w:sz w:val="32"/>
          <w:szCs w:val="32"/>
        </w:rPr>
      </w:pPr>
    </w:p>
    <w:p w14:paraId="41BCBB90">
      <w:pPr>
        <w:rPr>
          <w:rFonts w:ascii="Times New Roman" w:hAnsi="Times New Roman" w:eastAsia="黑体"/>
          <w:sz w:val="32"/>
          <w:szCs w:val="32"/>
        </w:rPr>
      </w:pPr>
    </w:p>
    <w:p w14:paraId="4B79912A">
      <w:pPr>
        <w:jc w:val="center"/>
        <w:rPr>
          <w:rFonts w:ascii="Times New Roman" w:hAnsi="Times New Roman"/>
          <w:sz w:val="36"/>
          <w:szCs w:val="36"/>
        </w:rPr>
      </w:pPr>
    </w:p>
    <w:p w14:paraId="25BFC7D8">
      <w:pPr>
        <w:jc w:val="center"/>
        <w:rPr>
          <w:rFonts w:ascii="Times New Roman" w:hAnsi="Times New Roman"/>
          <w:sz w:val="36"/>
          <w:szCs w:val="36"/>
        </w:rPr>
      </w:pPr>
    </w:p>
    <w:p w14:paraId="19114DD1">
      <w:pPr>
        <w:jc w:val="center"/>
        <w:rPr>
          <w:rFonts w:ascii="Times New Roman" w:hAnsi="Times New Roman"/>
          <w:sz w:val="36"/>
          <w:szCs w:val="36"/>
        </w:rPr>
      </w:pPr>
    </w:p>
    <w:p w14:paraId="1229EB87">
      <w:pPr>
        <w:jc w:val="center"/>
        <w:rPr>
          <w:rFonts w:ascii="Times New Roman" w:hAnsi="Times New Roman"/>
          <w:sz w:val="36"/>
          <w:szCs w:val="36"/>
        </w:rPr>
      </w:pPr>
      <w:r>
        <w:rPr>
          <w:rFonts w:hint="eastAsia" w:ascii="Times New Roman" w:hAnsi="Times New Roman"/>
          <w:sz w:val="36"/>
          <w:szCs w:val="36"/>
          <w:lang w:val="en-US" w:eastAsia="zh-CN"/>
        </w:rPr>
        <w:t xml:space="preserve">                     </w:t>
      </w:r>
      <w:r>
        <w:rPr>
          <w:rFonts w:ascii="Times New Roman" w:hAnsi="Times New Roman"/>
          <w:sz w:val="36"/>
          <w:szCs w:val="36"/>
        </w:rPr>
        <w:t>单位名称</w:t>
      </w:r>
      <w:r>
        <w:rPr>
          <w:rFonts w:hint="eastAsia" w:ascii="Times New Roman" w:hAnsi="Times New Roman"/>
          <w:sz w:val="36"/>
          <w:szCs w:val="36"/>
        </w:rPr>
        <w:t>：（盖章）</w:t>
      </w:r>
    </w:p>
    <w:p w14:paraId="103285CC">
      <w:pPr>
        <w:jc w:val="center"/>
        <w:rPr>
          <w:rFonts w:ascii="Times New Roman" w:hAnsi="Times New Roman" w:eastAsia="黑体"/>
          <w:sz w:val="36"/>
          <w:szCs w:val="36"/>
        </w:rPr>
      </w:pPr>
      <w:r>
        <w:rPr>
          <w:rFonts w:hint="eastAsia" w:ascii="Times New Roman" w:hAnsi="Times New Roman"/>
          <w:sz w:val="36"/>
          <w:szCs w:val="36"/>
          <w:lang w:val="en-US" w:eastAsia="zh-CN"/>
        </w:rPr>
        <w:t xml:space="preserve">                    </w:t>
      </w:r>
      <w:r>
        <w:rPr>
          <w:rFonts w:hint="eastAsia" w:ascii="Times New Roman" w:hAnsi="Times New Roman"/>
          <w:sz w:val="36"/>
          <w:szCs w:val="36"/>
        </w:rPr>
        <w:t>主要负责人签字</w:t>
      </w:r>
      <w:r>
        <w:rPr>
          <w:rFonts w:ascii="Times New Roman" w:hAnsi="Times New Roman"/>
          <w:sz w:val="36"/>
          <w:szCs w:val="36"/>
        </w:rPr>
        <w:t>：</w:t>
      </w:r>
    </w:p>
    <w:p w14:paraId="0C6DA472">
      <w:pPr>
        <w:jc w:val="center"/>
        <w:rPr>
          <w:rFonts w:ascii="Times New Roman" w:hAnsi="Times New Roman" w:eastAsia="黑体"/>
          <w:sz w:val="36"/>
          <w:szCs w:val="36"/>
        </w:rPr>
      </w:pPr>
    </w:p>
    <w:p w14:paraId="5EDB99CA">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0747EDD8">
      <w:pPr>
        <w:jc w:val="center"/>
        <w:rPr>
          <w:rFonts w:ascii="Times New Roman" w:hAnsi="Times New Roman" w:eastAsia="黑体"/>
          <w:sz w:val="32"/>
          <w:szCs w:val="32"/>
        </w:rPr>
      </w:pPr>
    </w:p>
    <w:p w14:paraId="6DA90C9C">
      <w:pPr>
        <w:spacing w:line="600" w:lineRule="exact"/>
        <w:rPr>
          <w:rFonts w:ascii="Times New Roman" w:hAnsi="Times New Roman" w:eastAsia="方正小标宋简体"/>
          <w:sz w:val="44"/>
          <w:szCs w:val="44"/>
        </w:rPr>
      </w:pPr>
    </w:p>
    <w:p w14:paraId="281A7A39">
      <w:pPr>
        <w:spacing w:line="600" w:lineRule="exact"/>
        <w:jc w:val="center"/>
        <w:rPr>
          <w:rFonts w:ascii="Times New Roman" w:hAnsi="Times New Roman" w:eastAsia="方正小标宋简体"/>
          <w:sz w:val="44"/>
          <w:szCs w:val="44"/>
        </w:rPr>
      </w:pPr>
    </w:p>
    <w:p w14:paraId="40018AEA">
      <w:pPr>
        <w:spacing w:line="600" w:lineRule="exact"/>
        <w:jc w:val="center"/>
        <w:rPr>
          <w:rFonts w:ascii="Times New Roman" w:hAnsi="Times New Roman" w:eastAsia="方正小标宋简体"/>
          <w:sz w:val="44"/>
          <w:szCs w:val="44"/>
        </w:rPr>
      </w:pPr>
    </w:p>
    <w:p w14:paraId="488EF1C4">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B53CB93">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14:paraId="7AF2278A">
      <w:pPr>
        <w:rPr>
          <w:rFonts w:ascii="Times New Roman" w:hAnsi="Times New Roman" w:eastAsia="方正小标宋_GBK"/>
          <w:sz w:val="32"/>
          <w:szCs w:val="32"/>
        </w:rPr>
      </w:pPr>
    </w:p>
    <w:p w14:paraId="61ED1CEB">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一、基本情况</w:t>
      </w:r>
    </w:p>
    <w:p w14:paraId="066CE6E4">
      <w:pPr>
        <w:spacing w:line="560" w:lineRule="exact"/>
        <w:ind w:firstLine="317" w:firstLineChars="100"/>
        <w:rPr>
          <w:rFonts w:hint="eastAsia" w:ascii="仿宋" w:hAnsi="仿宋" w:eastAsia="仿宋"/>
          <w:b/>
          <w:sz w:val="32"/>
          <w:szCs w:val="32"/>
        </w:rPr>
      </w:pPr>
      <w:r>
        <w:rPr>
          <w:rFonts w:ascii="仿宋" w:hAnsi="仿宋" w:eastAsia="仿宋"/>
          <w:b/>
          <w:spacing w:val="-2"/>
          <w:sz w:val="32"/>
          <w:szCs w:val="32"/>
        </w:rPr>
        <w:t>（一）部门基本情况</w:t>
      </w:r>
    </w:p>
    <w:p w14:paraId="0892C437">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1、机构设置</w:t>
      </w:r>
    </w:p>
    <w:p w14:paraId="2EB04BD5">
      <w:pPr>
        <w:spacing w:line="400" w:lineRule="exact"/>
        <w:ind w:firstLine="640" w:firstLineChars="200"/>
        <w:jc w:val="left"/>
        <w:rPr>
          <w:rFonts w:hint="eastAsia" w:ascii="仿宋" w:hAnsi="仿宋" w:eastAsia="仿宋"/>
          <w:b/>
          <w:sz w:val="32"/>
          <w:szCs w:val="32"/>
        </w:rPr>
      </w:pPr>
      <w:r>
        <w:rPr>
          <w:rFonts w:hint="eastAsia" w:ascii="仿宋" w:hAnsi="仿宋" w:eastAsia="仿宋" w:cs="仿宋"/>
          <w:sz w:val="32"/>
          <w:szCs w:val="32"/>
          <w:shd w:val="clear" w:color="auto" w:fill="FFFFFF"/>
          <w:lang w:eastAsia="zh-CN"/>
        </w:rPr>
        <w:t>石鼓区工商业联合会</w:t>
      </w:r>
      <w:r>
        <w:rPr>
          <w:rFonts w:hint="eastAsia" w:ascii="仿宋" w:hAnsi="仿宋" w:eastAsia="仿宋" w:cs="仿宋"/>
          <w:sz w:val="32"/>
          <w:szCs w:val="32"/>
          <w:shd w:val="clear" w:color="auto" w:fill="FFFFFF"/>
        </w:rPr>
        <w:t>是一级预算单位，属</w:t>
      </w:r>
      <w:r>
        <w:rPr>
          <w:rFonts w:hint="eastAsia" w:ascii="仿宋" w:hAnsi="仿宋" w:eastAsia="仿宋" w:cs="仿宋"/>
          <w:sz w:val="32"/>
          <w:szCs w:val="32"/>
          <w:shd w:val="clear" w:color="auto" w:fill="FFFFFF"/>
          <w:lang w:val="en-US" w:eastAsia="zh-CN"/>
        </w:rPr>
        <w:t>事业</w:t>
      </w:r>
      <w:r>
        <w:rPr>
          <w:rFonts w:hint="eastAsia" w:ascii="仿宋" w:hAnsi="仿宋" w:eastAsia="仿宋" w:cs="仿宋"/>
          <w:sz w:val="32"/>
          <w:szCs w:val="32"/>
          <w:shd w:val="clear" w:color="auto" w:fill="FFFFFF"/>
        </w:rPr>
        <w:t>单位，无下属单位。</w:t>
      </w:r>
    </w:p>
    <w:p w14:paraId="3BEC6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仿宋" w:hAnsi="仿宋" w:eastAsia="仿宋" w:cs="仿宋"/>
          <w:sz w:val="32"/>
          <w:szCs w:val="32"/>
          <w:shd w:val="clear" w:color="auto" w:fill="FFFFFF"/>
          <w:lang w:eastAsia="zh-CN"/>
        </w:rPr>
      </w:pPr>
      <w:r>
        <w:rPr>
          <w:rFonts w:hint="default" w:ascii="仿宋" w:hAnsi="仿宋" w:eastAsia="仿宋" w:cs="仿宋"/>
          <w:sz w:val="32"/>
          <w:szCs w:val="32"/>
          <w:shd w:val="clear" w:color="auto" w:fill="FFFFFF"/>
        </w:rPr>
        <w:t>内设股室分别是</w:t>
      </w:r>
      <w:r>
        <w:rPr>
          <w:rFonts w:hint="eastAsia" w:ascii="仿宋" w:hAnsi="仿宋" w:eastAsia="仿宋" w:cs="仿宋"/>
          <w:sz w:val="32"/>
          <w:szCs w:val="32"/>
          <w:shd w:val="clear" w:color="auto" w:fill="FFFFFF"/>
        </w:rPr>
        <w:t>办公室、会员部、经济联络部、商会协会党委、非公有制经济服务中心</w:t>
      </w:r>
      <w:r>
        <w:rPr>
          <w:rFonts w:hint="default" w:ascii="仿宋" w:hAnsi="仿宋" w:eastAsia="仿宋" w:cs="仿宋"/>
          <w:sz w:val="32"/>
          <w:szCs w:val="32"/>
          <w:shd w:val="clear" w:color="auto" w:fill="FFFFFF"/>
        </w:rPr>
        <w:t>。</w:t>
      </w:r>
    </w:p>
    <w:p w14:paraId="482450F6">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2、人员编制情况</w:t>
      </w:r>
    </w:p>
    <w:p w14:paraId="773B72FE">
      <w:pPr>
        <w:widowControl/>
        <w:spacing w:line="600" w:lineRule="exact"/>
        <w:ind w:firstLine="640" w:firstLineChars="200"/>
        <w:rPr>
          <w:rFonts w:hint="default" w:ascii="微软雅黑" w:hAnsi="微软雅黑" w:eastAsia="仿宋_GB2312" w:cs="微软雅黑"/>
          <w:color w:val="454545"/>
          <w:sz w:val="32"/>
          <w:szCs w:val="32"/>
          <w:highlight w:val="yellow"/>
          <w:shd w:val="clear" w:color="auto" w:fill="FFFFFF"/>
          <w:lang w:val="en-US" w:eastAsia="zh-CN"/>
        </w:rPr>
      </w:pPr>
      <w:bookmarkStart w:id="0" w:name="OLE_LINK1"/>
      <w:r>
        <w:rPr>
          <w:rFonts w:hint="eastAsia" w:eastAsia="仿宋_GB2312"/>
          <w:sz w:val="32"/>
          <w:szCs w:val="32"/>
          <w:lang w:val="en-US" w:eastAsia="zh-CN"/>
        </w:rPr>
        <w:t>经</w:t>
      </w:r>
      <w:r>
        <w:rPr>
          <w:rFonts w:hint="eastAsia" w:eastAsia="仿宋_GB2312"/>
          <w:sz w:val="32"/>
          <w:szCs w:val="32"/>
        </w:rPr>
        <w:t>核定</w:t>
      </w:r>
      <w:r>
        <w:rPr>
          <w:rFonts w:hint="eastAsia" w:eastAsia="仿宋_GB2312"/>
          <w:sz w:val="32"/>
          <w:szCs w:val="32"/>
          <w:lang w:val="en-US" w:eastAsia="zh-CN"/>
        </w:rPr>
        <w:t>本单位</w:t>
      </w:r>
      <w:r>
        <w:rPr>
          <w:rFonts w:hint="eastAsia" w:eastAsia="仿宋_GB2312"/>
          <w:sz w:val="32"/>
          <w:szCs w:val="32"/>
        </w:rPr>
        <w:t>总编制</w:t>
      </w:r>
      <w:r>
        <w:rPr>
          <w:rFonts w:hint="eastAsia" w:eastAsia="仿宋_GB2312"/>
          <w:sz w:val="32"/>
          <w:szCs w:val="32"/>
          <w:lang w:val="en-US" w:eastAsia="zh-CN"/>
        </w:rPr>
        <w:t>5</w:t>
      </w:r>
      <w:r>
        <w:rPr>
          <w:rFonts w:hint="eastAsia" w:eastAsia="仿宋_GB2312"/>
          <w:sz w:val="32"/>
          <w:szCs w:val="32"/>
        </w:rPr>
        <w:t>名，</w:t>
      </w:r>
      <w:r>
        <w:rPr>
          <w:rFonts w:hint="eastAsia"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年12月底</w:t>
      </w:r>
      <w:r>
        <w:rPr>
          <w:rFonts w:hint="eastAsia" w:ascii="Times New Roman" w:hAnsi="Times New Roman" w:eastAsia="仿宋_GB2312" w:cs="Times New Roman"/>
          <w:sz w:val="32"/>
          <w:szCs w:val="32"/>
          <w:lang w:val="en-US" w:eastAsia="zh-CN"/>
        </w:rPr>
        <w:t>在职</w:t>
      </w:r>
      <w:r>
        <w:rPr>
          <w:rFonts w:hint="eastAsia" w:eastAsia="仿宋_GB2312"/>
          <w:sz w:val="32"/>
          <w:szCs w:val="32"/>
        </w:rPr>
        <w:t>在编人员</w:t>
      </w:r>
      <w:r>
        <w:rPr>
          <w:rFonts w:hint="eastAsia" w:eastAsia="仿宋_GB2312"/>
          <w:sz w:val="32"/>
          <w:szCs w:val="32"/>
          <w:lang w:val="en-US" w:eastAsia="zh-CN"/>
        </w:rPr>
        <w:t>4</w:t>
      </w:r>
      <w:r>
        <w:rPr>
          <w:rFonts w:hint="eastAsia" w:eastAsia="仿宋_GB2312"/>
          <w:sz w:val="32"/>
          <w:szCs w:val="32"/>
        </w:rPr>
        <w:t>人，</w:t>
      </w:r>
      <w:r>
        <w:rPr>
          <w:rFonts w:hint="eastAsia" w:eastAsia="仿宋_GB2312"/>
          <w:sz w:val="32"/>
          <w:szCs w:val="32"/>
          <w:lang w:val="en-US" w:eastAsia="zh-CN"/>
        </w:rPr>
        <w:t>实有人数4人</w:t>
      </w:r>
      <w:r>
        <w:rPr>
          <w:rFonts w:hint="eastAsia" w:eastAsia="仿宋_GB2312"/>
          <w:sz w:val="32"/>
          <w:szCs w:val="32"/>
          <w:lang w:eastAsia="zh-CN"/>
        </w:rPr>
        <w:t>，</w:t>
      </w:r>
      <w:r>
        <w:rPr>
          <w:rFonts w:hint="eastAsia" w:eastAsia="仿宋_GB2312"/>
          <w:sz w:val="32"/>
          <w:szCs w:val="32"/>
          <w:lang w:val="en-US" w:eastAsia="zh-CN"/>
        </w:rPr>
        <w:t>退休1人。</w:t>
      </w:r>
    </w:p>
    <w:bookmarkEnd w:id="0"/>
    <w:p w14:paraId="1DBE529A">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3、部门主要职能</w:t>
      </w:r>
    </w:p>
    <w:p w14:paraId="2B9A1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1.参与政府事务和经济、社会重大决策的政治协商，发挥民主监督的作用，做好工商界代表人士政治安排的推荐工作，对国家有关法律、法规、政策的制定提出建议并协助贯彻执行。</w:t>
      </w:r>
    </w:p>
    <w:p w14:paraId="13826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宣传党和政府的路线、方针、政策，按照“充分尊重、广泛联系、加强团结、热情帮助、积极引导”的工作方针，教育会员坚决拥护中国共产党的领导，坚定走中国特色社会主义道路，组织会员积极投身社会主义经济建设、政治建设、文化建设、社会建设。</w:t>
      </w:r>
    </w:p>
    <w:p w14:paraId="0EC23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3.负责非公有制经济组织党建日常工作。领导和组织区属非公有制经济组织党组织贯彻党的路线、方针、政策，加强非公有制经济组织党建工作。</w:t>
      </w:r>
    </w:p>
    <w:p w14:paraId="64770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4.密切和会员的联系，维护非公有制经济人士的合法权益，反映他们的正确意见、要求和建议，在非公有制经济人士与党和政府之间发挥桥梁纽带作用，当好政府管理非公有制经济的助手。</w:t>
      </w:r>
    </w:p>
    <w:p w14:paraId="54C71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5.为非公有制经济人士提供市场、技术、商品等信息，按照政府有关规定，为会员提供对内对外经贸交流、公共关系、沟通协调及管理、法律、会计、审计、融资、咨询等服务，帮助会员增强自主创新能力，提高核心竞争力和可持续发展能力。</w:t>
      </w:r>
    </w:p>
    <w:p w14:paraId="3F1FB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6.开展工商业专业培训，帮助非公有制企业改善经营管理，提高生产技术和产品质量，会同政府有关部门对非公有制经济组织中的技术人员评定专业职称。</w:t>
      </w:r>
    </w:p>
    <w:p w14:paraId="49ADD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7.组织非公有制经济企业举办和参加各种对内对外展销会、交易会;组织会员出国考察访问，帮助其开拓国内国外市场;为非公有制经济人士出国(境)进行商务活动做好政治审查，协助会员做好申办因私护照和出国(境)执行公务申办因公护照工作。</w:t>
      </w:r>
    </w:p>
    <w:p w14:paraId="144AF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8.参与仲裁活动，为非公有制经济企业调整经济纠纷，协调相互关系。</w:t>
      </w:r>
    </w:p>
    <w:p w14:paraId="63CE2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9.组建并管理好非公有制经济领域里的行业商会和行业协会，维护市场有序竞争和繁荣稳定。</w:t>
      </w:r>
    </w:p>
    <w:p w14:paraId="454CA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10.充分发挥自身优势，加强与香港、澳门、台湾地区工商社团及工商经济界人士的联系，促进经济、技术和贸易合作的发展，协助引进资金、技术、人才，促进祖国和平统一;增进与国外工商社团的交往，为我区扩大对外开放、企业走向国际市场服务。</w:t>
      </w:r>
    </w:p>
    <w:p w14:paraId="6A128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11.指导、推动镇(街道)工商联和各镇(街道)工商联分会的工作，办好商会服务事业和经济实体。</w:t>
      </w:r>
    </w:p>
    <w:p w14:paraId="77A7A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12.配合政府实施扶贫计划，推动光彩事业开展。</w:t>
      </w:r>
    </w:p>
    <w:p w14:paraId="7F2E9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13.完成区委、区政府及市工商联交办的其他任务。</w:t>
      </w:r>
    </w:p>
    <w:p w14:paraId="167AB811">
      <w:pPr>
        <w:pStyle w:val="5"/>
        <w:widowControl/>
        <w:numPr>
          <w:ilvl w:val="0"/>
          <w:numId w:val="0"/>
        </w:numPr>
        <w:rPr>
          <w:rFonts w:hint="eastAsia" w:ascii="Calibri" w:hAnsi="Calibri" w:eastAsia="仿宋_GB2312" w:cs="Times New Roman"/>
          <w:kern w:val="2"/>
          <w:sz w:val="32"/>
          <w:szCs w:val="32"/>
          <w:lang w:val="en-US" w:eastAsia="zh-CN" w:bidi="ar-SA"/>
        </w:rPr>
      </w:pPr>
    </w:p>
    <w:p w14:paraId="683ED6B1">
      <w:pPr>
        <w:pStyle w:val="5"/>
        <w:widowControl/>
        <w:ind w:firstLine="640"/>
        <w:rPr>
          <w:rFonts w:eastAsia="黑体"/>
          <w:sz w:val="32"/>
          <w:szCs w:val="32"/>
        </w:rPr>
      </w:pPr>
      <w:r>
        <w:rPr>
          <w:rFonts w:eastAsia="黑体"/>
          <w:sz w:val="32"/>
          <w:szCs w:val="32"/>
        </w:rPr>
        <w:t>二、一般公共预算支出情况</w:t>
      </w:r>
    </w:p>
    <w:p w14:paraId="175541B5">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1、整体支出情况</w:t>
      </w:r>
    </w:p>
    <w:p w14:paraId="5489C06E">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石鼓区工商联</w:t>
      </w:r>
      <w:r>
        <w:rPr>
          <w:rFonts w:hint="eastAsia" w:ascii="Times New Roman" w:hAnsi="Times New Roman" w:eastAsia="仿宋_GB2312" w:cs="Times New Roman"/>
          <w:bCs/>
          <w:kern w:val="0"/>
          <w:sz w:val="32"/>
          <w:szCs w:val="32"/>
          <w:lang w:val="en-US" w:eastAsia="zh-CN"/>
        </w:rPr>
        <w:t>2023</w:t>
      </w:r>
      <w:r>
        <w:rPr>
          <w:rFonts w:hint="eastAsia" w:ascii="Times New Roman" w:hAnsi="Times New Roman" w:eastAsia="仿宋_GB2312" w:cs="Times New Roman"/>
          <w:bCs/>
          <w:kern w:val="0"/>
          <w:sz w:val="32"/>
          <w:szCs w:val="32"/>
        </w:rPr>
        <w:t>年初预算金</w:t>
      </w:r>
      <w:r>
        <w:rPr>
          <w:rFonts w:hint="eastAsia" w:ascii="Times New Roman" w:hAnsi="Times New Roman" w:eastAsia="仿宋_GB2312" w:cs="Times New Roman"/>
          <w:bCs/>
          <w:kern w:val="0"/>
          <w:sz w:val="32"/>
          <w:szCs w:val="32"/>
          <w:lang w:eastAsia="zh-CN"/>
        </w:rPr>
        <w:t>额为</w:t>
      </w:r>
      <w:r>
        <w:rPr>
          <w:rFonts w:ascii="微软雅黑" w:hAnsi="微软雅黑" w:eastAsia="微软雅黑" w:cs="微软雅黑"/>
          <w:i w:val="0"/>
          <w:iCs w:val="0"/>
          <w:caps w:val="0"/>
          <w:color w:val="454545"/>
          <w:spacing w:val="0"/>
          <w:sz w:val="24"/>
          <w:szCs w:val="24"/>
          <w:shd w:val="clear" w:fill="FFFFFF"/>
        </w:rPr>
        <w:t>61.14</w:t>
      </w:r>
      <w:r>
        <w:rPr>
          <w:rFonts w:hint="eastAsia" w:ascii="Times New Roman" w:hAnsi="Times New Roman" w:eastAsia="仿宋_GB2312" w:cs="Times New Roman"/>
          <w:bCs/>
          <w:kern w:val="0"/>
          <w:sz w:val="32"/>
          <w:szCs w:val="32"/>
          <w:lang w:eastAsia="zh-CN"/>
        </w:rPr>
        <w:t>万</w:t>
      </w:r>
      <w:r>
        <w:rPr>
          <w:rFonts w:hint="eastAsia" w:ascii="Times New Roman" w:hAnsi="Times New Roman" w:eastAsia="仿宋_GB2312" w:cs="Times New Roman"/>
          <w:bCs/>
          <w:kern w:val="0"/>
          <w:sz w:val="32"/>
          <w:szCs w:val="32"/>
        </w:rPr>
        <w:t>元，年终决算支出</w:t>
      </w:r>
      <w:r>
        <w:rPr>
          <w:rFonts w:hint="eastAsia" w:ascii="Times New Roman" w:hAnsi="Times New Roman" w:eastAsia="仿宋_GB2312" w:cs="Times New Roman"/>
          <w:bCs/>
          <w:kern w:val="0"/>
          <w:sz w:val="32"/>
          <w:szCs w:val="32"/>
          <w:lang w:val="en-US" w:eastAsia="zh-CN"/>
        </w:rPr>
        <w:t>86.31</w:t>
      </w:r>
      <w:r>
        <w:rPr>
          <w:rFonts w:hint="eastAsia" w:ascii="Times New Roman" w:hAnsi="Times New Roman" w:eastAsia="仿宋_GB2312" w:cs="Times New Roman"/>
          <w:bCs/>
          <w:kern w:val="0"/>
          <w:sz w:val="32"/>
          <w:szCs w:val="32"/>
        </w:rPr>
        <w:t>万元。</w:t>
      </w:r>
    </w:p>
    <w:p w14:paraId="0E97CC41">
      <w:pPr>
        <w:spacing w:line="560" w:lineRule="exact"/>
        <w:ind w:firstLine="640" w:firstLineChars="200"/>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eastAsia="zh-CN"/>
        </w:rPr>
        <w:t>石鼓区工商联</w:t>
      </w:r>
      <w:r>
        <w:rPr>
          <w:rFonts w:hint="eastAsia" w:ascii="Times New Roman" w:hAnsi="Times New Roman" w:eastAsia="仿宋_GB2312" w:cs="Times New Roman"/>
          <w:bCs/>
          <w:kern w:val="0"/>
          <w:sz w:val="32"/>
          <w:szCs w:val="32"/>
        </w:rPr>
        <w:t>的部门整体支出主要用于单位的正常</w:t>
      </w:r>
      <w:r>
        <w:rPr>
          <w:rFonts w:hint="eastAsia" w:ascii="Times New Roman" w:hAnsi="Times New Roman" w:eastAsia="仿宋_GB2312" w:cs="Times New Roman"/>
          <w:bCs/>
          <w:kern w:val="0"/>
          <w:sz w:val="32"/>
          <w:szCs w:val="32"/>
          <w:lang w:val="en-US" w:eastAsia="zh-CN"/>
        </w:rPr>
        <w:t>办公及日常公用经费</w:t>
      </w:r>
      <w:r>
        <w:rPr>
          <w:rFonts w:hint="eastAsia" w:ascii="Times New Roman" w:hAnsi="Times New Roman" w:eastAsia="仿宋_GB2312" w:cs="Times New Roman"/>
          <w:bCs/>
          <w:kern w:val="0"/>
          <w:sz w:val="32"/>
          <w:szCs w:val="32"/>
        </w:rPr>
        <w:t>等方面的开支，包括：工资及福利支出、商品和服务支出、对个人和家庭的补助支出</w:t>
      </w:r>
      <w:r>
        <w:rPr>
          <w:rFonts w:hint="eastAsia" w:ascii="Times New Roman" w:hAnsi="Times New Roman" w:eastAsia="仿宋_GB2312" w:cs="Times New Roman"/>
          <w:bCs/>
          <w:kern w:val="0"/>
          <w:sz w:val="32"/>
          <w:szCs w:val="32"/>
          <w:lang w:val="en-US" w:eastAsia="zh-CN"/>
        </w:rPr>
        <w:t>等</w:t>
      </w:r>
      <w:r>
        <w:rPr>
          <w:rFonts w:hint="eastAsia" w:ascii="Times New Roman" w:hAnsi="Times New Roman" w:eastAsia="仿宋_GB2312" w:cs="Times New Roman"/>
          <w:bCs/>
          <w:kern w:val="0"/>
          <w:sz w:val="32"/>
          <w:szCs w:val="32"/>
        </w:rPr>
        <w:t>。其中:工资福利支出</w:t>
      </w:r>
      <w:r>
        <w:rPr>
          <w:rFonts w:hint="eastAsia" w:ascii="Times New Roman" w:hAnsi="Times New Roman" w:eastAsia="仿宋_GB2312" w:cs="Times New Roman"/>
          <w:bCs/>
          <w:kern w:val="0"/>
          <w:sz w:val="32"/>
          <w:szCs w:val="32"/>
          <w:lang w:val="en-US" w:eastAsia="zh-CN"/>
        </w:rPr>
        <w:t>74.37</w:t>
      </w:r>
      <w:r>
        <w:rPr>
          <w:rFonts w:hint="eastAsia" w:ascii="Times New Roman" w:hAnsi="Times New Roman" w:eastAsia="仿宋_GB2312" w:cs="Times New Roman"/>
          <w:bCs/>
          <w:kern w:val="0"/>
          <w:sz w:val="32"/>
          <w:szCs w:val="32"/>
        </w:rPr>
        <w:t>万元，占总支出的</w:t>
      </w:r>
      <w:r>
        <w:rPr>
          <w:rFonts w:hint="eastAsia" w:ascii="Times New Roman" w:hAnsi="Times New Roman" w:eastAsia="仿宋_GB2312" w:cs="Times New Roman"/>
          <w:bCs/>
          <w:kern w:val="0"/>
          <w:sz w:val="32"/>
          <w:szCs w:val="32"/>
          <w:lang w:val="en-US" w:eastAsia="zh-CN"/>
        </w:rPr>
        <w:t>86.16</w:t>
      </w:r>
      <w:r>
        <w:rPr>
          <w:rFonts w:hint="eastAsia" w:ascii="Times New Roman" w:hAnsi="Times New Roman" w:eastAsia="仿宋_GB2312" w:cs="Times New Roman"/>
          <w:bCs/>
          <w:kern w:val="0"/>
          <w:sz w:val="32"/>
          <w:szCs w:val="32"/>
        </w:rPr>
        <w:t>%；商品和服务支出</w:t>
      </w:r>
      <w:r>
        <w:rPr>
          <w:rFonts w:hint="eastAsia" w:ascii="Times New Roman" w:hAnsi="Times New Roman" w:eastAsia="仿宋_GB2312" w:cs="Times New Roman"/>
          <w:bCs/>
          <w:kern w:val="0"/>
          <w:sz w:val="32"/>
          <w:szCs w:val="32"/>
          <w:lang w:val="en-US" w:eastAsia="zh-CN"/>
        </w:rPr>
        <w:t>11.26</w:t>
      </w:r>
      <w:r>
        <w:rPr>
          <w:rFonts w:hint="eastAsia" w:ascii="Times New Roman" w:hAnsi="Times New Roman" w:eastAsia="仿宋_GB2312" w:cs="Times New Roman"/>
          <w:bCs/>
          <w:kern w:val="0"/>
          <w:sz w:val="32"/>
          <w:szCs w:val="32"/>
        </w:rPr>
        <w:t>万元，占总支出的</w:t>
      </w:r>
      <w:r>
        <w:rPr>
          <w:rFonts w:hint="eastAsia" w:ascii="Times New Roman" w:hAnsi="Times New Roman" w:eastAsia="仿宋_GB2312" w:cs="Times New Roman"/>
          <w:bCs/>
          <w:kern w:val="0"/>
          <w:sz w:val="32"/>
          <w:szCs w:val="32"/>
          <w:lang w:val="en-US" w:eastAsia="zh-CN"/>
        </w:rPr>
        <w:t>13.04</w:t>
      </w:r>
      <w:r>
        <w:rPr>
          <w:rFonts w:hint="eastAsia" w:ascii="Times New Roman" w:hAnsi="Times New Roman" w:eastAsia="仿宋_GB2312" w:cs="Times New Roman"/>
          <w:bCs/>
          <w:kern w:val="0"/>
          <w:sz w:val="32"/>
          <w:szCs w:val="32"/>
        </w:rPr>
        <w:t>%；对个人和家庭的补助</w:t>
      </w:r>
      <w:r>
        <w:rPr>
          <w:rFonts w:hint="eastAsia" w:ascii="Times New Roman" w:hAnsi="Times New Roman" w:eastAsia="仿宋_GB2312" w:cs="Times New Roman"/>
          <w:bCs/>
          <w:kern w:val="0"/>
          <w:sz w:val="32"/>
          <w:szCs w:val="32"/>
          <w:lang w:val="en-US" w:eastAsia="zh-CN"/>
        </w:rPr>
        <w:t>0.69</w:t>
      </w:r>
      <w:r>
        <w:rPr>
          <w:rFonts w:hint="eastAsia" w:ascii="Times New Roman" w:hAnsi="Times New Roman" w:eastAsia="仿宋_GB2312" w:cs="Times New Roman"/>
          <w:bCs/>
          <w:kern w:val="0"/>
          <w:sz w:val="32"/>
          <w:szCs w:val="32"/>
        </w:rPr>
        <w:t>万元，占总支出</w:t>
      </w:r>
      <w:r>
        <w:rPr>
          <w:rFonts w:hint="eastAsia" w:ascii="Times New Roman" w:hAnsi="Times New Roman" w:eastAsia="仿宋_GB2312" w:cs="Times New Roman"/>
          <w:bCs/>
          <w:kern w:val="0"/>
          <w:sz w:val="32"/>
          <w:szCs w:val="32"/>
          <w:lang w:val="en-US" w:eastAsia="zh-CN"/>
        </w:rPr>
        <w:t>0.8%。</w:t>
      </w:r>
    </w:p>
    <w:p w14:paraId="245CB30A">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全年，</w:t>
      </w:r>
      <w:r>
        <w:rPr>
          <w:rFonts w:hint="eastAsia" w:ascii="Times New Roman" w:hAnsi="Times New Roman" w:eastAsia="仿宋_GB2312" w:cs="Times New Roman"/>
          <w:bCs/>
          <w:kern w:val="0"/>
          <w:sz w:val="32"/>
          <w:szCs w:val="32"/>
          <w:lang w:eastAsia="zh-CN"/>
        </w:rPr>
        <w:t>石鼓区工商联</w:t>
      </w:r>
      <w:r>
        <w:rPr>
          <w:rFonts w:hint="eastAsia"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3</w:t>
      </w:r>
      <w:r>
        <w:rPr>
          <w:rFonts w:hint="eastAsia" w:ascii="Times New Roman" w:hAnsi="Times New Roman" w:eastAsia="仿宋_GB2312" w:cs="Times New Roman"/>
          <w:bCs/>
          <w:kern w:val="0"/>
          <w:sz w:val="32"/>
          <w:szCs w:val="32"/>
        </w:rPr>
        <w:t>年度共发生支出</w:t>
      </w:r>
      <w:r>
        <w:rPr>
          <w:rFonts w:hint="eastAsia" w:ascii="Times New Roman" w:hAnsi="Times New Roman" w:eastAsia="仿宋_GB2312" w:cs="Times New Roman"/>
          <w:bCs/>
          <w:kern w:val="0"/>
          <w:sz w:val="32"/>
          <w:szCs w:val="32"/>
          <w:lang w:val="en-US" w:eastAsia="zh-CN"/>
        </w:rPr>
        <w:t>86.31</w:t>
      </w:r>
      <w:r>
        <w:rPr>
          <w:rFonts w:hint="eastAsia" w:ascii="Times New Roman" w:hAnsi="Times New Roman" w:eastAsia="仿宋_GB2312" w:cs="Times New Roman"/>
          <w:bCs/>
          <w:kern w:val="0"/>
          <w:sz w:val="32"/>
          <w:szCs w:val="32"/>
        </w:rPr>
        <w:t>万元，其中基本支出</w:t>
      </w:r>
      <w:r>
        <w:rPr>
          <w:rFonts w:hint="eastAsia" w:ascii="Times New Roman" w:hAnsi="Times New Roman" w:eastAsia="仿宋_GB2312" w:cs="Times New Roman"/>
          <w:bCs/>
          <w:kern w:val="0"/>
          <w:sz w:val="32"/>
          <w:szCs w:val="32"/>
          <w:lang w:val="en-US" w:eastAsia="zh-CN"/>
        </w:rPr>
        <w:t>71.56</w:t>
      </w:r>
      <w:r>
        <w:rPr>
          <w:rFonts w:hint="eastAsia" w:ascii="Times New Roman" w:hAnsi="Times New Roman" w:eastAsia="仿宋_GB2312" w:cs="Times New Roman"/>
          <w:bCs/>
          <w:kern w:val="0"/>
          <w:sz w:val="32"/>
          <w:szCs w:val="32"/>
        </w:rPr>
        <w:t>万元，占总</w:t>
      </w:r>
      <w:r>
        <w:rPr>
          <w:rFonts w:hint="eastAsia" w:ascii="Times New Roman" w:hAnsi="Times New Roman" w:eastAsia="仿宋_GB2312" w:cs="Times New Roman"/>
          <w:bCs/>
          <w:kern w:val="0"/>
          <w:sz w:val="32"/>
          <w:szCs w:val="32"/>
          <w:lang w:val="en-US" w:eastAsia="zh-CN"/>
        </w:rPr>
        <w:t>支出82.91</w:t>
      </w:r>
      <w:r>
        <w:rPr>
          <w:rFonts w:hint="eastAsia"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项目支出14.75万元，占总支出17.09%，主要用于绩效奖金、社保支出等。</w:t>
      </w:r>
    </w:p>
    <w:p w14:paraId="65F4AC15">
      <w:pPr>
        <w:widowControl/>
        <w:spacing w:line="560" w:lineRule="exact"/>
        <w:ind w:firstLine="630" w:firstLineChars="196"/>
        <w:jc w:val="left"/>
        <w:rPr>
          <w:rFonts w:hint="eastAsia" w:ascii="仿宋" w:hAnsi="仿宋" w:eastAsia="仿宋"/>
          <w:b/>
          <w:bCs/>
          <w:kern w:val="0"/>
          <w:sz w:val="32"/>
          <w:szCs w:val="32"/>
        </w:rPr>
      </w:pPr>
      <w:r>
        <w:rPr>
          <w:rFonts w:hint="eastAsia" w:ascii="仿宋" w:hAnsi="仿宋" w:eastAsia="仿宋"/>
          <w:b/>
          <w:bCs/>
          <w:kern w:val="0"/>
          <w:sz w:val="32"/>
          <w:szCs w:val="32"/>
        </w:rPr>
        <w:t>2、基本支出情况</w:t>
      </w:r>
    </w:p>
    <w:p w14:paraId="210A4723">
      <w:pPr>
        <w:spacing w:line="560" w:lineRule="exact"/>
        <w:ind w:firstLine="640" w:firstLineChars="200"/>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3</w:t>
      </w:r>
      <w:r>
        <w:rPr>
          <w:rFonts w:hint="eastAsia" w:ascii="Times New Roman" w:hAnsi="Times New Roman" w:eastAsia="仿宋_GB2312" w:cs="Times New Roman"/>
          <w:bCs/>
          <w:kern w:val="0"/>
          <w:sz w:val="32"/>
          <w:szCs w:val="32"/>
        </w:rPr>
        <w:t>年，年初预算</w:t>
      </w:r>
      <w:r>
        <w:rPr>
          <w:rFonts w:hint="eastAsia" w:ascii="Times New Roman" w:hAnsi="Times New Roman" w:eastAsia="仿宋_GB2312" w:cs="Times New Roman"/>
          <w:bCs/>
          <w:kern w:val="0"/>
          <w:sz w:val="32"/>
          <w:szCs w:val="32"/>
          <w:lang w:val="en-US" w:eastAsia="zh-CN"/>
        </w:rPr>
        <w:t>为61.14万元，实际基本支出数为61.14万元。</w:t>
      </w:r>
    </w:p>
    <w:p w14:paraId="2DFF9E1A">
      <w:pPr>
        <w:spacing w:line="56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rPr>
        <w:t>基本支出决算数为</w:t>
      </w:r>
      <w:r>
        <w:rPr>
          <w:rFonts w:hint="eastAsia" w:ascii="Times New Roman" w:hAnsi="Times New Roman" w:eastAsia="仿宋_GB2312" w:cs="Times New Roman"/>
          <w:bCs/>
          <w:kern w:val="0"/>
          <w:sz w:val="32"/>
          <w:szCs w:val="32"/>
          <w:lang w:val="en-US" w:eastAsia="zh-CN"/>
        </w:rPr>
        <w:t>86.31</w:t>
      </w:r>
      <w:r>
        <w:rPr>
          <w:rFonts w:hint="eastAsia" w:ascii="Times New Roman" w:hAnsi="Times New Roman" w:eastAsia="仿宋_GB2312" w:cs="Times New Roman"/>
          <w:bCs/>
          <w:kern w:val="0"/>
          <w:sz w:val="32"/>
          <w:szCs w:val="32"/>
        </w:rPr>
        <w:t>万元，其中工资福利支出</w:t>
      </w:r>
      <w:r>
        <w:rPr>
          <w:rFonts w:hint="eastAsia" w:ascii="Times New Roman" w:hAnsi="Times New Roman" w:eastAsia="仿宋_GB2312" w:cs="Times New Roman"/>
          <w:bCs/>
          <w:kern w:val="0"/>
          <w:sz w:val="32"/>
          <w:szCs w:val="32"/>
          <w:lang w:val="en-US" w:eastAsia="zh-CN"/>
        </w:rPr>
        <w:t>74.37</w:t>
      </w:r>
      <w:r>
        <w:rPr>
          <w:rFonts w:hint="eastAsia" w:ascii="Times New Roman" w:hAnsi="Times New Roman" w:eastAsia="仿宋_GB2312" w:cs="Times New Roman"/>
          <w:bCs/>
          <w:kern w:val="0"/>
          <w:sz w:val="32"/>
          <w:szCs w:val="32"/>
        </w:rPr>
        <w:t>万元、商品和服务支出</w:t>
      </w:r>
      <w:r>
        <w:rPr>
          <w:rFonts w:hint="eastAsia" w:ascii="Times New Roman" w:hAnsi="Times New Roman" w:eastAsia="仿宋_GB2312" w:cs="Times New Roman"/>
          <w:bCs/>
          <w:kern w:val="0"/>
          <w:sz w:val="32"/>
          <w:szCs w:val="32"/>
          <w:lang w:val="en-US" w:eastAsia="zh-CN"/>
        </w:rPr>
        <w:t>11.26</w:t>
      </w:r>
      <w:r>
        <w:rPr>
          <w:rFonts w:hint="eastAsia" w:ascii="Times New Roman" w:hAnsi="Times New Roman" w:eastAsia="仿宋_GB2312" w:cs="Times New Roman"/>
          <w:bCs/>
          <w:kern w:val="0"/>
          <w:sz w:val="32"/>
          <w:szCs w:val="32"/>
        </w:rPr>
        <w:t>万元</w:t>
      </w:r>
      <w:r>
        <w:rPr>
          <w:rFonts w:hint="eastAsia" w:ascii="Times New Roman" w:hAnsi="Times New Roman" w:eastAsia="仿宋_GB2312" w:cs="Times New Roman"/>
          <w:bCs/>
          <w:kern w:val="0"/>
          <w:sz w:val="32"/>
          <w:szCs w:val="32"/>
          <w:lang w:eastAsia="zh-CN"/>
        </w:rPr>
        <w:t>。</w:t>
      </w:r>
    </w:p>
    <w:p w14:paraId="5EDF2273">
      <w:pPr>
        <w:widowControl/>
        <w:spacing w:line="560" w:lineRule="exac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3、“三公”经费财政拨款支出决算总体情况</w:t>
      </w:r>
      <w:r>
        <w:rPr>
          <w:rFonts w:hint="eastAsia" w:ascii="微软雅黑" w:hAnsi="微软雅黑" w:eastAsia="仿宋" w:cs="宋体"/>
          <w:color w:val="000000"/>
          <w:kern w:val="0"/>
          <w:sz w:val="32"/>
          <w:szCs w:val="32"/>
          <w:shd w:val="clear" w:color="auto" w:fill="FFFFFF"/>
        </w:rPr>
        <w:t> </w:t>
      </w:r>
    </w:p>
    <w:p w14:paraId="6AA401FE">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2</w:t>
      </w:r>
      <w:r>
        <w:rPr>
          <w:rFonts w:hint="eastAsia" w:ascii="Times New Roman" w:hAnsi="Times New Roman" w:eastAsia="仿宋_GB2312" w:cs="Times New Roman"/>
          <w:bCs/>
          <w:kern w:val="0"/>
          <w:sz w:val="32"/>
          <w:szCs w:val="32"/>
        </w:rPr>
        <w:t xml:space="preserve">年度一般公共预算财政拨款的“三公”经费支出0万元，其中公务接待费0万元。本年度未发生公务用车运行和维护费支出；未发生因公出国（境）费支出。本年度公务接待共0次，接待人数0人。 </w:t>
      </w:r>
    </w:p>
    <w:p w14:paraId="4EFEAE78">
      <w:pPr>
        <w:spacing w:line="560" w:lineRule="exact"/>
        <w:ind w:firstLine="643" w:firstLineChars="200"/>
        <w:rPr>
          <w:rFonts w:hint="eastAsia" w:ascii="Times New Roman" w:hAnsi="Times New Roman" w:eastAsia="仿宋_GB2312" w:cs="Times New Roman"/>
          <w:bCs/>
          <w:kern w:val="0"/>
          <w:sz w:val="32"/>
          <w:szCs w:val="32"/>
        </w:rPr>
      </w:pPr>
      <w:r>
        <w:rPr>
          <w:rFonts w:hint="eastAsia" w:ascii="仿宋" w:hAnsi="仿宋" w:eastAsia="仿宋" w:cs="Times New Roman"/>
          <w:b/>
          <w:bCs/>
          <w:kern w:val="0"/>
          <w:sz w:val="32"/>
          <w:szCs w:val="32"/>
        </w:rPr>
        <w:t>4、资金管理情况</w:t>
      </w:r>
    </w:p>
    <w:p w14:paraId="7635F32E">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（1）加强单位内部控制制度建设，制定了权利制衡机制制度、内部控制工作制度、财务管理制度、业务层面管理制度等科学完整的内部控制制度。</w:t>
      </w:r>
    </w:p>
    <w:p w14:paraId="22FDBBF1">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进一步规范财务管理，严肃财经纪律，节约经费支出，强化廉政建设。强化财务规范化管理，支出有相关的授权审批，资金拨付严格按规定的审批程序执行，并履行相应的手续，同时按照相关会计制度和财务管理办法及时进行核算。</w:t>
      </w:r>
    </w:p>
    <w:p w14:paraId="4DFA06F6">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（3）加大对“三公”经费的管理，杜绝无预算、超预算支出行为，并定期开展监督检查，推行厉行节约反对浪费工作的制度化、规范化、程序化，确保“三公”经费各项要求落到实处。</w:t>
      </w:r>
    </w:p>
    <w:p w14:paraId="21FA581B">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（二）项目支出情况</w:t>
      </w:r>
    </w:p>
    <w:p w14:paraId="0F4DCCA9">
      <w:pPr>
        <w:spacing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2023年，项目支出年初预算为0万元，实际项目支出数为14.75万元，占总支出17.08%，主要用于光彩事业、企业服务、绩效奖金、社保支出等。</w:t>
      </w:r>
    </w:p>
    <w:p w14:paraId="09633D7F">
      <w:pPr>
        <w:pStyle w:val="5"/>
        <w:widowControl/>
        <w:ind w:firstLine="643"/>
        <w:rPr>
          <w:rFonts w:eastAsia="楷体"/>
          <w:b/>
          <w:sz w:val="32"/>
          <w:szCs w:val="32"/>
        </w:rPr>
      </w:pPr>
    </w:p>
    <w:p w14:paraId="11EF061B">
      <w:pPr>
        <w:pStyle w:val="5"/>
        <w:widowControl/>
        <w:numPr>
          <w:ilvl w:val="0"/>
          <w:numId w:val="1"/>
        </w:numPr>
        <w:ind w:firstLine="640"/>
        <w:rPr>
          <w:rFonts w:eastAsia="黑体"/>
          <w:sz w:val="32"/>
          <w:szCs w:val="32"/>
        </w:rPr>
      </w:pPr>
      <w:r>
        <w:rPr>
          <w:rFonts w:eastAsia="黑体"/>
          <w:sz w:val="32"/>
          <w:szCs w:val="32"/>
        </w:rPr>
        <w:t>政府性基金预算支出情况</w:t>
      </w:r>
    </w:p>
    <w:p w14:paraId="3BD320BD">
      <w:pPr>
        <w:pStyle w:val="5"/>
        <w:widowControl/>
        <w:numPr>
          <w:ilvl w:val="0"/>
          <w:numId w:val="0"/>
        </w:numPr>
        <w:ind w:firstLine="640" w:firstLineChars="200"/>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本单位无政府性基金预算支出</w:t>
      </w:r>
      <w:r>
        <w:rPr>
          <w:rFonts w:hint="eastAsia" w:eastAsia="仿宋_GB2312" w:cs="Times New Roman"/>
          <w:bCs/>
          <w:kern w:val="0"/>
          <w:sz w:val="32"/>
          <w:szCs w:val="32"/>
          <w:lang w:val="en-US" w:eastAsia="zh-CN" w:bidi="ar-SA"/>
        </w:rPr>
        <w:t>。</w:t>
      </w:r>
    </w:p>
    <w:p w14:paraId="19085539">
      <w:pPr>
        <w:pStyle w:val="5"/>
        <w:widowControl/>
        <w:numPr>
          <w:ilvl w:val="0"/>
          <w:numId w:val="1"/>
        </w:numPr>
        <w:ind w:left="0" w:leftChars="0" w:firstLine="640" w:firstLineChars="200"/>
        <w:rPr>
          <w:rFonts w:eastAsia="黑体"/>
          <w:sz w:val="32"/>
          <w:szCs w:val="32"/>
        </w:rPr>
      </w:pPr>
      <w:r>
        <w:rPr>
          <w:rFonts w:eastAsia="黑体"/>
          <w:sz w:val="32"/>
          <w:szCs w:val="32"/>
        </w:rPr>
        <w:t>国有资本经营预算支出情况</w:t>
      </w:r>
    </w:p>
    <w:p w14:paraId="23A1C9AB">
      <w:pPr>
        <w:pStyle w:val="5"/>
        <w:widowControl/>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本单位无国有资本经营预算支出</w:t>
      </w:r>
      <w:r>
        <w:rPr>
          <w:rFonts w:hint="eastAsia" w:eastAsia="仿宋_GB2312" w:cs="Times New Roman"/>
          <w:bCs/>
          <w:kern w:val="0"/>
          <w:sz w:val="32"/>
          <w:szCs w:val="32"/>
          <w:lang w:val="en-US" w:eastAsia="zh-CN" w:bidi="ar-SA"/>
        </w:rPr>
        <w:t>。</w:t>
      </w:r>
    </w:p>
    <w:p w14:paraId="5FD358C0">
      <w:pPr>
        <w:pStyle w:val="5"/>
        <w:widowControl/>
        <w:numPr>
          <w:ilvl w:val="0"/>
          <w:numId w:val="1"/>
        </w:numPr>
        <w:ind w:left="0" w:leftChars="0" w:firstLine="640" w:firstLineChars="200"/>
        <w:rPr>
          <w:rFonts w:eastAsia="黑体"/>
          <w:sz w:val="32"/>
          <w:szCs w:val="32"/>
        </w:rPr>
      </w:pPr>
      <w:r>
        <w:rPr>
          <w:rFonts w:eastAsia="黑体"/>
          <w:sz w:val="32"/>
          <w:szCs w:val="32"/>
        </w:rPr>
        <w:t>社会保险基金预算支出情况</w:t>
      </w:r>
    </w:p>
    <w:p w14:paraId="1A26A0C1">
      <w:pPr>
        <w:pStyle w:val="5"/>
        <w:widowControl/>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本单位无社会保险基金预算</w:t>
      </w:r>
      <w:r>
        <w:rPr>
          <w:rFonts w:hint="eastAsia" w:eastAsia="仿宋_GB2312" w:cs="Times New Roman"/>
          <w:bCs/>
          <w:kern w:val="0"/>
          <w:sz w:val="32"/>
          <w:szCs w:val="32"/>
          <w:lang w:val="en-US" w:eastAsia="zh-CN" w:bidi="ar-SA"/>
        </w:rPr>
        <w:t>。</w:t>
      </w:r>
    </w:p>
    <w:p w14:paraId="2B0D6823">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47D4A7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用心关注企业发展，</w:t>
      </w:r>
      <w:r>
        <w:rPr>
          <w:rFonts w:hint="eastAsia" w:ascii="Times New Roman" w:hAnsi="Times New Roman" w:eastAsia="仿宋_GB2312" w:cs="Times New Roman"/>
          <w:bCs/>
          <w:kern w:val="0"/>
          <w:sz w:val="32"/>
          <w:szCs w:val="32"/>
          <w:lang w:val="en-US" w:eastAsia="zh-CN" w:bidi="ar-SA"/>
        </w:rPr>
        <w:tab/>
      </w:r>
      <w:r>
        <w:rPr>
          <w:rFonts w:hint="eastAsia" w:ascii="Times New Roman" w:hAnsi="Times New Roman" w:eastAsia="仿宋_GB2312" w:cs="Times New Roman"/>
          <w:bCs/>
          <w:kern w:val="0"/>
          <w:sz w:val="32"/>
          <w:szCs w:val="32"/>
          <w:lang w:val="en-US" w:eastAsia="zh-CN" w:bidi="ar-SA"/>
        </w:rPr>
        <w:t>，</w:t>
      </w:r>
      <w:r>
        <w:rPr>
          <w:rFonts w:hint="eastAsia" w:ascii="仿宋" w:hAnsi="仿宋" w:eastAsia="仿宋" w:cs="仿宋"/>
          <w:sz w:val="32"/>
          <w:szCs w:val="32"/>
          <w:lang w:val="en-US" w:eastAsia="zh-CN"/>
        </w:rPr>
        <w:t>组织企业家参观衡阳党史馆和水口山工人运动纪念馆，并多次举办民营企业家文化沙龙活动，邀请区委组织部副部长、两新工委书记周宏亮开展民营企业与党建专题讲座。指导基层商会建设。通过实地走访和座谈会的形式，考察华耀城商会和潇湘街道商会的各项工作开展情况，并对申创“四好”商会过程中资料收集和整理归档等方面的问题给予现场指导。</w:t>
      </w:r>
    </w:p>
    <w:p w14:paraId="340FBE9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缔结友好商会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签订友好工商联协议</w:t>
      </w:r>
      <w:r>
        <w:rPr>
          <w:rFonts w:hint="eastAsia" w:ascii="仿宋" w:hAnsi="仿宋" w:eastAsia="仿宋" w:cs="仿宋"/>
          <w:sz w:val="32"/>
          <w:szCs w:val="32"/>
          <w:lang w:val="en-US" w:eastAsia="zh-CN"/>
        </w:rPr>
        <w:t>，与其他商会</w:t>
      </w:r>
      <w:r>
        <w:rPr>
          <w:rFonts w:hint="default" w:ascii="仿宋" w:hAnsi="仿宋" w:eastAsia="仿宋" w:cs="仿宋"/>
          <w:sz w:val="32"/>
          <w:szCs w:val="32"/>
          <w:lang w:val="en-US" w:eastAsia="zh-CN"/>
        </w:rPr>
        <w:t>携手共同发展奠定了良好的基础。进行招商考察。考察团在柏云熙酒店与成都衡阳商会进行座谈</w:t>
      </w:r>
      <w:r>
        <w:rPr>
          <w:rFonts w:hint="eastAsia" w:ascii="仿宋" w:hAnsi="仿宋" w:eastAsia="仿宋" w:cs="仿宋"/>
          <w:sz w:val="32"/>
          <w:szCs w:val="32"/>
          <w:lang w:val="en-US" w:eastAsia="zh-CN"/>
        </w:rPr>
        <w:t>，推介了</w:t>
      </w:r>
      <w:r>
        <w:rPr>
          <w:rFonts w:hint="default" w:ascii="仿宋" w:hAnsi="仿宋" w:eastAsia="仿宋" w:cs="仿宋"/>
          <w:sz w:val="32"/>
          <w:szCs w:val="32"/>
          <w:lang w:val="en-US" w:eastAsia="zh-CN"/>
        </w:rPr>
        <w:t>石鼓区经济发展、文旅产业、商会建设、企业发展等情况，增强</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两地工商界的交流合作。</w:t>
      </w:r>
    </w:p>
    <w:p w14:paraId="1ED157A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讲招聘就业政策。5月11日，我单位举办“送政策进企业，优服务促发展”执委沙龙活动，邀请区人社局到现场进行招聘、社保、劳动仲裁相关政策宣讲，为企业引才、用才、留才提供帮助。通过政企“面对面”互动交流的形式，为多家企业解惑答疑。</w:t>
      </w:r>
    </w:p>
    <w:p w14:paraId="4FADA14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助力企业融资难题，为企业搭建平台，对接邮储银行，为企业量身定制贴息贷款方案。举办2023年石鼓区政银企座谈会暨普惠金融宣传活动，对各银行代表们讲解并宣传了当前最新的金融优惠政策和普惠金融产品，切实帮助中小企业解决融资难问题，坚定发展信心。</w:t>
      </w:r>
    </w:p>
    <w:p w14:paraId="1FCBE30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积极投身光彩事业。10月18日，举行2023年“爱同行 向未来”助学金发放仪式，本次活动得到了32家爱心企业及7名爱心人士慷慨捐款捐物，募集善款和爱心物资共计30余万元，资助学生134名。</w:t>
      </w:r>
    </w:p>
    <w:p w14:paraId="5A5C831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助力乡村振兴战略。扎实开展“万企兴万村”行动，大力推行“政府+村集体+企业+项目”共建模式，乡村振兴初见成效。目前，石鼓区工商联共动员34家民营企业，对接全区17个涉农村，实施帮扶项目28个，投入资金总额17276.4万元，涉农村对接帮扶已实现全覆盖，形成了村企共建共联共赢的良好局面。11月27日，承办衡阳市“万企兴万村”行动推进会，石鼓区工商联和3家企业作经验交流发言。</w:t>
      </w:r>
      <w:bookmarkStart w:id="1" w:name="_GoBack"/>
      <w:bookmarkEnd w:id="1"/>
    </w:p>
    <w:p w14:paraId="66CF1AB4">
      <w:pPr>
        <w:pStyle w:val="5"/>
        <w:widowControl/>
        <w:ind w:firstLine="640"/>
        <w:rPr>
          <w:rFonts w:eastAsia="黑体"/>
          <w:sz w:val="32"/>
          <w:szCs w:val="32"/>
        </w:rPr>
      </w:pPr>
      <w:r>
        <w:rPr>
          <w:rFonts w:eastAsia="黑体"/>
          <w:sz w:val="32"/>
          <w:szCs w:val="32"/>
        </w:rPr>
        <w:t>七、存在的问题及原因分析</w:t>
      </w:r>
    </w:p>
    <w:p w14:paraId="01EF49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1.走访企业覆盖面不够广，局限于商会执委以上企业，普通会员走访较少；2.惠企政策宣传内容不够丰富，在推动政策落地方面做得还不到位。</w:t>
      </w:r>
    </w:p>
    <w:p w14:paraId="3DD9BE37">
      <w:pPr>
        <w:widowControl/>
        <w:numPr>
          <w:ilvl w:val="0"/>
          <w:numId w:val="3"/>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4A4824A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1.加强政企沟通。进一步畅通政府和企业的沟通交流，打造政企常态化沟通平台，充分听取商协会、民营企业的利益诉求，不断提升工商联高效服务能力。</w:t>
      </w:r>
    </w:p>
    <w:p w14:paraId="25CDFB2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继续开展“送政策，优服务，解难题”大走访行动。深入民营企业一线走访调研，深刻了解企业发展需求及企业生产情况，全面梳理企业存在的困难和问题，收集促进高质量发展的意见建议，为企业发展纾困解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9DB93"/>
    <w:multiLevelType w:val="singleLevel"/>
    <w:tmpl w:val="9939DB93"/>
    <w:lvl w:ilvl="0" w:tentative="0">
      <w:start w:val="1"/>
      <w:numFmt w:val="chineseCounting"/>
      <w:suff w:val="nothing"/>
      <w:lvlText w:val="（%1）"/>
      <w:lvlJc w:val="left"/>
      <w:rPr>
        <w:rFonts w:hint="eastAsia"/>
      </w:rPr>
    </w:lvl>
  </w:abstractNum>
  <w:abstractNum w:abstractNumId="1">
    <w:nsid w:val="31192488"/>
    <w:multiLevelType w:val="singleLevel"/>
    <w:tmpl w:val="31192488"/>
    <w:lvl w:ilvl="0" w:tentative="0">
      <w:start w:val="3"/>
      <w:numFmt w:val="chineseCounting"/>
      <w:suff w:val="nothing"/>
      <w:lvlText w:val="%1、"/>
      <w:lvlJc w:val="left"/>
      <w:rPr>
        <w:rFonts w:hint="eastAsia"/>
      </w:rPr>
    </w:lvl>
  </w:abstractNum>
  <w:abstractNum w:abstractNumId="2">
    <w:nsid w:val="75EE9693"/>
    <w:multiLevelType w:val="singleLevel"/>
    <w:tmpl w:val="75EE9693"/>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zA2YWMwYWJmZmIzMDlkNGFhMTc3ZjM2Mzg1ZmEifQ=="/>
  </w:docVars>
  <w:rsids>
    <w:rsidRoot w:val="04B76150"/>
    <w:rsid w:val="031C3F57"/>
    <w:rsid w:val="04B76150"/>
    <w:rsid w:val="0FD26A7E"/>
    <w:rsid w:val="1AAC0209"/>
    <w:rsid w:val="210F4F21"/>
    <w:rsid w:val="2BAA6849"/>
    <w:rsid w:val="2C311284"/>
    <w:rsid w:val="32837194"/>
    <w:rsid w:val="381F7DA7"/>
    <w:rsid w:val="38C06F01"/>
    <w:rsid w:val="3A045513"/>
    <w:rsid w:val="68821082"/>
    <w:rsid w:val="7393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2944</Words>
  <Characters>3094</Characters>
  <Lines>0</Lines>
  <Paragraphs>0</Paragraphs>
  <TotalTime>21</TotalTime>
  <ScaleCrop>false</ScaleCrop>
  <LinksUpToDate>false</LinksUpToDate>
  <CharactersWithSpaces>3147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2024-06-06T09:06:00Z</dcterms:created>
  <dc:creator>WPS_1609489083</dc:creator>
  <cp:lastModifiedBy>Fairy°好菇凉</cp:lastModifiedBy>
  <dcterms:modified xsi:type="dcterms:W3CDTF">2024-12-20T04:01:19Z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EB03851667864D70A7A73229BC656FE4_13</vt:lpwstr>
  </property>
</Properties>
</file>