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 w:afterAutospacing="0"/>
        <w:jc w:val="center"/>
        <w:rPr>
          <w:rFonts w:hint="default" w:ascii="Calibri" w:hAnsi="Calibri" w:eastAsia="宋体" w:cs="Times New Roman"/>
          <w:color w:val="000000"/>
          <w:kern w:val="2"/>
          <w:sz w:val="21"/>
          <w:szCs w:val="21"/>
        </w:rPr>
      </w:pPr>
      <w:bookmarkStart w:id="0" w:name="_GoBack"/>
      <w:bookmarkEnd w:id="0"/>
      <w:r>
        <w:rPr>
          <w:rFonts w:hint="eastAsia" w:ascii="宋体" w:hAnsi="宋体" w:eastAsia="宋体" w:cs="宋体"/>
          <w:color w:val="000000"/>
          <w:kern w:val="2"/>
          <w:sz w:val="44"/>
          <w:szCs w:val="44"/>
        </w:rPr>
        <w:t>2021年度石鼓区民政局部门决算</w:t>
      </w:r>
      <w:r>
        <w:rPr>
          <w:rFonts w:hint="default" w:ascii="Calibri" w:hAnsi="Calibri" w:eastAsia="宋体" w:cs="Times New Roman"/>
          <w:color w:val="000000"/>
          <w:kern w:val="2"/>
          <w:sz w:val="21"/>
          <w:szCs w:val="21"/>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32"/>
          <w:szCs w:val="32"/>
        </w:rPr>
        <w:t xml:space="preserve"> </w:t>
      </w:r>
      <w:r>
        <w:rPr>
          <w:rFonts w:hint="default" w:ascii="Calibri" w:hAnsi="Calibri" w:eastAsia="宋体" w:cs="Times New Roman"/>
          <w:color w:val="000000"/>
          <w:kern w:val="2"/>
          <w:sz w:val="21"/>
          <w:szCs w:val="21"/>
        </w:rPr>
        <w:t xml:space="preserve"> </w:t>
      </w:r>
    </w:p>
    <w:p>
      <w:pPr>
        <w:spacing w:after="2" w:afterAutospacing="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32"/>
          <w:szCs w:val="32"/>
        </w:rPr>
        <w:t>目 录</w:t>
      </w:r>
      <w:r>
        <w:rPr>
          <w:rFonts w:hint="eastAsia" w:ascii="宋体" w:hAnsi="宋体" w:eastAsia="宋体" w:cs="宋体"/>
          <w:color w:val="000000"/>
          <w:kern w:val="2"/>
          <w:sz w:val="21"/>
          <w:szCs w:val="21"/>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第一部分 石鼓区民政局概况</w:t>
      </w:r>
      <w:r>
        <w:rPr>
          <w:rFonts w:hint="default" w:ascii="Calibri" w:hAnsi="Calibri" w:eastAsia="宋体" w:cs="Times New Roman"/>
          <w:color w:val="000000"/>
          <w:kern w:val="2"/>
          <w:sz w:val="27"/>
          <w:szCs w:val="27"/>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一、部门职责</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二、机构设置</w:t>
      </w:r>
      <w:r>
        <w:rPr>
          <w:rFonts w:hint="default" w:ascii="Calibri" w:hAnsi="Calibri" w:eastAsia="宋体" w:cs="Times New Roman"/>
          <w:color w:val="000000"/>
          <w:kern w:val="2"/>
          <w:sz w:val="21"/>
          <w:szCs w:val="21"/>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第二部分 2021年度部门决算表</w:t>
      </w:r>
      <w:r>
        <w:rPr>
          <w:rFonts w:hint="default" w:ascii="Calibri" w:hAnsi="Calibri" w:eastAsia="宋体" w:cs="Times New Roman"/>
          <w:color w:val="000000"/>
          <w:kern w:val="2"/>
          <w:sz w:val="27"/>
          <w:szCs w:val="27"/>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一、收入支出决算总表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二、收入决算表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三、支出决算表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四、财政拨款收入支出决算总表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五、一般公共预算财政拨款支出决算表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六、一般公共预算财政拨款基本支出决算明细表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七、一般公共预算财政拨款“三公”经费支出决算表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八、政府性基金预算财政拨款收入支出决算表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九、国有资本经营预算财政拨款支出决算表</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第三部分 2021年度部门决算情况说明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一、收入支出决算总体情况说明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二、收入决算情况说明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三、支出决算情况说明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四、财政拨款收入支出决算总体情况说明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五、一般公共预算财政拨款支出决算情况说明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六、一般公共预算财政拨款基本支出决算情况说明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七、一般公共预算财政拨款“三公”经费支出决算情况说明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八、政府性基金预算收入支出决算情况</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九、机关运行经费支出说明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十、一般性支出情况</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十一、政府采购支出说明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十二、国有资产占用情况说明</w:t>
      </w:r>
      <w:r>
        <w:rPr>
          <w:rFonts w:hint="default" w:ascii="Calibri" w:hAnsi="Calibri" w:eastAsia="宋体" w:cs="Times New Roman"/>
          <w:color w:val="000000"/>
          <w:kern w:val="2"/>
          <w:sz w:val="21"/>
          <w:szCs w:val="21"/>
        </w:rPr>
        <w:t xml:space="preserve"> </w:t>
      </w:r>
    </w:p>
    <w:p>
      <w:pPr>
        <w:pStyle w:val="18"/>
        <w:spacing w:after="2" w:afterAutospacing="0"/>
        <w:ind w:left="0" w:firstLine="700"/>
        <w:rPr>
          <w:rFonts w:hint="default" w:ascii="Calibri" w:hAnsi="Calibri" w:eastAsia="宋体" w:cs="Times New Roman"/>
          <w:color w:val="000000"/>
          <w:kern w:val="2"/>
          <w:sz w:val="21"/>
          <w:szCs w:val="21"/>
        </w:rPr>
      </w:pPr>
      <w:r>
        <w:rPr>
          <w:rFonts w:hint="eastAsia" w:ascii="宋体" w:hAnsi="宋体" w:eastAsia="宋体" w:cs="宋体"/>
          <w:color w:val="000000"/>
          <w:kern w:val="2"/>
          <w:sz w:val="28"/>
          <w:szCs w:val="28"/>
        </w:rPr>
        <w:t>十三、2021年度预算绩效情况的说明</w:t>
      </w:r>
      <w:r>
        <w:rPr>
          <w:rFonts w:hint="default" w:ascii="Calibri" w:hAnsi="Calibri" w:eastAsia="宋体" w:cs="Times New Roman"/>
          <w:color w:val="000000"/>
          <w:kern w:val="2"/>
          <w:sz w:val="21"/>
          <w:szCs w:val="21"/>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第四部分 名词解释</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第五部分 附件</w:t>
      </w:r>
      <w:r>
        <w:rPr>
          <w:rFonts w:hint="default" w:ascii="Calibri" w:hAnsi="Calibri" w:eastAsia="宋体" w:cs="Times New Roman"/>
          <w:color w:val="000000"/>
          <w:kern w:val="2"/>
          <w:sz w:val="27"/>
          <w:szCs w:val="27"/>
        </w:rPr>
        <w:t xml:space="preserve"> </w:t>
      </w:r>
    </w:p>
    <w:p>
      <w:pP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spacing w:after="2" w:afterAutospacing="0" w:line="600" w:lineRule="atLeast"/>
        <w:jc w:val="center"/>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6"/>
          <w:szCs w:val="36"/>
        </w:rPr>
        <w:t>第一部分 石鼓区民政局概况</w:t>
      </w:r>
      <w:r>
        <w:rPr>
          <w:rFonts w:hint="default" w:ascii="Calibri" w:hAnsi="Calibri" w:eastAsia="宋体" w:cs="Times New Roman"/>
          <w:b/>
          <w:bCs/>
          <w:color w:val="000000"/>
          <w:kern w:val="2"/>
          <w:sz w:val="21"/>
          <w:szCs w:val="21"/>
        </w:rPr>
        <w:t xml:space="preserve"> </w:t>
      </w:r>
    </w:p>
    <w:p>
      <w:pPr>
        <w:pStyle w:val="16"/>
        <w:spacing w:before="0" w:beforeAutospacing="0" w:after="2"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pStyle w:val="20"/>
        <w:spacing w:before="0" w:beforeAutospacing="0" w:after="2"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24"/>
          <w:szCs w:val="24"/>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一、部门职责</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（一）起草部门规范性文件，拟订全区民政事业发展规划和相关政策并组织实施。</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（二）负责全区社会团体、基金会、社会服务机构等社会组织管理工作，依法对社会组织进行管理和执法监督，承担中共石鼓区社会组织综合委员会的日常工作。</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（三）拟订全区社会救助政策、标准，统筹社会救助体系建设，负责城乡居民最低生活保障、特困人员救助供养、临时救助、生活无着流浪乞讨人员救助工作，指导社会救助家庭经济状况核对工作。</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四）贯彻执行城乡基层群众自治建设和社区治理政策，指导城乡社区治理体系和治理能力建设，提出加强和改进基层政权建设的建议，推动基层民主政治建设，协调推进镇（街道）政府（办事处）民政服务能力建设。</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五）负责全区行政区域行政区划的具体管理工作；负责镇（街道）政府（办事处）行政区域的设立、撤销、更名、政府驻地迁移和区域界线变更的审核、上报工作；负责行政村的设立、裁并、更名、迁移的备案工作；负责区级行政区域界线勘定和管理，平安边界建设工作。</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（六）负责指导全区婚姻登记工作，贯彻执行婚姻管理政策并组织实施，推进婚俗改革。</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（七）组织实施全区殡葬管理政策、服务规范，推进殡葬改革。</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（八）统筹推进、督促指导、监督管理全区养老服务工作，拟订全区养老服务体系建设规划、政策、标准并组织实施，承担老年人福利和特殊困难老年人救助工作。</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（九）拟订全区残疾人权益保护政策，统筹推进残疾人福利制度建设，贯彻落实困难残疾人生活补贴和重度残疾人护理补贴制度。</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（十）贯彻执行国家、省、市有关儿童福利、孤弃儿童保障、儿童收养、儿童救助保护政策、标准，健全农村留守儿童关爱服务体系和困境儿童保障制度。</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（十一）组织拟订全区促进慈善事业发展政策，组织、指导社会捐助工作。</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（十二）拟订全区社会工作、志愿服务政策和标准，组织推进社会工作人才队伍建设，推进相关志愿者队伍建设。</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（十三）管理各级拨付的民政事业经费，指导、监督民政事业经费的使用。负责全区民政统计工作。</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（十四）负责职责范围内对有关行业、领域的安全生产工作实施监督管理的职责。</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（十五）完成区委、区政府交办的其他任务。</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（十六）职能转变。按照党中央、国务院关于政府职能转变、深化</w:t>
      </w:r>
      <w:r>
        <w:rPr>
          <w:rFonts w:hint="eastAsia" w:ascii="宋体" w:hAnsi="宋体" w:cs="宋体"/>
          <w:color w:val="000000"/>
          <w:kern w:val="2"/>
          <w:sz w:val="32"/>
          <w:szCs w:val="32"/>
          <w:lang w:eastAsia="zh-CN"/>
        </w:rPr>
        <w:t>“放管服”改革</w:t>
      </w:r>
      <w:r>
        <w:rPr>
          <w:rFonts w:hint="eastAsia" w:ascii="宋体" w:hAnsi="宋体" w:eastAsia="宋体" w:cs="宋体"/>
          <w:color w:val="000000"/>
          <w:kern w:val="2"/>
          <w:sz w:val="32"/>
          <w:szCs w:val="32"/>
        </w:rPr>
        <w:t>，深入推进审批服务便民化的决策部署，认真落实上级深化改革的要求，组织推进本部门转变政府职能，深化简政放权，创新监管方式，优化政务服务工作。区民政局应强化基本民生保障职能，为全区困难群众、孤老孤残孤儿等特殊群体提供基本社会服务，促进资源向薄弱地区、领域、环节倾斜。积极培育社会组织、社会工作者等多元参与主体，推动搭建基层社会治理和社区公共服务平台。</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十七）有关职责分工。与卫生健康局的有关职责分工。区民政局负责统筹推进、督促指导、监督管理全区养老服务工作，拟订养老服务体系建设规划、政策、标准并组织实施，承担老年人福利和特殊困难老年人救助工作。区卫生健康局负责拟订应对人口老龄化、医养结合政策措施，综合协调、督促指导、组织推进老龄事业发展，组织起草维护老年人权益以及全区老龄事业发展规划，建立和完善老年健康服务体系，指导全区老年人权益保障工作，承担老年疾病防治、老年人医疗照护、老年人心理健康与关怀服务等老年健康工作。</w:t>
      </w:r>
      <w:r>
        <w:rPr>
          <w:rFonts w:hint="default" w:ascii="Calibri" w:hAnsi="Calibri" w:eastAsia="宋体" w:cs="Times New Roman"/>
          <w:color w:val="000000"/>
          <w:kern w:val="2"/>
          <w:sz w:val="32"/>
          <w:szCs w:val="32"/>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二、机构设置及决算单位构成</w:t>
      </w:r>
      <w:r>
        <w:rPr>
          <w:rFonts w:hint="default" w:ascii="Calibri" w:hAnsi="Calibri" w:eastAsia="宋体" w:cs="Times New Roman"/>
          <w:color w:val="000000"/>
          <w:kern w:val="2"/>
          <w:sz w:val="27"/>
          <w:szCs w:val="27"/>
        </w:rPr>
        <w:t xml:space="preserve"> </w:t>
      </w:r>
    </w:p>
    <w:p>
      <w:pPr>
        <w:pStyle w:val="18"/>
        <w:numPr>
          <w:ilvl w:val="0"/>
          <w:numId w:val="1"/>
        </w:numPr>
        <w:spacing w:before="0" w:beforeAutospacing="0" w:after="2" w:afterAutospacing="0"/>
        <w:ind w:left="1721" w:right="0" w:hanging="108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内设机构设置</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 xml:space="preserve">   石鼓区民政局内设机构包括：本部门共有编制人数46人，实有人数29人。内设股室13个（含3个副科级单位），分别为：1.办公室（行政审批股）；2.规划财务人事股；3.基层政权建设和社区治理股；4.区划地名股；5.社会事务股；6.儿童福利股；7.养老服务股；8.慈善事业和社会工作股；9.城乡居民收入核对股；10.区福利院；11.区城乡社会救助服务中心；12.区婚姻登记服务中心；13.区民间组织服务中心。</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（二）决算单位构成</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 xml:space="preserve">    石鼓区民政局2021年部门决算汇总公开单位构成包括：1.区民政局部门本级；2.区福利院；3.区城乡社会救助服务中心；4.区婚姻登记服务中心；5.区民间组织服务中心。</w:t>
      </w:r>
      <w:r>
        <w:rPr>
          <w:rFonts w:hint="default" w:ascii="Calibri" w:hAnsi="Calibri" w:eastAsia="宋体" w:cs="Times New Roman"/>
          <w:color w:val="000000"/>
          <w:kern w:val="2"/>
          <w:sz w:val="27"/>
          <w:szCs w:val="27"/>
        </w:rPr>
        <w:t xml:space="preserve"> </w:t>
      </w:r>
    </w:p>
    <w:p>
      <w:pPr>
        <w:rPr>
          <w:rFonts w:hint="eastAsia" w:ascii="宋体" w:hAnsi="宋体" w:eastAsia="宋体" w:cs="宋体"/>
          <w:color w:val="000000"/>
          <w:kern w:val="2"/>
          <w:sz w:val="24"/>
          <w:szCs w:val="24"/>
        </w:rPr>
        <w:sectPr>
          <w:pgSz w:w="11906" w:h="16838" w:orient="landscape"/>
          <w:pgMar w:top="1440" w:right="1080" w:bottom="1440" w:left="1080" w:header="851" w:footer="992" w:gutter="0"/>
          <w:cols w:space="0" w:num="1"/>
          <w:docGrid w:type="lines" w:linePitch="160" w:charSpace="0"/>
        </w:sectPr>
      </w:pPr>
    </w:p>
    <w:p>
      <w:pPr>
        <w:spacing w:after="2" w:afterAutospacing="0"/>
        <w:ind w:left="0" w:firstLine="721"/>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spacing w:after="2" w:afterAutospacing="0"/>
        <w:ind w:left="0" w:firstLine="721"/>
        <w:jc w:val="center"/>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6"/>
          <w:szCs w:val="36"/>
        </w:rPr>
        <w:t>第二部分 2021年度部门决算表</w:t>
      </w:r>
      <w:r>
        <w:rPr>
          <w:rFonts w:hint="default" w:ascii="Calibri" w:hAnsi="Calibri" w:eastAsia="宋体" w:cs="Times New Roman"/>
          <w:color w:val="000000"/>
          <w:kern w:val="2"/>
          <w:sz w:val="21"/>
          <w:szCs w:val="21"/>
        </w:rPr>
        <w:t xml:space="preserve"> </w:t>
      </w:r>
    </w:p>
    <w:p>
      <w:pPr>
        <w:pStyle w:val="16"/>
        <w:spacing w:before="0" w:beforeAutospacing="0" w:after="2"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799"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002"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997" w:type="pct"/>
            <w:gridSpan w:val="4"/>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1002" w:type="pct"/>
            <w:gridSpan w:val="2"/>
            <w:tcBorders>
              <w:top w:val="nil"/>
              <w:left w:val="nil"/>
              <w:bottom w:val="single" w:color="666666" w:sz="6" w:space="0"/>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收入 </w:t>
            </w:r>
          </w:p>
        </w:tc>
        <w:tc>
          <w:tcPr>
            <w:tcW w:w="2500" w:type="pct"/>
            <w:gridSpan w:val="3"/>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行次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金额 </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行次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一、一般公共预算财政拨款收入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5,426.24 </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一、一般公共服务支出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32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二、政府性基金预算财政拨款收入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二、外交支出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33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三、国有资本经营预算财政拨款收入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三、国防支出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34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四、上级补助收入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四、公共安全支出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35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五、事业收入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五、教育支出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36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六、经营收入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六、科学技术支出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37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七、附属单位上缴收入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7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七、文化旅游体育与传媒支出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38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八、其他收入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8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八、社会保障和就业支出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39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5,938.93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9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九、卫生健康支出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40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10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十、节能环保支出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41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11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十一、城乡社区支出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42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12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十二、农林水支出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43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13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十三、交通运输支出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44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14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十四、资源勘探工业信息等支出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45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15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十五、商业服务业等支出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46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16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十六、金融支出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47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17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十七、援助其他地区支出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48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18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十八、自然资源海洋气象等支出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49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19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十九、住房保障支出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50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20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二十、粮油物资储备支出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51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21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二十一、国有资本经营预算支出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52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22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二十二、灾害防治及应急管理支出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53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23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二十三、其他支出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54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24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二十四、债务还本支出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55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二十五、债务付息支出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56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26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二十六、抗疫特别国债安排的支出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57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本年收入合计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27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6,368.22 </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本年支出合计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58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7,134.55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使用非财政拨款结余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28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结余分配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59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年初结转和结余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29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766.33 </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年末结转和结余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60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30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61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总计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31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7,134.55 </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总计 </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62 </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7,134.55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注：本表反映部门本年度的总收支和年末结转结余情况。本表金额转换为万元时，因四舍五入可能存在尾数误差。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8"/>
        <w:gridCol w:w="359"/>
        <w:gridCol w:w="369"/>
        <w:gridCol w:w="3192"/>
        <w:gridCol w:w="2175"/>
        <w:gridCol w:w="1591"/>
        <w:gridCol w:w="1591"/>
        <w:gridCol w:w="1591"/>
        <w:gridCol w:w="1617"/>
        <w:gridCol w:w="1591"/>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1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1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993"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678"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993"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004" w:type="pct"/>
            <w:gridSpan w:val="9"/>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993"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本年收入合计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财政拨款收入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上级补助收入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事业收入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经营收入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附属单位上缴收入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39"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功能分类科目编码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3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33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6,368.22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6,368.22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一般公共服务支出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20103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政府办公厅（室）及相关机构事务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2010301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20199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其他一般公共服务支出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2019999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其他一般公共服务支出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社会保障和就业支出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5,388.03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5,388.03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人力资源和社会保障管理事务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2080101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民政管理事务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437.74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437.74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321.69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321.69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一般行政管理事务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23.56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23.56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2080207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行政区划和地名管理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25.49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25.49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2080299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其他民政管理事务支出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67.00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67.00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20805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行政事业单位养老支出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2080505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机关事业单位基本养老保险缴费支出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社会福利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178.71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178.71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老年福利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51.79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51.79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2081004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殡葬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2081006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养老服务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47.93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47.93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2081099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其他社会福利支出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75.00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75.00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残疾人事业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328.47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328.47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2081107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残疾人生活和护理补贴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192.58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192.58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2081199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其他残疾人事业支出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135.89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135.89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最低生活保障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3,529.47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3,529.47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城市最低生活保障金支出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3,489.47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3,489.47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农村最低生活保障金支出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特困人员救助供养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农村特困人员救助供养支出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20825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其他生活救助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2082502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其他农村生活救助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20899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其他社会保障和就业支出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860.00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860.00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2089999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其他社会保障和就业支出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860.00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860.00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卫生健康支出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21007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计划生育事务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2100717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计划生育服务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21011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行政事业单位医疗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2101101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行政单位医疗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住房保障支出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住房改革支出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2210201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住房公积金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22960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彩票公益金安排的支出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2296002 </w:t>
            </w:r>
          </w:p>
        </w:tc>
        <w:tc>
          <w:tcPr>
            <w:tcW w:w="99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用于社会福利的彩票公益金支出 </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注：本表反映部门本年度取得的各项收入情况。本表金额转换为万元时，因四舍五入可能存在尾数误差。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1"/>
        <w:gridCol w:w="3551"/>
        <w:gridCol w:w="2415"/>
        <w:gridCol w:w="1771"/>
        <w:gridCol w:w="1771"/>
        <w:gridCol w:w="1777"/>
        <w:gridCol w:w="1771"/>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2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2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2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10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753"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105"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93" w:type="pct"/>
            <w:gridSpan w:val="8"/>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1105"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本年支出合计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上缴上级支出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经营支出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75"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功能分类科目编码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7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7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7,134.55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5,508.22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1,626.33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一般公共服务支出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20103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政府办公厅（室）及相关机构事务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2010301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20199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其他一般公共服务支出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2019999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其他一般公共服务支出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社会保障和就业支出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5,938.93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4,528.03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1,410.90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人力资源和社会保障管理事务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民政管理事务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437.74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437.74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321.69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321.69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一般行政管理事务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23.56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23.56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2080207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行政区划和地名管理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25.49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25.49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2080299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其他民政管理事务支出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67.00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67.00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20805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行政事业单位养老支出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2080505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机关事业单位基本养老保险缴费支出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社会福利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178.78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178.71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0.07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老年福利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51.85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51.79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0.07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2081004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殡葬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2081006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养老服务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47.93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47.93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2081099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其他社会福利支出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75.00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75.00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残疾人事业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335.80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328.47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7.32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2081107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残疾人生活和护理补贴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199.91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192.58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7.32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2081199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其他残疾人事业支出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135.89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135.89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最低生活保障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3,529.47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3,529.47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城市最低生活保障金支出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3,489.47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3,489.47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农村最低生活保障金支出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20820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临时救助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77.85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77.85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2082001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临时救助支出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58.79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58.79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2082002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流浪乞讨人员救助支出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19.06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19.06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特困人员救助供养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65.10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城市特困人员救助供养支出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13.10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农村特困人员救助供养支出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52.00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50.00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20825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其他生活救助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10.89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4.56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2082502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其他农村生活救助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10.89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4.56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20899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其他社会保障和就业支出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2089999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其他社会保障和就业支出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卫生健康支出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21007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计划生育事务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2100717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计划生育服务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21011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行政事业单位医疗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2101101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行政单位医疗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住房保障支出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住房改革支出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2210201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住房公积金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22960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彩票公益金安排的支出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2296002 </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用于社会福利的彩票公益金支出 </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注：本表反映部门本年度各项支出情况。本表金额转换为万元时，因四舍五入可能存在尾数误差。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3"/>
        <w:gridCol w:w="145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8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66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911"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086" w:type="pct"/>
            <w:gridSpan w:val="7"/>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911" w:type="pct"/>
            <w:gridSpan w:val="2"/>
            <w:tcBorders>
              <w:top w:val="nil"/>
              <w:left w:val="nil"/>
              <w:bottom w:val="single" w:color="666666" w:sz="6" w:space="0"/>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收 入 </w:t>
            </w:r>
          </w:p>
        </w:tc>
        <w:tc>
          <w:tcPr>
            <w:tcW w:w="3349" w:type="pct"/>
            <w:gridSpan w:val="6"/>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行次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金额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行次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一般公共预算财政拨款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政府性基金预算财政拨款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一、一般公共预算财政拨款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5,426.24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一、一般公共服务支出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33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二、政府性基金预算财政拨款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二、外交支出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34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三、国有资本经营财政拨款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三、国防支出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35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四、公共安全支出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36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五、教育支出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37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六、科学技术支出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38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7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七、文化旅游体育与传媒支出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39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8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八、社会保障和就业支出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40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5,938.93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5,938.93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9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九、卫生健康支出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41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10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十、节能环保支出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42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11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十一、城乡社区支出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43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12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十二、农林水支出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44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13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十三、交通运输支出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45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14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十四、资源勘探工业信息等支出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46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15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十五、商业服务业等支出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47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16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十六、金融支出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48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17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十七、援助其他地区支出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49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18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十八、自然资源海洋气象等支出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50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19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十九、住房保障支出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51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20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二十、粮油物资储备支出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52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21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二十一、国有资本经营预算支出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53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22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二十二、灾害防治及应急管理支出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54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23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二十三、其他支出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55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24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二十四、债务还本支出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56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25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二十五、债务付息支出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57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26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二十六、抗疫特别国债安排的支出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58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本年收入合计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27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6,368.22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本年支出合计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59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7,134.55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5,977.14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1,157.41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年初财政拨款结转和结余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28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766.33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年末财政拨款结转和结余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60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一般公共预算财政拨款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29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550.90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61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政府性基金预算财政拨款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30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62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国有资本经营预算财政拨款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31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63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总计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32 </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7,134.55 </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总计 </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64 </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7,134.55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5,977.14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1,157.41 </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1"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41"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41"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682"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96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928"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71" w:type="pct"/>
            <w:gridSpan w:val="5"/>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1928" w:type="pct"/>
            <w:gridSpan w:val="2"/>
            <w:tcBorders>
              <w:top w:val="nil"/>
              <w:left w:val="nil"/>
              <w:bottom w:val="single" w:color="666666" w:sz="6" w:space="0"/>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2892" w:type="pct"/>
            <w:gridSpan w:val="3"/>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24"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功能分类科目编码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小计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24"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24"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5,977.14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4,566.24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1,410.90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一般公共服务支出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20103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政府办公厅（室）及相关机构事务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2010301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0.10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20199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其他一般公共服务支出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2019999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其他一般公共服务支出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社会保障和就业支出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5,938.93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4,528.03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1,410.90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人力资源和社会保障管理事务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2080101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民政管理事务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437.74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437.74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321.69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321.69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一般行政管理事务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23.56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23.56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2080207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行政区划和地名管理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25.49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25.49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2080299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其他民政管理事务支出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67.00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67.00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20805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行政事业单位养老支出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2080505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机关事业单位基本养老保险缴费支出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社会福利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178.78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178.71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老年福利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51.85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51.79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2081004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殡葬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2081006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养老服务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47.93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47.93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2081099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其他社会福利支出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75.00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75.00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残疾人事业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335.80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328.47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2081107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残疾人生活和护理补贴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199.91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192.58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2081199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其他残疾人事业支出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135.89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135.89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最低生活保障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3,529.47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3,529.47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城市最低生活保障金支出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3,489.47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3,489.47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2081902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农村最低生活保障金支出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20820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临时救助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77.85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77.85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2082001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临时救助支出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58.79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2082002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流浪乞讨人员救助支出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19.06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特困人员救助供养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65.10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城市特困人员救助供养支出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13.10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2082102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农村特困人员救助供养支出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52.00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20825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其他生活救助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10.89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2082502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其他农村生活救助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10.89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6.33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20899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其他社会保障和就业支出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2089999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其他社会保障和就业支出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1,258.00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卫生健康支出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15.71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21007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计划生育事务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2100717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计划生育服务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1.06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21011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行政事业单位医疗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2101101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行政单位医疗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14.65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住房保障支出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22102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住房改革支出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2210201 </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住房公积金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20.21 </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注：本表反映部门本年度一般公共预算财政拨款支出情况。本表金额转换为万元时，因四舍五入可能存在尾数误差。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6"/>
        <w:gridCol w:w="1726"/>
        <w:gridCol w:w="725"/>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一般公共预算财政拨款基本支出决算明细表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053"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538"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828"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538"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366"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632" w:type="pct"/>
            <w:gridSpan w:val="7"/>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1366" w:type="pct"/>
            <w:gridSpan w:val="2"/>
            <w:tcBorders>
              <w:top w:val="nil"/>
              <w:left w:val="nil"/>
              <w:bottom w:val="single" w:color="666666" w:sz="6" w:space="0"/>
              <w:right w:val="nil"/>
            </w:tcBorders>
            <w:shd w:val="clear" w:color="auto" w:fill="auto"/>
            <w:vAlign w:val="center"/>
          </w:tcPr>
          <w:p>
            <w:pPr>
              <w:pStyle w:val="16"/>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人员经费 </w:t>
            </w:r>
          </w:p>
        </w:tc>
        <w:tc>
          <w:tcPr>
            <w:tcW w:w="3182" w:type="pct"/>
            <w:gridSpan w:val="6"/>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科目编码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决算数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科目编码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决算数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科目编码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301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工资福利支出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434.33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302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商品和服务支出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71.02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307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债务利息及费用支出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30101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基本工资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105.43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30201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办公费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33.76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30701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国内债务付息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30102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津贴补贴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81.07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30202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印刷费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30702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国外债务付息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30103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奖金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134.12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30203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咨询费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310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资本性支出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30106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伙食补助费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30204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手续费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31001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房屋建筑物购建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30107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绩效工资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30205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水费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1.74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31002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办公设备购置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30108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机关事业单位基本养老保险缴费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28.31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30206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电费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31003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专用设备购置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30109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职业年金缴费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30207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邮电费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31005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基础设施建设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30110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职工基本医疗保险缴费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26.25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30208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取暖费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31006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大型修缮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30111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公务员医疗补助缴费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30209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物业管理费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31007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信息网络及软件购置更新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30112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其他社会保障缴费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30211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差旅费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0.75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31008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物资储备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30113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住房公积金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44.30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30212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因公出国（境）费用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31009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土地补偿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30114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医疗费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30213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维修（护）费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31010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安置补助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30199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其他工资福利支出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14.86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30214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租赁费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31011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地上附着物和青苗补偿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303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对个人和家庭的补助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4,060.89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30215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会议费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31012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拆迁补偿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30301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离休费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30216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培训费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6.25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31013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公务用车购置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30302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退休费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9.59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30217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公务接待费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1.00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31019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其他交通工具购置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30303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退职（役）费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30218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专用材料费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31021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文物和陈列品购置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30304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抚恤金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30224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被装购置费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31022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无形资产购置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30305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生活补助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4,048.94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30225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专用燃料费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31099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其他资本性支出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30306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救济费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30226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劳务费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399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其他支出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30307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医疗费补助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30227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委托业务费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39906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赠与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30308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助学金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30228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工会经费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8.27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39907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国家赔偿费用支出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30309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奖励金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30229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福利费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39908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对民间非营利组织和群众性自治组织补贴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30310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个人农业生产补贴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30231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公务用车运行维护费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39999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30311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代缴社会保险费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30239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其他交通费用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19.25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30399 </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其他对个人和家庭的补助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2.37 </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30240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税金及附加费用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05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30299 </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其他商品和服务支出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人员经费合计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4,495.22 </w:t>
            </w:r>
          </w:p>
        </w:tc>
        <w:tc>
          <w:tcPr>
            <w:tcW w:w="2645" w:type="pct"/>
            <w:gridSpan w:val="5"/>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公用经费合计 </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注：本表反映部门本年度一般公共预算财政拨款基本支出明细情况。本表金额转换为万元时，因四舍五入可能存在尾数误差。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2"/>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833"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166" w:type="pct"/>
            <w:gridSpan w:val="10"/>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833" w:type="pct"/>
            <w:gridSpan w:val="2"/>
            <w:tcBorders>
              <w:top w:val="nil"/>
              <w:left w:val="nil"/>
              <w:bottom w:val="single" w:color="666666" w:sz="6" w:space="0"/>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预算数 </w:t>
            </w:r>
          </w:p>
        </w:tc>
        <w:tc>
          <w:tcPr>
            <w:tcW w:w="2500" w:type="pct"/>
            <w:gridSpan w:val="6"/>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因公出国（境）费 </w:t>
            </w:r>
          </w:p>
        </w:tc>
        <w:tc>
          <w:tcPr>
            <w:tcW w:w="1250" w:type="pct"/>
            <w:gridSpan w:val="3"/>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公务用车购置及运行费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公务接待费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因公出国（境）费 </w:t>
            </w:r>
          </w:p>
        </w:tc>
        <w:tc>
          <w:tcPr>
            <w:tcW w:w="1250" w:type="pct"/>
            <w:gridSpan w:val="3"/>
            <w:tcBorders>
              <w:top w:val="single" w:color="666666" w:sz="6" w:space="0"/>
              <w:left w:val="nil"/>
              <w:bottom w:val="nil"/>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公务用车购置及运行费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小计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公务用车购置费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公务用车运行费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小计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公务用车购置费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公务用车运行费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7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8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9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10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11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1.00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1.00 </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2"/>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4"/>
        <w:gridCol w:w="1517"/>
        <w:gridCol w:w="4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0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0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078"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368"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614"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33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816"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82" w:type="pct"/>
            <w:gridSpan w:val="8"/>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1816"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年初结转和结余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本年收入 </w:t>
            </w:r>
          </w:p>
        </w:tc>
        <w:tc>
          <w:tcPr>
            <w:tcW w:w="1281" w:type="pct"/>
            <w:gridSpan w:val="3"/>
            <w:tcBorders>
              <w:top w:val="single" w:color="666666" w:sz="6" w:space="0"/>
              <w:left w:val="nil"/>
              <w:bottom w:val="nil"/>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本年支出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12"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功能分类科目编码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小计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项目支出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12"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312"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4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5 </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215.43 </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941.98 </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1,157.41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941.98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215.43 </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 </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其他支出 </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22960 </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彩票公益金安排的支出 </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2296002 </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用于社会福利的彩票公益金支出 </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1,157.41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941.98 </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215.43 </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注：本表反映部门本年度政府性基金预算财政拨款收入、支出及结转和结余情况。本表金额转换为万元时，因四舍五入可能存在尾数误差。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6"/>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65"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971"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nil"/>
              <w:left w:val="nil"/>
              <w:bottom w:val="nil"/>
              <w:right w:val="nil"/>
            </w:tcBorders>
            <w:shd w:val="clear" w:color="auto" w:fill="auto"/>
            <w:vAlign w:val="center"/>
          </w:tcPr>
          <w:p>
            <w:pPr>
              <w:rPr>
                <w:rFonts w:hint="default" w:ascii="Times New Roman" w:hAnsi="Times New Roman" w:eastAsia="宋体" w:cs="Times New Roman"/>
                <w:kern w:val="2"/>
                <w:sz w:val="20"/>
                <w:szCs w:val="20"/>
              </w:rPr>
            </w:pPr>
          </w:p>
        </w:tc>
        <w:tc>
          <w:tcPr>
            <w:tcW w:w="1686" w:type="pct"/>
            <w:gridSpan w:val="2"/>
            <w:tcBorders>
              <w:top w:val="nil"/>
              <w:left w:val="nil"/>
              <w:bottom w:val="nil"/>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13" w:type="pct"/>
            <w:gridSpan w:val="5"/>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部门：石鼓区民政局 </w:t>
            </w:r>
          </w:p>
        </w:tc>
        <w:tc>
          <w:tcPr>
            <w:tcW w:w="1686" w:type="pct"/>
            <w:gridSpan w:val="2"/>
            <w:tcBorders>
              <w:top w:val="nil"/>
              <w:left w:val="nil"/>
              <w:bottom w:val="single" w:color="666666" w:sz="6" w:space="0"/>
              <w:right w:val="nil"/>
            </w:tcBorders>
            <w:shd w:val="clear" w:color="auto" w:fill="auto"/>
            <w:vAlign w:val="center"/>
          </w:tcPr>
          <w:p>
            <w:pPr>
              <w:pStyle w:val="16"/>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2530" w:type="pct"/>
            <w:gridSpan w:val="3"/>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96"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功能分类科目编码 </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6"/>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0.00 </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0.00 </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6"/>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本年度无该项支出 </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6"/>
              <w:rPr>
                <w:rFonts w:hint="eastAsia" w:ascii="宋体" w:hAnsi="宋体" w:eastAsia="宋体" w:cs="宋体"/>
                <w:kern w:val="0"/>
                <w:sz w:val="22"/>
                <w:szCs w:val="22"/>
              </w:rPr>
            </w:pPr>
            <w:r>
              <w:rPr>
                <w:rFonts w:hint="eastAsia" w:ascii="宋体" w:hAnsi="宋体" w:eastAsia="宋体" w:cs="宋体"/>
                <w:kern w:val="0"/>
                <w:sz w:val="22"/>
                <w:szCs w:val="22"/>
              </w:rPr>
              <w:t xml:space="preserve">注：本表反映部门本年度国有资本经营预算财政拨款支出情况。本表金额转换为万元时，因四舍五入可能存在尾数误差。 </w:t>
            </w:r>
          </w:p>
        </w:tc>
      </w:tr>
    </w:tbl>
    <w:p>
      <w:pPr>
        <w:pStyle w:val="1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rPr>
          <w:rFonts w:hint="eastAsia" w:ascii="宋体" w:hAnsi="宋体" w:eastAsia="宋体" w:cs="宋体"/>
          <w:color w:val="000000"/>
          <w:kern w:val="2"/>
          <w:sz w:val="24"/>
          <w:szCs w:val="24"/>
        </w:rPr>
        <w:sectPr>
          <w:pgSz w:w="16838" w:h="11906"/>
          <w:pgMar w:top="1080" w:right="400" w:bottom="1080" w:left="400" w:header="851" w:footer="992" w:gutter="0"/>
          <w:cols w:space="0" w:num="1"/>
          <w:docGrid w:type="lines" w:linePitch="160" w:charSpace="0"/>
        </w:sectPr>
      </w:pPr>
    </w:p>
    <w:p>
      <w:pPr>
        <w:spacing w:after="2" w:afterAutospacing="0"/>
        <w:jc w:val="center"/>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6"/>
          <w:szCs w:val="36"/>
        </w:rPr>
        <w:t>第三部分 2021年度部门决算情况说明</w:t>
      </w:r>
      <w:r>
        <w:rPr>
          <w:rFonts w:hint="default" w:ascii="Calibri" w:hAnsi="Calibri" w:eastAsia="宋体" w:cs="Times New Roman"/>
          <w:color w:val="000000"/>
          <w:kern w:val="2"/>
          <w:sz w:val="21"/>
          <w:szCs w:val="21"/>
        </w:rPr>
        <w:t xml:space="preserve"> </w:t>
      </w:r>
    </w:p>
    <w:p>
      <w:pP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一、收入支出决算总体情况说明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2021年度收、支总计7,134.55万元。与上一年度相比，收、支总计各增加2,660.67万元，增长59.47%。主要是因为2021年度上级财政拨款增加支持民政事业发展。</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二、收入决算情况说明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2021年度收入合计6,368.22万元，其中：财政拨款收入6,368.22万元，占100%；上级补助收入0万元，占0%；事业收入0万元，占0%；经营收入0万元，占0%；附属单位上缴收入0万元，占0%；其他收入0万元，占0%。</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三、支出决算情况说明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2021年度支出合计7,134.55万元，其中：基本支出5,508.22万元，占77.2%；项目支出1,626.33万元，占22.8%；上缴上级支出0万元，占0%；经营支出0万元，占0%；对附属单位补助支出0万元，占0%。</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四、财政拨款收入支出决算总体情况说明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财政拨款收、支总计7,134.55万元，其中：一般公共预算财政拨款5,977.14万元，政府性基金财政拨款1,157.41万元。与上一年度相比，财政拨款收、支总计各增加2,660.67万元，增长59.47%。主要是因为2021年度上级财政拨款增加支持民政事业发展。</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五、一般公共预算财政拨款支出决算情况说明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（一）财政拨款支出决算总体情况</w:t>
      </w:r>
      <w:r>
        <w:rPr>
          <w:rFonts w:hint="default" w:ascii="Calibri" w:hAnsi="Calibri" w:eastAsia="宋体" w:cs="Times New Roman"/>
          <w:color w:val="000000"/>
          <w:kern w:val="2"/>
          <w:sz w:val="27"/>
          <w:szCs w:val="27"/>
        </w:rPr>
        <w:t xml:space="preserve"> </w:t>
      </w:r>
    </w:p>
    <w:p>
      <w:pPr>
        <w:pStyle w:val="18"/>
        <w:spacing w:after="2" w:afterAutospacing="0"/>
        <w:ind w:left="0" w:firstLine="855"/>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 xml:space="preserve">2021年度财政拨款支出5,977.14万元，其中：基本支出4,566.24万元，项目支出1,410.9万元。占本年支出合计的83.78%。与上一年度相比，财政拨款支出增加2,455.96万元，增长69.75%。主要是因为上级财政拨款增加支持民政事业发展。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（二）财政拨款支出决算结构情况</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2021年度财政拨款支出5,977.14万元，主要用于以下方面：一般公共服务支出2.3万元，占0.04%；社会保障和就业支出5,938.93万元，占99.36%；卫生健康支出15.71万元，占0.26%；住房保障支出20.21万元，占0.34%。</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（三）财政拨款支出决算具体情况</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2021年度财政拨款支出年初预算数为293.69万元，支出决算数为5,977.14万元，完成年初预算的2,035.2%，其中：</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1、一般公共服务支出（类）政府办公厅（室）及相关机构事务（款）行政运行（项）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年初预算为0万元，支出决算为0.1万元，决算数大于年初预算数的主要原因是：年度评优评先增加预算。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2、一般公共服务支出（类）其他一般公共服务支出（款）其他一般公共服务支出（项）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年初预算为0万元，支出决算为2.2万元，决算数大于年初预算数的主要原因是：根据实际工作情况追加预算。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3、社会保障和就业支出（类）人力资源和社会保障管理事务（款）行政运行（项）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年初预算为17万元，支出决算为17万元，完成年初预算的100%。决算数与年初预算数一致，我单位严格按预算执行决算。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4、社会保障和就业支出（类）民政管理事务（款）行政运行（项）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年初预算为211.52万元，支出决算为321.69万元，完成年初预算的152.08%。决算数大于年初预算数的主要原因是：根据民政工作实际需要追加预算。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5、社会保障和就业支出（类）民政管理事务（款）一般行政管理事务（项）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年初预算为0万元，支出决算为23.56万元，决算数大于年初预算数的主要原因是：根据上级工作安排追加年初预算。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6、社会保障和就业支出（类）民政管理事务（款）行政区划和地名管理（项）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年初预算为0万元，支出决算为25.49万元，决算数大于年初预算数的主要原因是：根据地名成果转化工作实际需要追加年初预算。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7、社会保障和就业支出（类）民政管理事务（款）其他民政管理事务支出（项）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年初预算为2万元，支出决算为67万元，完成年初预算的3,350%。决算数大于年初预算数的主要原因是：2021年婚姻登记中心3A级改造追加年初预算。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8、社会保障和就业支出（类）行政事业单位养老支出（款）机关事业单位基本养老保险缴费支出（项）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年初预算为28.31万元，支出决算为28.31万元，完成年初预算的100%。决算数与年初预算数一致，我单位严格按预算执行决算。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9、社会保障和就业支出（类）社会福利（款）老年福利（项）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年初预算为0万元，支出决算为51.85万元，决算数大于年初预算数的主要原因是：2021年发放老年人福利追加年初预算。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10、社会保障和就业支出（类）社会福利（款）殡葬（项）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年初预算为0万元，支出决算为4万元，决算数大于年初预算数的主要原因是：殡葬改革工作需要追加预算。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11、社会保障和就业支出（类）社会福利（款）养老服务（项）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年初预算为0万元，支出决算为47.93万元，决算数大于年初预算数的主要原因是：根据2021年养老服务工作需要追加年初预算。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12、社会保障和就业支出（类）社会福利（款）其他社会福利支出（项）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年初预算为0万元，支出决算为75万元，决算数大于年初预算数的主要原因是：2021年社工站建设工作追加年初预算。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13、社会保障和就业支出（类）残疾人事业（款）残疾人生活和护理补贴（项）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年初预算为0万元，支出决算为199.91万元，决算数大于年初预算数的主要原因是：根据残疾人两项补贴发放实际需要安排预算。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14、社会保障和就业支出（类）残疾人事业（款）其他残疾人事业支出（项）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年初预算为0万元，支出决算为135.89万元，决算数大于年初预算数的主要原因是：根据残疾人两项补贴发放实际需要安排预算。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15、社会保障和就业支出（类）最低生活保障（款）城市最低生活保障金支出（项）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年初预算为0万元，支出决算为3,489.47万元，决算数大于年初预算数的主要原因是：根据2021年城乡低保支出实际发放情况安排预算。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16、社会保障和就业支出（类）最低生活保障（款）农村最低生活保障金支出（项）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年初预算为0万元，支出决算为40万元，决算数大于年初预算数的主要原因是：根据城乡低保发放实际情况安排资金预算。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17、社会保障和就业支出（类）临时救助（款）临时救助支出（项）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年初预算为0万元，支出决算为58.79万元，决算数大于年初预算数的主要原因是：根据临时救助资金实际发放需要安排预算。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18、社会保障和就业支出（类）临时救助（款）流浪乞讨人员救助支出（项）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年初预算为0万元，支出决算为19.06万元，决算数大于年初预算数的主要原因是：根据实际工作情况安排预算。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19、社会保障和就业支出（类）特困人员救助供养（款）城市特困人员救助供养支出（项）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年初预算为0万元，支出决算为13.1万元，决算数大于年初预算数的主要原因是：根据城乡特困人员救助供养发放实际需要安排预算。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20、社会保障和就业支出（类）特困人员救助供养（款）农村特困人员救助供养支出（项）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年初预算为0万元，支出决算为52万元，决算数大于年初预算数的主要原因是：根据城乡特困人员救助供养发放实际需要安排预算。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21、社会保障和就业支出（类）其他生活救助（款）其他农村生活救助（项）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年初预算为0万元，支出决算为10.89万元，决算数大于年初预算数的主要原因是：根据城乡特困人员救助供养发放实际需要安排预算。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22、社会保障和就业支出（类）其他社会保障和就业支出（款）其他社会保障和就业支出（项）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年初预算为0万元，支出决算为1,258万元，决算数大于年初预算数的主要原因是：根据工作实际需要安排预算资金。</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23、卫生健康支出（类）计划生育事务（款）计划生育服务（项）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年初预算为0万元，支出决算为1.06万元，决算数大于年初预算数的主要原因是：根据实际工作需要安排追加预算。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24、卫生健康支出（类）行政事业单位医疗（款）行政单位医疗（项）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年初预算为14.65万元，支出决算为14.65万元，完成年初预算的100%。决算数与年初预算数一致，我单位严格按预算执行决算。</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25、住房保障支出（类）住房改革支出（款）住房公积金（项）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年初预算为20.21万元，支出决算为20.21万元，完成年初预算的100%。决算数与年初预算数一致，我单位严格按预算执行决算。</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六、一般公共预算财政拨款基本支出决算情况说明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财政拨款基本支出4,566.24万元，其中：人员经费4,495.22万元，占基本支出的98.44%，主要包括：基本工资、津贴补贴、奖金、机关事业单位基本养老保险缴费、职工基本医疗保险缴费、住房公积金、其他工资福利支出、退休费、生活补助、其他对个人和家庭的补助。公用经费71.02万元，占基本支出的1.56%，主要包括：办公费、水费、差旅费、培训费、公务接待费、工会经费、其他交通费用。</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七、一般公共预算财政拨款三公经费支出决算情况说明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（一）“三公”经费财政拨款支出决算总体情况说明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2021年度“三公”经费财政拨款支出预算为1万元，支出决算为1万元，完成预算的100%，其中：</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因公出国（境）费支出预算为0万元，支出决算为0万元，决算数与预算数一致，我单位严格按预算执行决算，因公出国（境）费支出与上年持平。</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公务接待费支出预算为1万元，支出决算为1万元，完成预算的100%，决算数与预算数一致，我单位严格按预算执行决算，与上年相比增加0.05万元，增长5.26%，增长的主要原因是根据实际工作需要追加年初预算资金。</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公务用车购置费支出预算为0万元，支出决算为0万元，决算数与预算数一致，我单位严格按预算执行决算，公务用车购置费支出与上年持平。</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公务用车运行维护费支出预算为0万元，支出决算为0万元，决算数与预算数一致，我单位严格按预算执行决算，公务用车运行维护费支出与上年持平。</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（二）“三公”经费财政拨款支出决算具体情况说明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2021年度“三公”经费财政拨款支出决算中，公务接待费支出决算1万元，占100%，因公出国（境）费支出决算0万元，占0%，公务用车购置费及运行维护费支出决算0万元，占0%。其中：</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1、因公出国（境）费支出决算为0万元，全年安排因公出国（境）团组0个，累计0人次，我单位2021年度无因公出国（境）费支出。</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2、公务接待费支出决算为1万元，全年共接待来访团组6个、来宾138人次，主要是民政工作检查发生的接待支出。</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3、公务用车购置费及运行维护费支出决算为0万元，其中：公务用车购置费0万元</w:t>
      </w:r>
      <w:r>
        <w:rPr>
          <w:rFonts w:hint="eastAsia" w:ascii="宋体" w:hAnsi="宋体" w:cs="宋体"/>
          <w:color w:val="000000"/>
          <w:kern w:val="2"/>
          <w:sz w:val="32"/>
          <w:szCs w:val="32"/>
          <w:lang w:eastAsia="zh-CN"/>
        </w:rPr>
        <w:t>，</w:t>
      </w:r>
      <w:r>
        <w:rPr>
          <w:rFonts w:hint="eastAsia" w:ascii="宋体" w:hAnsi="宋体" w:eastAsia="宋体" w:cs="宋体"/>
          <w:color w:val="000000"/>
          <w:sz w:val="32"/>
          <w:szCs w:val="32"/>
          <w:lang w:eastAsia="zh-CN"/>
        </w:rPr>
        <w:t>本级机构和二级机构</w:t>
      </w:r>
      <w:r>
        <w:rPr>
          <w:rFonts w:hint="eastAsia" w:ascii="宋体" w:hAnsi="宋体" w:eastAsia="宋体" w:cs="宋体"/>
          <w:color w:val="000000"/>
          <w:sz w:val="32"/>
          <w:szCs w:val="32"/>
        </w:rPr>
        <w:t>更新公务用车0辆</w:t>
      </w:r>
      <w:r>
        <w:rPr>
          <w:rFonts w:hint="eastAsia" w:ascii="宋体" w:hAnsi="宋体" w:eastAsia="宋体" w:cs="宋体"/>
          <w:color w:val="000000"/>
          <w:kern w:val="2"/>
          <w:sz w:val="32"/>
          <w:szCs w:val="32"/>
        </w:rPr>
        <w:t>。公务用车运行维护费0万元，截至2021年12月31日，我单位开支财政拨款的公务用车保有量为0辆。我单位2021年度无公务用车购置费及运行维护费支出。</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八、政府性基金预算收入支出决算情况</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 xml:space="preserve">2021年度政府性基金预算财政拨款收入941.98万元；年初结转和结余215.43万元；支出1,157.41万元，其中基本支出941.98万元，项目支出215.43万元；年末结转和结余0万元。具体情况如下： </w:t>
      </w:r>
    </w:p>
    <w:p>
      <w:pPr>
        <w:pStyle w:val="18"/>
        <w:spacing w:after="2" w:afterAutospacing="0"/>
        <w:ind w:left="0" w:firstLine="641"/>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2"/>
          <w:szCs w:val="32"/>
        </w:rPr>
        <w:t>1、其他支出（类）彩票公益金安排的支出（款）用于社会福利的彩票公益金支出（项）</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年初预算为0万元，支出决算为1,157.41万元，决算数大于年初预算数的主要原因是：根据民政工作实际需要安排社会福彩资金。</w:t>
      </w:r>
      <w:r>
        <w:rPr>
          <w:rFonts w:hint="default" w:ascii="Calibri" w:hAnsi="Calibri" w:eastAsia="宋体" w:cs="Times New Roman"/>
          <w:color w:val="000000"/>
          <w:kern w:val="2"/>
          <w:sz w:val="27"/>
          <w:szCs w:val="27"/>
        </w:rPr>
        <w:t xml:space="preserve"> </w:t>
      </w:r>
    </w:p>
    <w:p>
      <w:pPr>
        <w:pStyle w:val="18"/>
        <w:spacing w:after="2" w:afterAutospacing="0"/>
        <w:ind w:left="0" w:firstLine="641"/>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九、关于机关运行经费支出说明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石鼓区民政局2021年度机关运行经费支出71.02万元，比上一年决算数增加26.33万元，增长58.92%。主要原因是：根据民政工作实际要求开展工作追加预算资金。</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十、一般性支出情况</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2021年度石鼓区民政局开支会议费0万元，我单位2021年度无会议费支出；开支培训费6.25万元，用于开展民政业务工作培训，内容为民政业务工作；举办0场节庆、晚会、论坛、赛事活动，开支0万元，无相关活动计划。</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十一、关于政府采购支出说明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 xml:space="preserve">石鼓区民政局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十二、关于国有资产占用情况说明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截至2021年12月31日，石鼓区民政局共有车辆0辆（台），其中：机要通信用车0辆、应急保障用车0辆、执法执勤用车0辆、特种专业技术用车0辆、其他用车0辆；单价50万元（含）以上通用设备0台（套），单价100万元（含）以上专用设备0台（套）。</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b/>
          <w:bCs/>
          <w:color w:val="000000"/>
          <w:kern w:val="2"/>
          <w:sz w:val="32"/>
          <w:szCs w:val="32"/>
        </w:rPr>
        <w:t>十三、关于2021年度预算绩效情况说明</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6"/>
          <w:szCs w:val="36"/>
        </w:rPr>
        <w:t>（1）绩效管理评价工作开展情况。</w:t>
      </w:r>
    </w:p>
    <w:p>
      <w:pPr>
        <w:pStyle w:val="18"/>
        <w:spacing w:after="2" w:afterAutospacing="0"/>
        <w:ind w:left="0" w:firstLine="640"/>
        <w:rPr>
          <w:rFonts w:hint="default" w:ascii="Calibri" w:hAnsi="Calibri" w:eastAsia="宋体" w:cs="Times New Roman"/>
          <w:kern w:val="2"/>
          <w:sz w:val="21"/>
          <w:szCs w:val="21"/>
        </w:rPr>
      </w:pPr>
      <w:r>
        <w:rPr>
          <w:rFonts w:hint="eastAsia" w:ascii="宋体" w:hAnsi="宋体" w:eastAsia="宋体" w:cs="宋体"/>
          <w:color w:val="000000"/>
          <w:kern w:val="2"/>
          <w:sz w:val="32"/>
          <w:szCs w:val="32"/>
        </w:rPr>
        <w:t>根据预算绩效管理要求，我部门组织对2021年度一般公共预算项目支出全面开展绩效自评，其中，一级项目1个，二级项目1个，共涉及资金58.79万元，占一般公共预算项目支出总额的4.1%。</w:t>
      </w:r>
      <w:r>
        <w:rPr>
          <w:rFonts w:hint="eastAsia" w:ascii="宋体" w:hAnsi="宋体" w:eastAsia="宋体" w:cs="宋体"/>
          <w:kern w:val="2"/>
          <w:sz w:val="21"/>
          <w:szCs w:val="21"/>
        </w:rPr>
        <w:t>组织对</w:t>
      </w:r>
      <w:r>
        <w:rPr>
          <w:rFonts w:hint="default" w:ascii="Calibri" w:hAnsi="Calibri" w:eastAsia="宋体" w:cs="Calibri"/>
          <w:kern w:val="2"/>
          <w:sz w:val="21"/>
          <w:szCs w:val="21"/>
        </w:rPr>
        <w:t>“</w:t>
      </w:r>
      <w:r>
        <w:rPr>
          <w:rFonts w:hint="eastAsia" w:ascii="宋体" w:hAnsi="宋体" w:eastAsia="宋体" w:cs="宋体"/>
          <w:kern w:val="2"/>
          <w:sz w:val="21"/>
          <w:szCs w:val="21"/>
        </w:rPr>
        <w:t>临时救助</w:t>
      </w:r>
      <w:r>
        <w:rPr>
          <w:rFonts w:hint="default" w:ascii="Calibri" w:hAnsi="Calibri" w:eastAsia="宋体" w:cs="Calibri"/>
          <w:kern w:val="2"/>
          <w:sz w:val="21"/>
          <w:szCs w:val="21"/>
        </w:rPr>
        <w:t>”“</w:t>
      </w:r>
      <w:r>
        <w:rPr>
          <w:rFonts w:hint="eastAsia" w:ascii="宋体" w:hAnsi="宋体" w:eastAsia="宋体" w:cs="宋体"/>
          <w:kern w:val="2"/>
          <w:sz w:val="21"/>
          <w:szCs w:val="21"/>
        </w:rPr>
        <w:t>养老服务试点</w:t>
      </w:r>
      <w:r>
        <w:rPr>
          <w:rFonts w:hint="default" w:ascii="Calibri" w:hAnsi="Calibri" w:eastAsia="宋体" w:cs="Calibri"/>
          <w:kern w:val="2"/>
          <w:sz w:val="21"/>
          <w:szCs w:val="21"/>
        </w:rPr>
        <w:t>”</w:t>
      </w:r>
      <w:r>
        <w:rPr>
          <w:rFonts w:hint="eastAsia" w:ascii="宋体" w:hAnsi="宋体" w:eastAsia="宋体" w:cs="宋体"/>
          <w:kern w:val="2"/>
          <w:sz w:val="21"/>
          <w:szCs w:val="21"/>
        </w:rPr>
        <w:t>等</w:t>
      </w:r>
      <w:r>
        <w:rPr>
          <w:rFonts w:hint="default" w:ascii="Calibri" w:hAnsi="Calibri" w:eastAsia="宋体" w:cs="Times New Roman"/>
          <w:kern w:val="2"/>
          <w:sz w:val="21"/>
          <w:szCs w:val="21"/>
        </w:rPr>
        <w:t>2</w:t>
      </w:r>
      <w:r>
        <w:rPr>
          <w:rFonts w:hint="eastAsia" w:ascii="宋体" w:hAnsi="宋体" w:eastAsia="宋体" w:cs="宋体"/>
          <w:kern w:val="2"/>
          <w:sz w:val="21"/>
          <w:szCs w:val="21"/>
        </w:rPr>
        <w:t>个项目开展了部门评价，涉及一般公共预算支出</w:t>
      </w:r>
      <w:r>
        <w:rPr>
          <w:rFonts w:hint="default" w:ascii="Calibri" w:hAnsi="Calibri" w:eastAsia="宋体" w:cs="Times New Roman"/>
          <w:kern w:val="2"/>
          <w:sz w:val="21"/>
          <w:szCs w:val="21"/>
        </w:rPr>
        <w:t>58.79</w:t>
      </w:r>
      <w:r>
        <w:rPr>
          <w:rFonts w:hint="eastAsia" w:ascii="宋体" w:hAnsi="宋体" w:eastAsia="宋体" w:cs="宋体"/>
          <w:kern w:val="2"/>
          <w:sz w:val="21"/>
          <w:szCs w:val="21"/>
        </w:rPr>
        <w:t>万元，政府性基金预算支出</w:t>
      </w:r>
      <w:r>
        <w:rPr>
          <w:rFonts w:hint="default" w:ascii="Calibri" w:hAnsi="Calibri" w:eastAsia="宋体" w:cs="Times New Roman"/>
          <w:kern w:val="2"/>
          <w:sz w:val="21"/>
          <w:szCs w:val="21"/>
        </w:rPr>
        <w:t>60</w:t>
      </w:r>
      <w:r>
        <w:rPr>
          <w:rFonts w:hint="eastAsia" w:ascii="宋体" w:hAnsi="宋体" w:eastAsia="宋体" w:cs="宋体"/>
          <w:kern w:val="2"/>
          <w:sz w:val="21"/>
          <w:szCs w:val="21"/>
        </w:rPr>
        <w:t>万元，国有资本经营预算支出</w:t>
      </w:r>
      <w:r>
        <w:rPr>
          <w:rFonts w:hint="default" w:ascii="Calibri" w:hAnsi="Calibri" w:eastAsia="宋体" w:cs="Times New Roman"/>
          <w:kern w:val="2"/>
          <w:sz w:val="21"/>
          <w:szCs w:val="21"/>
        </w:rPr>
        <w:t>0</w:t>
      </w:r>
      <w:r>
        <w:rPr>
          <w:rFonts w:hint="eastAsia" w:ascii="宋体" w:hAnsi="宋体" w:eastAsia="宋体" w:cs="宋体"/>
          <w:kern w:val="2"/>
          <w:sz w:val="21"/>
          <w:szCs w:val="21"/>
        </w:rPr>
        <w:t>万元。从评价情况来看，我单位坚决贯彻落实中央、省、市、区一系列决策部署，克服困难完成年初工作计划，为全区高质量发展提供坚强保障。积极履职，强化管理，较好的完成了年度工作目标。并通过加强预算收支管理，不断建立健全内部管理制度，梳理内部管理流程，使得部门整体支出管理水平得到提升。</w:t>
      </w:r>
      <w:r>
        <w:rPr>
          <w:rFonts w:hint="default" w:ascii="Calibri" w:hAnsi="Calibri" w:eastAsia="宋体" w:cs="Times New Roman"/>
          <w:kern w:val="2"/>
          <w:sz w:val="21"/>
          <w:szCs w:val="21"/>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组织对区民政局本级1个单位开展整体支出绩效评价，涉及一般公共预算支出5977.14万元，政府性基金预算支出1157.14万元。</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从评价情况来看，我单位坚决贯彻落实中央、省、市、区一系列决策部署，做好民政工作，圆满兑现年初工作计划，为全区高质量发展提供坚强保障。积极履职，强化管理，较好的完成了年度工作目标。并通过加强预算收支管理，不断建立健全内部管理制度，梳理内部管理流程，使得部门整体支出管理水平得到提升。</w:t>
      </w:r>
    </w:p>
    <w:p>
      <w:pPr>
        <w:pStyle w:val="18"/>
        <w:spacing w:after="2" w:afterAutospacing="0"/>
        <w:ind w:left="0" w:firstLine="640"/>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6"/>
          <w:szCs w:val="36"/>
        </w:rPr>
        <w:t>（2）部门决算中项目绩效自评结果。</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居家和社区养老服务改革试点地区补助项目绩效自评综述：根据年初设定的绩效目标，项目绩效自评得分为97分。项目全年预算数为65万元，执行数为60万元，完成预算的92.3%。项目绩效目标完成情况：一是养老机构建设得到支持；二是养老服务体系持续完善。发现的主要问题及原因：无。下一步改进措施：无。居家和社区养老服务改革试点地区补助项目绩效自评综述：根据定量分析及定性分析，综合绩效评价打分，我局该项目绩效自评为优</w:t>
      </w:r>
      <w:r>
        <w:rPr>
          <w:rFonts w:hint="eastAsia" w:ascii="宋体" w:hAnsi="宋体" w:eastAsia="宋体" w:cs="宋体"/>
          <w:kern w:val="2"/>
          <w:sz w:val="21"/>
          <w:szCs w:val="21"/>
        </w:rPr>
        <w:t>。</w:t>
      </w:r>
      <w:r>
        <w:rPr>
          <w:rFonts w:hint="default" w:ascii="Calibri" w:hAnsi="Calibri" w:eastAsia="宋体" w:cs="Times New Roman"/>
          <w:color w:val="000000"/>
          <w:kern w:val="2"/>
          <w:sz w:val="27"/>
          <w:szCs w:val="27"/>
        </w:rPr>
        <w:t xml:space="preserve"> </w:t>
      </w:r>
    </w:p>
    <w:p>
      <w:pPr>
        <w:pStyle w:val="18"/>
        <w:spacing w:after="2" w:afterAutospacing="0"/>
        <w:ind w:left="0" w:firstLine="640"/>
        <w:rPr>
          <w:rFonts w:hint="default" w:ascii="Calibri" w:hAnsi="Calibri" w:eastAsia="宋体" w:cs="Times New Roman"/>
          <w:color w:val="000000"/>
          <w:kern w:val="2"/>
          <w:sz w:val="27"/>
          <w:szCs w:val="27"/>
        </w:rPr>
      </w:pPr>
      <w:r>
        <w:rPr>
          <w:rStyle w:val="19"/>
          <w:rFonts w:hint="eastAsia" w:ascii="宋体" w:hAnsi="宋体" w:eastAsia="宋体" w:cs="宋体"/>
          <w:b/>
          <w:bCs w:val="0"/>
          <w:color w:val="000000"/>
          <w:sz w:val="36"/>
          <w:szCs w:val="36"/>
        </w:rPr>
        <w:t>（3）部门评价项目绩效评价结果。</w:t>
      </w:r>
    </w:p>
    <w:p>
      <w:pPr>
        <w:pStyle w:val="18"/>
        <w:spacing w:after="2" w:afterAutospacing="0"/>
        <w:ind w:left="0" w:firstLine="640"/>
        <w:rPr>
          <w:rFonts w:hint="default" w:ascii="Calibri" w:hAnsi="Calibri" w:eastAsia="宋体" w:cs="Times New Roman"/>
          <w:color w:val="000000"/>
          <w:kern w:val="2"/>
          <w:sz w:val="27"/>
          <w:szCs w:val="27"/>
        </w:rPr>
      </w:pPr>
      <w:r>
        <w:rPr>
          <w:rFonts w:hint="eastAsia" w:ascii="宋体" w:hAnsi="宋体" w:eastAsia="宋体" w:cs="宋体"/>
          <w:color w:val="000000"/>
          <w:kern w:val="2"/>
          <w:sz w:val="32"/>
          <w:szCs w:val="32"/>
        </w:rPr>
        <w:t>部门评价项目绩效评价结果详见附件。</w:t>
      </w:r>
    </w:p>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pStyle w:val="16"/>
        <w:spacing w:before="0" w:beforeAutospacing="0" w:after="2"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pStyle w:val="16"/>
        <w:spacing w:before="0" w:beforeAutospacing="0" w:after="2"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spacing w:after="2" w:afterAutospacing="0"/>
        <w:jc w:val="center"/>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6"/>
          <w:szCs w:val="36"/>
        </w:rPr>
        <w:t>第四部分 名词解释</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财政拨款收入</w:t>
      </w:r>
      <w:r>
        <w:rPr>
          <w:rFonts w:hint="eastAsia" w:ascii="宋体" w:hAnsi="宋体" w:eastAsia="宋体" w:cs="宋体"/>
          <w:color w:val="000000"/>
          <w:kern w:val="2"/>
          <w:sz w:val="32"/>
          <w:szCs w:val="32"/>
        </w:rPr>
        <w:t>：指财政当年拨付的资金。包括一般公共预算财政拨款和政府性基金财政拨款。</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上级补助收入</w:t>
      </w:r>
      <w:r>
        <w:rPr>
          <w:rFonts w:hint="eastAsia" w:ascii="宋体" w:hAnsi="宋体" w:eastAsia="宋体" w:cs="宋体"/>
          <w:color w:val="000000"/>
          <w:kern w:val="2"/>
          <w:sz w:val="32"/>
          <w:szCs w:val="32"/>
        </w:rPr>
        <w:t>：指事业单位从主管部门和上级单位取得的非财政补助收入。</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事业收入：</w:t>
      </w:r>
      <w:r>
        <w:rPr>
          <w:rFonts w:hint="eastAsia" w:ascii="宋体" w:hAnsi="宋体" w:eastAsia="宋体" w:cs="宋体"/>
          <w:color w:val="000000"/>
          <w:kern w:val="2"/>
          <w:sz w:val="32"/>
          <w:szCs w:val="32"/>
        </w:rPr>
        <w:t>指事业单位开展专业业务活动及辅助活动所取得的收入。</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经营收入：</w:t>
      </w:r>
      <w:r>
        <w:rPr>
          <w:rFonts w:hint="eastAsia" w:ascii="宋体" w:hAnsi="宋体" w:eastAsia="宋体" w:cs="宋体"/>
          <w:color w:val="000000"/>
          <w:kern w:val="2"/>
          <w:sz w:val="32"/>
          <w:szCs w:val="32"/>
        </w:rPr>
        <w:t>指事业单位在专业业务活动及其辅助活动之外开展非独立核算经营活动取得的收入。</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附属单位上缴收入</w:t>
      </w:r>
      <w:r>
        <w:rPr>
          <w:rFonts w:hint="eastAsia" w:ascii="宋体" w:hAnsi="宋体" w:eastAsia="宋体" w:cs="宋体"/>
          <w:color w:val="000000"/>
          <w:kern w:val="2"/>
          <w:sz w:val="32"/>
          <w:szCs w:val="32"/>
        </w:rPr>
        <w:t>：指事业单位附属独立核算单位按照有关规定上缴的收入。</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其他收入</w:t>
      </w:r>
      <w:r>
        <w:rPr>
          <w:rFonts w:hint="eastAsia" w:ascii="宋体" w:hAnsi="宋体" w:eastAsia="宋体" w:cs="宋体"/>
          <w:color w:val="000000"/>
          <w:kern w:val="2"/>
          <w:sz w:val="32"/>
          <w:szCs w:val="32"/>
        </w:rPr>
        <w:t>：指除上述“财政拨款收入”、“事业收入”、“经营收入”等以外的收入。</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用事业基金弥补收支差额</w:t>
      </w:r>
      <w:r>
        <w:rPr>
          <w:rFonts w:hint="eastAsia" w:ascii="宋体" w:hAnsi="宋体" w:eastAsia="宋体" w:cs="宋体"/>
          <w:color w:val="000000"/>
          <w:kern w:val="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年初结转和结余</w:t>
      </w:r>
      <w:r>
        <w:rPr>
          <w:rFonts w:hint="eastAsia" w:ascii="宋体" w:hAnsi="宋体" w:eastAsia="宋体" w:cs="宋体"/>
          <w:color w:val="000000"/>
          <w:kern w:val="2"/>
          <w:sz w:val="32"/>
          <w:szCs w:val="32"/>
        </w:rPr>
        <w:t>：指以前年度尚未完成、结转到本年按有关规定继续使用的资金。</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结余分配</w:t>
      </w:r>
      <w:r>
        <w:rPr>
          <w:rFonts w:hint="eastAsia" w:ascii="宋体" w:hAnsi="宋体" w:eastAsia="宋体" w:cs="宋体"/>
          <w:color w:val="000000"/>
          <w:kern w:val="2"/>
          <w:sz w:val="32"/>
          <w:szCs w:val="32"/>
        </w:rPr>
        <w:t>：指事业事位按规定从非财政补助结余中分配的事业基金和职工福利基金等。</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年末结转和结余</w:t>
      </w:r>
      <w:r>
        <w:rPr>
          <w:rFonts w:hint="eastAsia" w:ascii="宋体" w:hAnsi="宋体" w:eastAsia="宋体" w:cs="宋体"/>
          <w:color w:val="000000"/>
          <w:kern w:val="2"/>
          <w:sz w:val="32"/>
          <w:szCs w:val="32"/>
        </w:rPr>
        <w:t>：指本年度或以前年度预算安排、因客观条件发生变化无法按原计划实施，需要延迟到以后年度按有关规定继续使用的资金。</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基本支出</w:t>
      </w:r>
      <w:r>
        <w:rPr>
          <w:rFonts w:hint="eastAsia" w:ascii="宋体" w:hAnsi="宋体" w:eastAsia="宋体" w:cs="宋体"/>
          <w:color w:val="000000"/>
          <w:kern w:val="2"/>
          <w:sz w:val="32"/>
          <w:szCs w:val="32"/>
        </w:rPr>
        <w:t>：指为保障机构正常运转、完成日常工作任务而发生的人员支出和公用支出。</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项目支出</w:t>
      </w:r>
      <w:r>
        <w:rPr>
          <w:rFonts w:hint="eastAsia" w:ascii="宋体" w:hAnsi="宋体" w:eastAsia="宋体" w:cs="宋体"/>
          <w:color w:val="000000"/>
          <w:kern w:val="2"/>
          <w:sz w:val="32"/>
          <w:szCs w:val="32"/>
        </w:rPr>
        <w:t>：指在基本支出之外为完成特定行政任务和事业发展目标所发生的支出。</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经营支出</w:t>
      </w:r>
      <w:r>
        <w:rPr>
          <w:rFonts w:hint="eastAsia" w:ascii="宋体" w:hAnsi="宋体" w:eastAsia="宋体" w:cs="宋体"/>
          <w:color w:val="000000"/>
          <w:kern w:val="2"/>
          <w:sz w:val="32"/>
          <w:szCs w:val="32"/>
        </w:rPr>
        <w:t>：指事业单位在专业业务活动及其辅助活动之外开展非独立核算经营活动所发生的支出。</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“三公”经费</w:t>
      </w:r>
      <w:r>
        <w:rPr>
          <w:rFonts w:hint="eastAsia" w:ascii="宋体" w:hAnsi="宋体" w:eastAsia="宋体" w:cs="宋体"/>
          <w:color w:val="000000"/>
          <w:kern w:val="2"/>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eastAsia="宋体" w:cs="Times New Roman"/>
          <w:color w:val="000000"/>
          <w:kern w:val="2"/>
          <w:sz w:val="21"/>
          <w:szCs w:val="21"/>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2"/>
          <w:szCs w:val="32"/>
        </w:rPr>
        <w:t>机关运行经费</w:t>
      </w:r>
      <w:r>
        <w:rPr>
          <w:rFonts w:hint="eastAsia" w:ascii="宋体" w:hAnsi="宋体" w:eastAsia="宋体" w:cs="宋体"/>
          <w:color w:val="000000"/>
          <w:kern w:val="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eastAsia="宋体" w:cs="Times New Roman"/>
          <w:color w:val="000000"/>
          <w:kern w:val="2"/>
          <w:sz w:val="21"/>
          <w:szCs w:val="21"/>
        </w:rPr>
        <w:t xml:space="preserve"> </w:t>
      </w:r>
    </w:p>
    <w:p>
      <w:pPr>
        <w:keepNext w:val="0"/>
        <w:keepLines w:val="0"/>
        <w:widowControl/>
        <w:suppressLineNumbers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pStyle w:val="16"/>
        <w:spacing w:before="0" w:beforeAutospacing="0" w:after="2"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pStyle w:val="16"/>
        <w:spacing w:before="0" w:beforeAutospacing="0" w:after="2"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spacing w:after="2" w:afterAutospacing="0" w:line="336" w:lineRule="atLeast"/>
        <w:ind w:left="0" w:firstLine="643"/>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spacing w:after="2" w:afterAutospacing="0"/>
        <w:jc w:val="center"/>
        <w:rPr>
          <w:rFonts w:hint="default" w:ascii="Calibri" w:hAnsi="Calibri" w:eastAsia="宋体" w:cs="Times New Roman"/>
          <w:color w:val="000000"/>
          <w:kern w:val="2"/>
          <w:sz w:val="21"/>
          <w:szCs w:val="21"/>
        </w:rPr>
      </w:pPr>
      <w:r>
        <w:rPr>
          <w:rFonts w:hint="eastAsia" w:ascii="宋体" w:hAnsi="宋体" w:eastAsia="宋体" w:cs="宋体"/>
          <w:b/>
          <w:bCs/>
          <w:color w:val="000000"/>
          <w:kern w:val="2"/>
          <w:sz w:val="36"/>
          <w:szCs w:val="36"/>
        </w:rPr>
        <w:t>第五部分 附件</w:t>
      </w:r>
      <w:r>
        <w:rPr>
          <w:rFonts w:hint="default" w:ascii="Calibri" w:hAnsi="Calibri" w:eastAsia="宋体" w:cs="Times New Roman"/>
          <w:color w:val="000000"/>
          <w:kern w:val="2"/>
          <w:sz w:val="21"/>
          <w:szCs w:val="21"/>
        </w:rPr>
        <w:t xml:space="preserve"> </w:t>
      </w:r>
    </w:p>
    <w:p>
      <w:pPr>
        <w:spacing w:after="2" w:afterAutospacing="0"/>
        <w:jc w:val="center"/>
        <w:rPr>
          <w:rFonts w:hint="default" w:ascii="Calibri" w:hAnsi="Calibri" w:eastAsia="宋体" w:cs="Times New Roman"/>
          <w:kern w:val="2"/>
          <w:sz w:val="21"/>
          <w:szCs w:val="21"/>
        </w:rPr>
      </w:pPr>
      <w:r>
        <w:fldChar w:fldCharType="begin"/>
      </w:r>
      <w:r>
        <w:instrText xml:space="preserve"> HYPERLINK "http://10.105.94.22:9000/home/downloadAttachment?attachGUID=9c545352c23f4d9f8a66310508a04327" </w:instrText>
      </w:r>
      <w:r>
        <w:fldChar w:fldCharType="separate"/>
      </w:r>
      <w:r>
        <w:rPr>
          <w:rStyle w:val="12"/>
          <w:rFonts w:hint="eastAsia" w:ascii="宋体" w:hAnsi="宋体" w:eastAsia="宋体" w:cs="宋体"/>
          <w:color w:val="0000FF"/>
          <w:sz w:val="28"/>
          <w:szCs w:val="28"/>
          <w:u w:val="single"/>
          <w:shd w:val="clear" w:fill="FFFFFF"/>
        </w:rPr>
        <w:t>石鼓区民政局2021年度绩效评价报告.docx</w:t>
      </w:r>
      <w:r>
        <w:fldChar w:fldCharType="end"/>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p>
      <w:pPr>
        <w:spacing w:after="2" w:afterAutospacing="0"/>
        <w:jc w:val="center"/>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rPr>
        <w:t xml:space="preserve"> </w:t>
      </w: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12F17"/>
    <w:multiLevelType w:val="multilevel"/>
    <w:tmpl w:val="D9912F17"/>
    <w:lvl w:ilvl="0" w:tentative="0">
      <w:start w:val="1"/>
      <w:numFmt w:val="japaneseCounting"/>
      <w:lvlText w:val="（%1）"/>
      <w:lvlJc w:val="left"/>
      <w:pPr>
        <w:tabs>
          <w:tab w:val="left" w:pos="0"/>
        </w:tabs>
        <w:ind w:left="1721" w:hanging="1080"/>
      </w:pPr>
      <w:rPr>
        <w:rFonts w:hint="eastAsia" w:ascii="宋体" w:hAnsi="宋体" w:eastAsia="宋体" w:cs="宋体"/>
        <w:sz w:val="32"/>
        <w:szCs w:val="32"/>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4"/>
  <w:bordersDoNotSurroundHeader w:val="1"/>
  <w:bordersDoNotSurroundFooter w:val="1"/>
  <w:attachedTemplate r:id="rId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1c02043a-ed2a-4266-8545-7718d28fa12a"/>
  </w:docVars>
  <w:rsids>
    <w:rsidRoot w:val="10F6635A"/>
    <w:rsid w:val="10F6635A"/>
    <w:rsid w:val="1DD63CD8"/>
    <w:rsid w:val="53211E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2">
    <w:name w:val="Hyperlink"/>
    <w:basedOn w:val="11"/>
    <w:qFormat/>
    <w:uiPriority w:val="99"/>
    <w:rPr>
      <w:color w:val="0000FF"/>
      <w:u w:val="single"/>
    </w:rPr>
  </w:style>
  <w:style w:type="character" w:customStyle="1" w:styleId="13">
    <w:name w:val="17"/>
    <w:basedOn w:val="11"/>
    <w:qFormat/>
    <w:uiPriority w:val="0"/>
    <w:rPr>
      <w:rFonts w:hint="default" w:ascii="Times New Roman" w:hAnsi="Times New Roman" w:cs="Times New Roman"/>
      <w:color w:val="0000FF"/>
      <w:u w:val="single"/>
    </w:rPr>
  </w:style>
  <w:style w:type="paragraph" w:customStyle="1" w:styleId="14">
    <w:name w:val="HTML 预设格式 Char"/>
    <w:basedOn w:val="1"/>
    <w:hidden/>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10"/>
    <w:basedOn w:val="11"/>
    <w:qFormat/>
    <w:uiPriority w:val="0"/>
    <w:rPr>
      <w:rFonts w:hint="default" w:ascii="Times New Roman" w:hAnsi="Times New Roman" w:cs="Times New Roman"/>
    </w:rPr>
  </w:style>
  <w:style w:type="paragraph" w:customStyle="1" w:styleId="16">
    <w:name w:val="普通(网站) Char"/>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15"/>
    <w:basedOn w:val="11"/>
    <w:qFormat/>
    <w:uiPriority w:val="0"/>
    <w:rPr>
      <w:rFonts w:hint="default" w:ascii="Times New Roman" w:hAnsi="Times New Roman" w:cs="Times New Roman"/>
      <w:color w:val="800080"/>
      <w:u w:val="single"/>
    </w:rPr>
  </w:style>
  <w:style w:type="paragraph" w:customStyle="1" w:styleId="18">
    <w:name w:val="18"/>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character" w:customStyle="1" w:styleId="19">
    <w:name w:val="16"/>
    <w:basedOn w:val="11"/>
    <w:qFormat/>
    <w:uiPriority w:val="0"/>
    <w:rPr>
      <w:rFonts w:hint="default" w:ascii="Times New Roman" w:hAnsi="Times New Roman" w:cs="Times New Roman"/>
      <w:b/>
    </w:rPr>
  </w:style>
  <w:style w:type="paragraph" w:customStyle="1" w:styleId="20">
    <w:name w:val="171"/>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665;&#25919;21&#20915;&#31639;&#20844;&#24320;&#35828;&#2612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民政21决算公开说明.dotx</Template>
  <Pages>26</Pages>
  <Words>12557</Words>
  <Characters>15976</Characters>
  <Lines>143</Lines>
  <Paragraphs>40</Paragraphs>
  <TotalTime>0</TotalTime>
  <ScaleCrop>false</ScaleCrop>
  <LinksUpToDate>false</LinksUpToDate>
  <CharactersWithSpaces>17396</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2023-09-27T02:34:00Z</dcterms:created>
  <dc:creator>WPS_1665736227</dc:creator>
  <cp:lastModifiedBy>蒋阔</cp:lastModifiedBy>
  <dcterms:modified xsi:type="dcterms:W3CDTF">2025-02-20T09:20:38Z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A73DD6FE5A8A4F4AA503535BB43AE08D_11</vt:lpwstr>
  </property>
</Properties>
</file>