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0" w:beforeAutospacing="0" w:after="2" w:afterAutospacing="0"/>
        <w:jc w:val="center"/>
      </w:pPr>
      <w:r>
        <w:rPr>
          <w:rFonts w:ascii="宋体" w:hAnsi="宋体" w:eastAsia="宋体" w:cs="宋体"/>
          <w:color w:val="000000"/>
          <w:sz w:val="44"/>
          <w:szCs w:val="44"/>
        </w:rPr>
        <w:t>2021年度石鼓区卫生计生综合监督执法局部门决算</w:t>
      </w:r>
      <w:r>
        <w:rPr>
          <w:color w:val="000000"/>
        </w:rPr>
        <w:t xml:space="preserve"> </w:t>
      </w:r>
    </w:p>
    <w:p>
      <w:pPr>
        <w:spacing w:before="0" w:beforeAutospacing="0" w:after="2" w:afterAutospacing="0"/>
        <w:jc w:val="center"/>
        <w:rPr>
          <w:sz w:val="21"/>
          <w:szCs w:val="21"/>
        </w:rPr>
      </w:pPr>
      <w:r>
        <w:rPr>
          <w:color w:val="000000"/>
          <w:sz w:val="32"/>
          <w:szCs w:val="32"/>
        </w:rPr>
        <w:t> </w:t>
      </w:r>
      <w:r>
        <w:rPr>
          <w:color w:val="000000"/>
          <w:sz w:val="21"/>
          <w:szCs w:val="21"/>
        </w:rPr>
        <w:t xml:space="preserve"> </w:t>
      </w:r>
    </w:p>
    <w:p>
      <w:pPr>
        <w:spacing w:before="0" w:beforeAutospacing="0" w:after="2" w:afterAutospacing="0"/>
        <w:jc w:val="center"/>
        <w:rPr>
          <w:rFonts w:hint="eastAsia" w:ascii="宋体" w:hAnsi="宋体" w:eastAsia="宋体" w:cs="宋体"/>
          <w:sz w:val="21"/>
          <w:szCs w:val="21"/>
        </w:rPr>
      </w:pPr>
      <w:r>
        <w:rPr>
          <w:rFonts w:hint="eastAsia" w:ascii="宋体" w:hAnsi="宋体" w:eastAsia="宋体" w:cs="宋体"/>
          <w:color w:val="000000"/>
          <w:sz w:val="32"/>
          <w:szCs w:val="32"/>
        </w:rPr>
        <w:t>目 录</w:t>
      </w:r>
      <w:r>
        <w:rPr>
          <w:rFonts w:hint="eastAsia" w:ascii="宋体" w:hAnsi="宋体" w:eastAsia="宋体" w:cs="宋体"/>
          <w:color w:val="000000"/>
          <w:sz w:val="21"/>
          <w:szCs w:val="21"/>
        </w:rPr>
        <w:t xml:space="preserve"> </w:t>
      </w:r>
    </w:p>
    <w:p>
      <w:pPr>
        <w:spacing w:before="0" w:beforeAutospacing="0" w:after="2" w:afterAutospacing="0"/>
        <w:jc w:val="center"/>
        <w:rPr>
          <w:sz w:val="21"/>
          <w:szCs w:val="21"/>
        </w:rPr>
      </w:pP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第一部分 石鼓区卫生计生综合监督执法局概况</w:t>
      </w:r>
      <w:r>
        <w:rPr>
          <w:color w:val="000000"/>
          <w:sz w:val="27"/>
          <w:szCs w:val="27"/>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一、部门职责</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二、机构设置</w:t>
      </w:r>
      <w:r>
        <w:rPr>
          <w:color w:val="000000"/>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第二部分 2021年度部门决算表</w:t>
      </w:r>
      <w:r>
        <w:rPr>
          <w:color w:val="000000"/>
          <w:sz w:val="27"/>
          <w:szCs w:val="27"/>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一、收入支出决算总表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二、收入决算表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三、支出决算表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四、财政拨款收入支出决算总表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五、一般公共预算财政拨款支出决算表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六、一般公共预算财政拨款基本支出决算明细表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七、一般公共预算财政拨款“三公”经费支出决算表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八、政府性基金预算财政拨款收入支出决算表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九、国有资本经营预算财政拨款支出决算表</w:t>
      </w:r>
      <w:r>
        <w:rPr>
          <w:color w:val="000000"/>
        </w:rPr>
        <w:t xml:space="preserve"> </w:t>
      </w:r>
    </w:p>
    <w:p>
      <w:pPr>
        <w:pStyle w:val="14"/>
        <w:spacing w:before="0" w:beforeAutospacing="0" w:after="2" w:afterAutospacing="0"/>
        <w:ind w:left="0" w:firstLine="700"/>
      </w:pPr>
      <w:r>
        <w:rPr>
          <w:rFonts w:hint="eastAsia" w:ascii="宋体" w:hAnsi="宋体" w:eastAsia="宋体" w:cs="宋体"/>
          <w:b/>
          <w:bCs/>
          <w:color w:val="000000"/>
          <w:sz w:val="32"/>
          <w:szCs w:val="32"/>
        </w:rPr>
        <w:t>第三部分 2021年度部门决算情况说明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一、收入支出决算总体情况说明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二、收入决算情况说明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三、支出决算情况说明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四、财政拨款收入支出决算总体情况说明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五、一般公共预算财政拨款支出决算情况说明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六、一般公共预算财政拨款基本支出决算情况说明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七、一般公共预算财政拨款“三公”经费支出决算情况说明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八、政府性基金预算收入支出决算情况</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九、机关运行经费支出说明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十、一般性支出情况</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十一、政府采购支出说明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十二、国有资产占用情况说明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十三、2021年度预算绩效情况的说明</w:t>
      </w:r>
      <w:r>
        <w:rPr>
          <w:color w:val="000000"/>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第四部分 名词解释</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第五部分 附件</w:t>
      </w:r>
      <w:r>
        <w:rPr>
          <w:color w:val="000000"/>
          <w:sz w:val="27"/>
          <w:szCs w:val="27"/>
        </w:rPr>
        <w:t xml:space="preserve"> </w:t>
      </w:r>
    </w:p>
    <w:p/>
    <w:p/>
    <w:p/>
    <w:p/>
    <w:p/>
    <w:p>
      <w:pPr>
        <w:spacing w:before="0" w:beforeAutospacing="0" w:after="2" w:afterAutospacing="0" w:line="600" w:lineRule="atLeast"/>
        <w:ind w:left="0" w:right="0"/>
        <w:jc w:val="center"/>
        <w:rPr>
          <w:sz w:val="21"/>
          <w:szCs w:val="21"/>
        </w:rPr>
      </w:pPr>
      <w:r>
        <w:rPr>
          <w:rFonts w:hint="eastAsia" w:ascii="宋体" w:hAnsi="宋体" w:eastAsia="宋体" w:cs="宋体"/>
          <w:b/>
          <w:bCs/>
          <w:color w:val="000000"/>
          <w:sz w:val="36"/>
          <w:szCs w:val="36"/>
        </w:rPr>
        <w:t>第一部分 石鼓区卫生计生综合监督执法局概况</w:t>
      </w:r>
      <w:r>
        <w:rPr>
          <w:b/>
          <w:bCs/>
          <w:color w:val="000000"/>
          <w:sz w:val="21"/>
          <w:szCs w:val="21"/>
        </w:rPr>
        <w:t xml:space="preserve"> </w:t>
      </w:r>
    </w:p>
    <w:p>
      <w:pPr>
        <w:pStyle w:val="9"/>
        <w:keepNext w:val="0"/>
        <w:keepLines w:val="0"/>
        <w:widowControl/>
        <w:suppressLineNumbers w:val="0"/>
        <w:spacing w:before="0" w:beforeAutospacing="0" w:after="2" w:afterAutospacing="0"/>
      </w:pPr>
    </w:p>
    <w:p>
      <w:pPr>
        <w:pStyle w:val="9"/>
        <w:keepNext w:val="0"/>
        <w:keepLines w:val="0"/>
        <w:widowControl/>
        <w:suppressLineNumbers w:val="0"/>
        <w:spacing w:before="0" w:beforeAutospacing="0" w:after="2" w:afterAutospacing="0"/>
        <w:ind w:left="0" w:right="0" w:firstLine="0"/>
      </w:pPr>
      <w:r>
        <w:rPr>
          <w:rFonts w:ascii="黑体" w:hAnsi="宋体" w:eastAsia="黑体" w:cs="黑体"/>
          <w:color w:val="000000"/>
          <w:sz w:val="32"/>
          <w:szCs w:val="32"/>
        </w:rPr>
        <w:t> </w:t>
      </w:r>
      <w:r>
        <w:rPr>
          <w:color w:val="000000"/>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一、部门职责</w:t>
      </w:r>
      <w:r>
        <w:rPr>
          <w:color w:val="000000"/>
          <w:sz w:val="27"/>
          <w:szCs w:val="27"/>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（一）贯彻执行国家、省、市卫生和计划生育法律、法规、规章，按照全市卫生计生综合监督执法下达的年度工作规划、年度计划组织实施。</w:t>
      </w:r>
      <w:r>
        <w:rPr>
          <w:color w:val="000000"/>
          <w:sz w:val="32"/>
          <w:szCs w:val="32"/>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（二）负责实施卫生计生工作专项整治和日常监督检查；对公共场所卫生、生活饮用水卫生、学校卫生及消毒产品和涉及饮用水安全产品进行监督检查。</w:t>
      </w:r>
      <w:r>
        <w:rPr>
          <w:color w:val="000000"/>
          <w:sz w:val="32"/>
          <w:szCs w:val="32"/>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三）负责对医疗机构、采供血机构及其从业人员的执业活动进行监督检查，查处违法行为；打击非法行医和非法采供血；整顿和规范医疗服务秩序；对医疗卫生机构的放射诊疗、职业健康检查和职业病诊断工作进行监督检查，查处违法行为，对医疗机构、采供血机构、疾病预防控制机构的传染病疫情报告、疫情控制措施、消毒隔离制度执行情况、医疗废物处置情况和菌（毒）种管理情况等进行监督检查，查处违法行为。</w:t>
      </w:r>
      <w:r>
        <w:rPr>
          <w:color w:val="000000"/>
          <w:sz w:val="32"/>
          <w:szCs w:val="32"/>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（四）负责对母婴保健机构、计划生育技术服务机构服务内容和从业人员的行为规范进行监督，依法打击“两非“行为。</w:t>
      </w:r>
      <w:r>
        <w:rPr>
          <w:color w:val="000000"/>
          <w:sz w:val="32"/>
          <w:szCs w:val="32"/>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（五）负责受理对有关卫生和计划生育的投诉、举报。</w:t>
      </w:r>
      <w:r>
        <w:rPr>
          <w:color w:val="000000"/>
          <w:sz w:val="32"/>
          <w:szCs w:val="32"/>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（六）负责区级卫生计生监督信息平台运行管理；负责组织和落实上级卫生计生监督执法信息汇总、核实、分析、上报工作。</w:t>
      </w:r>
      <w:r>
        <w:rPr>
          <w:color w:val="000000"/>
          <w:sz w:val="32"/>
          <w:szCs w:val="32"/>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（七）承办区卫健委局交办的其他事项。</w:t>
      </w:r>
      <w:r>
        <w:rPr>
          <w:color w:val="000000"/>
          <w:sz w:val="32"/>
          <w:szCs w:val="32"/>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二、机构设置及决算单位构成</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（一）内设机构设置</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    石鼓区卫生计生综合监督执法局内设机构包括：</w:t>
      </w:r>
      <w:r>
        <w:rPr>
          <w:rFonts w:ascii="宋体" w:hAnsi="宋体" w:eastAsia="宋体" w:cs="宋体"/>
          <w:color w:val="000000"/>
          <w:sz w:val="32"/>
          <w:szCs w:val="32"/>
        </w:rPr>
        <w:t>本部门共有编制人数25人，实有编制人数5人，临聘人员4人。内设股室分别为办公室、组织人事科、计财科、卫生监督稽查与信息科、医疗卫生监督科、传染病防治与学校卫生监督科、公共场所卫生监督科、职业与放射卫生监督科、计划生育监督科、信息科。</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（二）决算单位构成</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    </w:t>
      </w:r>
      <w:r>
        <w:rPr>
          <w:rFonts w:ascii="宋体" w:hAnsi="宋体" w:eastAsia="宋体" w:cs="宋体"/>
          <w:color w:val="000000"/>
          <w:sz w:val="32"/>
          <w:szCs w:val="32"/>
        </w:rPr>
        <w:t>石鼓区卫生计生综合监督执法局2021年部门决算汇总公开单位构成包括：石鼓区卫生计生综合监督执法局本级。</w:t>
      </w:r>
      <w:r>
        <w:rPr>
          <w:color w:val="000000"/>
          <w:sz w:val="27"/>
          <w:szCs w:val="27"/>
        </w:rPr>
        <w:t xml:space="preserve"> </w:t>
      </w:r>
    </w:p>
    <w:p>
      <w:pPr>
        <w:rPr>
          <w:color w:val="000000"/>
          <w:sz w:val="32"/>
          <w:szCs w:val="32"/>
        </w:rPr>
        <w:sectPr>
          <w:pgSz w:w="11906" w:h="16838" w:orient="landscape"/>
          <w:pgMar w:top="1440" w:right="1080" w:bottom="1440" w:left="1080" w:header="851" w:footer="992" w:gutter="0"/>
          <w:cols w:space="0" w:num="1"/>
          <w:docGrid w:type="lines" w:linePitch="160" w:charSpace="0"/>
        </w:sectPr>
      </w:pPr>
    </w:p>
    <w:p>
      <w:pPr>
        <w:spacing w:before="0" w:beforeAutospacing="0" w:after="2" w:afterAutospacing="0"/>
        <w:ind w:left="0" w:firstLine="721"/>
        <w:jc w:val="center"/>
        <w:rPr>
          <w:sz w:val="21"/>
          <w:szCs w:val="21"/>
        </w:rPr>
      </w:pPr>
    </w:p>
    <w:p>
      <w:pPr>
        <w:spacing w:before="0" w:beforeAutospacing="0" w:after="2" w:afterAutospacing="0"/>
        <w:ind w:left="0" w:firstLine="721"/>
        <w:jc w:val="center"/>
        <w:rPr>
          <w:sz w:val="21"/>
          <w:szCs w:val="21"/>
        </w:rPr>
      </w:pPr>
      <w:r>
        <w:rPr>
          <w:rFonts w:hint="eastAsia" w:ascii="宋体" w:hAnsi="宋体" w:eastAsia="宋体" w:cs="宋体"/>
          <w:b/>
          <w:bCs/>
          <w:color w:val="000000"/>
          <w:sz w:val="36"/>
          <w:szCs w:val="36"/>
        </w:rPr>
        <w:t>第二部分 2021年度部门决算表</w:t>
      </w:r>
      <w:r>
        <w:rPr>
          <w:color w:val="000000"/>
          <w:sz w:val="21"/>
          <w:szCs w:val="21"/>
        </w:rPr>
        <w:t xml:space="preserve"> </w:t>
      </w:r>
    </w:p>
    <w:p>
      <w:pPr>
        <w:pStyle w:val="9"/>
        <w:keepNext w:val="0"/>
        <w:keepLines w:val="0"/>
        <w:widowControl/>
        <w:suppressLineNumbers w:val="0"/>
        <w:spacing w:before="0" w:beforeAutospacing="0" w:after="2" w:afterAutospacing="0"/>
      </w:pPr>
    </w:p>
    <w:p>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802"/>
        <w:gridCol w:w="648"/>
        <w:gridCol w:w="2569"/>
        <w:gridCol w:w="4802"/>
        <w:gridCol w:w="648"/>
        <w:gridCol w:w="2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6"/>
            <w:shd w:val="clear" w:color="auto" w:fill="auto"/>
            <w:vAlign w:val="center"/>
          </w:tcPr>
          <w:p>
            <w:pPr>
              <w:pStyle w:val="9"/>
              <w:keepNext w:val="0"/>
              <w:keepLines w:val="0"/>
              <w:widowControl/>
              <w:suppressLineNumbers w:val="0"/>
              <w:jc w:val="center"/>
            </w:pPr>
            <w:r>
              <w:rPr>
                <w:b w:val="0"/>
                <w:bCs w:val="0"/>
                <w:sz w:val="40"/>
                <w:szCs w:val="40"/>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shd w:val="clear" w:color="auto" w:fill="auto"/>
            <w:vAlign w:val="center"/>
          </w:tcPr>
          <w:p>
            <w:pPr>
              <w:rPr>
                <w:rFonts w:hint="eastAsia" w:ascii="宋体"/>
                <w:b w:val="0"/>
                <w:bCs w:val="0"/>
                <w:sz w:val="22"/>
                <w:szCs w:val="22"/>
              </w:rPr>
            </w:pPr>
          </w:p>
        </w:tc>
        <w:tc>
          <w:tcPr>
            <w:tcW w:w="202" w:type="pct"/>
            <w:shd w:val="clear" w:color="auto" w:fill="auto"/>
            <w:vAlign w:val="center"/>
          </w:tcPr>
          <w:p>
            <w:pPr>
              <w:rPr>
                <w:rFonts w:hint="eastAsia" w:ascii="宋体"/>
                <w:b w:val="0"/>
                <w:bCs w:val="0"/>
                <w:sz w:val="22"/>
                <w:szCs w:val="22"/>
              </w:rPr>
            </w:pPr>
          </w:p>
        </w:tc>
        <w:tc>
          <w:tcPr>
            <w:tcW w:w="799" w:type="pct"/>
            <w:shd w:val="clear" w:color="auto" w:fill="auto"/>
            <w:vAlign w:val="center"/>
          </w:tcPr>
          <w:p>
            <w:pPr>
              <w:rPr>
                <w:rFonts w:hint="eastAsia" w:ascii="宋体"/>
                <w:b w:val="0"/>
                <w:bCs w:val="0"/>
                <w:sz w:val="22"/>
                <w:szCs w:val="22"/>
              </w:rPr>
            </w:pPr>
          </w:p>
        </w:tc>
        <w:tc>
          <w:tcPr>
            <w:tcW w:w="1497" w:type="pct"/>
            <w:shd w:val="clear" w:color="auto" w:fill="auto"/>
            <w:vAlign w:val="center"/>
          </w:tcPr>
          <w:p>
            <w:pPr>
              <w:rPr>
                <w:rFonts w:hint="eastAsia" w:ascii="宋体"/>
                <w:b w:val="0"/>
                <w:bCs w:val="0"/>
                <w:sz w:val="22"/>
                <w:szCs w:val="22"/>
              </w:rPr>
            </w:pPr>
          </w:p>
        </w:tc>
        <w:tc>
          <w:tcPr>
            <w:tcW w:w="1002" w:type="pct"/>
            <w:gridSpan w:val="2"/>
            <w:shd w:val="clear" w:color="auto" w:fill="auto"/>
            <w:vAlign w:val="center"/>
          </w:tcPr>
          <w:p>
            <w:pPr>
              <w:pStyle w:val="9"/>
              <w:keepNext w:val="0"/>
              <w:keepLines w:val="0"/>
              <w:widowControl/>
              <w:suppressLineNumbers w:val="0"/>
              <w:jc w:val="right"/>
            </w:pPr>
            <w:r>
              <w:rPr>
                <w:b w:val="0"/>
                <w:bCs w:val="0"/>
                <w:sz w:val="20"/>
                <w:szCs w:val="2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997" w:type="pct"/>
            <w:gridSpan w:val="4"/>
            <w:shd w:val="clear" w:color="auto" w:fill="auto"/>
            <w:vAlign w:val="center"/>
          </w:tcPr>
          <w:p>
            <w:pPr>
              <w:pStyle w:val="9"/>
              <w:keepNext w:val="0"/>
              <w:keepLines w:val="0"/>
              <w:widowControl/>
              <w:suppressLineNumbers w:val="0"/>
              <w:jc w:val="left"/>
            </w:pPr>
            <w:r>
              <w:rPr>
                <w:b w:val="0"/>
                <w:bCs w:val="0"/>
                <w:sz w:val="22"/>
                <w:szCs w:val="22"/>
              </w:rPr>
              <w:t>部门：石鼓区卫生计生综合监督执法局</w:t>
            </w:r>
          </w:p>
        </w:tc>
        <w:tc>
          <w:tcPr>
            <w:tcW w:w="1002" w:type="pct"/>
            <w:gridSpan w:val="2"/>
            <w:shd w:val="clear" w:color="auto" w:fill="auto"/>
            <w:vAlign w:val="center"/>
          </w:tcPr>
          <w:p>
            <w:pPr>
              <w:pStyle w:val="9"/>
              <w:keepNext w:val="0"/>
              <w:keepLines w:val="0"/>
              <w:widowControl/>
              <w:suppressLineNumbers w:val="0"/>
              <w:jc w:val="right"/>
            </w:pPr>
            <w:r>
              <w:rPr>
                <w:b w:val="0"/>
                <w:bCs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500"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收入</w:t>
            </w:r>
          </w:p>
        </w:tc>
        <w:tc>
          <w:tcPr>
            <w:tcW w:w="2500"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项目</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行次</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金额</w:t>
            </w: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项目</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行次</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栏次</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w:t>
            </w: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栏次</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一、一般公共预算财政拨款收入</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107.58</w:t>
            </w: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一、一般公共服务支出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32</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二、政府性基金预算财政拨款收入</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2</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二、外交支出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33</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三、国有资本经营预算财政拨款收入</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三、国防支出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34</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四、上级补助收入</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4</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四、公共安全支出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35</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五、事业收入</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5</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五、教育支出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36</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六、经营收入</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6</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六、科学技术支出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37</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七、附属单位上缴收入</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7</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七、文化旅游体育与传媒支出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38</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八、其他收入</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8</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12.22</w:t>
            </w: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八、社会保障和就业支出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39</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9</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九、卫生健康支出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40</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10</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十、节能环保支出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41</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11</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十一、城乡社区支出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42</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12</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十二、农林水支出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43</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13</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十三、交通运输支出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44</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14</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十四、资源勘探工业信息等支出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45</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15</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十五、商业服务业等支出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46</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16</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十六、金融支出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47</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17</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十七、援助其他地区支出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48</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18</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十八、自然资源海洋气象等支出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49</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19</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十九、住房保障支出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50</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20</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二十、粮油物资储备支出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51</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21</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二十一、国有资本经营预算支出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52</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22</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二十二、灾害防治及应急管理支出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53</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23</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二十三、其他支出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54</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bCs/>
                <w:sz w:val="20"/>
                <w:szCs w:val="20"/>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0"/>
                <w:szCs w:val="20"/>
              </w:rPr>
              <w:t>24</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0"/>
                <w:szCs w:val="20"/>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二十四、债务还本支出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55</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0"/>
                <w:szCs w:val="20"/>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0"/>
                <w:szCs w:val="20"/>
              </w:rPr>
              <w:t>25</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0"/>
                <w:szCs w:val="20"/>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二十五、债务付息支出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56</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0"/>
                <w:szCs w:val="20"/>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0"/>
                <w:szCs w:val="20"/>
              </w:rPr>
              <w:t>26</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0"/>
                <w:szCs w:val="20"/>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二十六、抗疫特别国债安排的支出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57</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bCs/>
                <w:sz w:val="22"/>
                <w:szCs w:val="22"/>
              </w:rPr>
              <w:t>本年收入合计</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27</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119.80</w:t>
            </w: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bCs/>
                <w:sz w:val="22"/>
                <w:szCs w:val="22"/>
              </w:rPr>
              <w:t>本年支出合计</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58</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113.68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使用非财政拨款结余</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28</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结余分配</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59</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年初结转和结余</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29</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年末结转和结余</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60</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30</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61</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bCs/>
                <w:sz w:val="22"/>
                <w:szCs w:val="22"/>
              </w:rPr>
              <w:t>总计</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31</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119.80</w:t>
            </w: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bCs/>
                <w:sz w:val="22"/>
                <w:szCs w:val="22"/>
              </w:rPr>
              <w:t>总计</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62</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119.80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6"/>
            <w:shd w:val="clear" w:color="auto" w:fill="auto"/>
            <w:vAlign w:val="center"/>
          </w:tcPr>
          <w:p>
            <w:pPr>
              <w:pStyle w:val="9"/>
              <w:keepNext w:val="0"/>
              <w:keepLines w:val="0"/>
              <w:widowControl/>
              <w:suppressLineNumbers w:val="0"/>
              <w:jc w:val="left"/>
            </w:pPr>
            <w:r>
              <w:rPr>
                <w:b w:val="0"/>
                <w:bCs w:val="0"/>
                <w:sz w:val="22"/>
                <w:szCs w:val="22"/>
              </w:rPr>
              <w:t>注：本表反映部门本年度的总收支和年末结转结余情况。本表金额转换为万元时，因四舍五入可能存在尾数误差。</w:t>
            </w:r>
          </w:p>
        </w:tc>
      </w:tr>
    </w:tbl>
    <w:p>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62"/>
        <w:gridCol w:w="362"/>
        <w:gridCol w:w="362"/>
        <w:gridCol w:w="3192"/>
        <w:gridCol w:w="2175"/>
        <w:gridCol w:w="1594"/>
        <w:gridCol w:w="1594"/>
        <w:gridCol w:w="1594"/>
        <w:gridCol w:w="1607"/>
        <w:gridCol w:w="1594"/>
        <w:gridCol w:w="1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11"/>
            <w:shd w:val="clear" w:color="auto" w:fill="auto"/>
            <w:vAlign w:val="center"/>
          </w:tcPr>
          <w:p>
            <w:pPr>
              <w:pStyle w:val="9"/>
              <w:keepNext w:val="0"/>
              <w:keepLines w:val="0"/>
              <w:widowControl/>
              <w:suppressLineNumbers w:val="0"/>
              <w:jc w:val="center"/>
            </w:pPr>
            <w:r>
              <w:rPr>
                <w:b w:val="0"/>
                <w:bCs w:val="0"/>
                <w:sz w:val="40"/>
                <w:szCs w:val="40"/>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13" w:type="pct"/>
            <w:shd w:val="clear" w:color="auto" w:fill="auto"/>
            <w:vAlign w:val="center"/>
          </w:tcPr>
          <w:p>
            <w:pPr>
              <w:rPr>
                <w:rFonts w:hint="eastAsia" w:ascii="宋体"/>
                <w:b w:val="0"/>
                <w:bCs w:val="0"/>
                <w:sz w:val="22"/>
                <w:szCs w:val="22"/>
              </w:rPr>
            </w:pPr>
          </w:p>
        </w:tc>
        <w:tc>
          <w:tcPr>
            <w:tcW w:w="113" w:type="pct"/>
            <w:shd w:val="clear" w:color="auto" w:fill="auto"/>
            <w:vAlign w:val="center"/>
          </w:tcPr>
          <w:p>
            <w:pPr>
              <w:rPr>
                <w:rFonts w:hint="eastAsia" w:ascii="宋体"/>
                <w:b w:val="0"/>
                <w:bCs w:val="0"/>
                <w:sz w:val="22"/>
                <w:szCs w:val="22"/>
              </w:rPr>
            </w:pPr>
          </w:p>
        </w:tc>
        <w:tc>
          <w:tcPr>
            <w:tcW w:w="113" w:type="pct"/>
            <w:shd w:val="clear" w:color="auto" w:fill="auto"/>
            <w:vAlign w:val="center"/>
          </w:tcPr>
          <w:p>
            <w:pPr>
              <w:rPr>
                <w:rFonts w:hint="eastAsia" w:ascii="宋体"/>
                <w:b w:val="0"/>
                <w:bCs w:val="0"/>
                <w:sz w:val="22"/>
                <w:szCs w:val="22"/>
              </w:rPr>
            </w:pPr>
          </w:p>
        </w:tc>
        <w:tc>
          <w:tcPr>
            <w:tcW w:w="995" w:type="pct"/>
            <w:shd w:val="clear" w:color="auto" w:fill="auto"/>
            <w:vAlign w:val="center"/>
          </w:tcPr>
          <w:p>
            <w:pPr>
              <w:rPr>
                <w:rFonts w:hint="eastAsia" w:ascii="宋体"/>
                <w:b w:val="0"/>
                <w:bCs w:val="0"/>
                <w:sz w:val="22"/>
                <w:szCs w:val="22"/>
              </w:rPr>
            </w:pPr>
          </w:p>
        </w:tc>
        <w:tc>
          <w:tcPr>
            <w:tcW w:w="678" w:type="pct"/>
            <w:shd w:val="clear" w:color="auto" w:fill="auto"/>
            <w:vAlign w:val="center"/>
          </w:tcPr>
          <w:p>
            <w:pPr>
              <w:rPr>
                <w:rFonts w:hint="eastAsia" w:ascii="宋体"/>
                <w:b w:val="0"/>
                <w:bCs w:val="0"/>
                <w:sz w:val="22"/>
                <w:szCs w:val="22"/>
              </w:rPr>
            </w:pPr>
          </w:p>
        </w:tc>
        <w:tc>
          <w:tcPr>
            <w:tcW w:w="497" w:type="pct"/>
            <w:shd w:val="clear" w:color="auto" w:fill="auto"/>
            <w:vAlign w:val="center"/>
          </w:tcPr>
          <w:p>
            <w:pPr>
              <w:rPr>
                <w:rFonts w:hint="eastAsia" w:ascii="宋体"/>
                <w:b w:val="0"/>
                <w:bCs w:val="0"/>
                <w:sz w:val="22"/>
                <w:szCs w:val="22"/>
              </w:rPr>
            </w:pPr>
          </w:p>
        </w:tc>
        <w:tc>
          <w:tcPr>
            <w:tcW w:w="497" w:type="pct"/>
            <w:shd w:val="clear" w:color="auto" w:fill="auto"/>
            <w:vAlign w:val="center"/>
          </w:tcPr>
          <w:p>
            <w:pPr>
              <w:rPr>
                <w:rFonts w:hint="eastAsia" w:ascii="宋体"/>
                <w:b w:val="0"/>
                <w:bCs w:val="0"/>
                <w:sz w:val="22"/>
                <w:szCs w:val="22"/>
              </w:rPr>
            </w:pPr>
          </w:p>
        </w:tc>
        <w:tc>
          <w:tcPr>
            <w:tcW w:w="497" w:type="pct"/>
            <w:shd w:val="clear" w:color="auto" w:fill="auto"/>
            <w:vAlign w:val="center"/>
          </w:tcPr>
          <w:p>
            <w:pPr>
              <w:rPr>
                <w:rFonts w:hint="eastAsia" w:ascii="宋体"/>
                <w:b w:val="0"/>
                <w:bCs w:val="0"/>
                <w:sz w:val="22"/>
                <w:szCs w:val="22"/>
              </w:rPr>
            </w:pPr>
          </w:p>
        </w:tc>
        <w:tc>
          <w:tcPr>
            <w:tcW w:w="497" w:type="pct"/>
            <w:shd w:val="clear" w:color="auto" w:fill="auto"/>
            <w:vAlign w:val="center"/>
          </w:tcPr>
          <w:p>
            <w:pPr>
              <w:rPr>
                <w:rFonts w:hint="eastAsia" w:ascii="宋体"/>
                <w:b w:val="0"/>
                <w:bCs w:val="0"/>
                <w:sz w:val="22"/>
                <w:szCs w:val="22"/>
              </w:rPr>
            </w:pPr>
          </w:p>
        </w:tc>
        <w:tc>
          <w:tcPr>
            <w:tcW w:w="995" w:type="pct"/>
            <w:gridSpan w:val="2"/>
            <w:shd w:val="clear" w:color="auto" w:fill="auto"/>
            <w:vAlign w:val="center"/>
          </w:tcPr>
          <w:p>
            <w:pPr>
              <w:pStyle w:val="9"/>
              <w:keepNext w:val="0"/>
              <w:keepLines w:val="0"/>
              <w:widowControl/>
              <w:suppressLineNumbers w:val="0"/>
              <w:jc w:val="right"/>
            </w:pPr>
            <w:r>
              <w:rPr>
                <w:b w:val="0"/>
                <w:bCs w:val="0"/>
                <w:sz w:val="20"/>
                <w:szCs w:val="2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004" w:type="pct"/>
            <w:gridSpan w:val="9"/>
            <w:shd w:val="clear" w:color="auto" w:fill="auto"/>
            <w:vAlign w:val="center"/>
          </w:tcPr>
          <w:p>
            <w:pPr>
              <w:pStyle w:val="9"/>
              <w:keepNext w:val="0"/>
              <w:keepLines w:val="0"/>
              <w:widowControl/>
              <w:suppressLineNumbers w:val="0"/>
              <w:jc w:val="left"/>
            </w:pPr>
            <w:r>
              <w:rPr>
                <w:b w:val="0"/>
                <w:bCs w:val="0"/>
                <w:sz w:val="22"/>
                <w:szCs w:val="22"/>
              </w:rPr>
              <w:t>部门：石鼓区卫生计生综合监督执法局</w:t>
            </w:r>
          </w:p>
        </w:tc>
        <w:tc>
          <w:tcPr>
            <w:tcW w:w="995" w:type="pct"/>
            <w:gridSpan w:val="2"/>
            <w:shd w:val="clear" w:color="auto" w:fill="auto"/>
            <w:vAlign w:val="center"/>
          </w:tcPr>
          <w:p>
            <w:pPr>
              <w:pStyle w:val="9"/>
              <w:keepNext w:val="0"/>
              <w:keepLines w:val="0"/>
              <w:widowControl/>
              <w:suppressLineNumbers w:val="0"/>
              <w:jc w:val="right"/>
            </w:pPr>
            <w:r>
              <w:rPr>
                <w:b w:val="0"/>
                <w:bCs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334"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项目</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本年收入合计</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财政拨款收入</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上级补助收入</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事业收入</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经营收入</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附属单位上缴收入</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功能分类科目编码</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科目名称</w:t>
            </w: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334"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栏次</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2</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4</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5</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6</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334"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合计</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119.80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107.58</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bCs/>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bCs/>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bCs/>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bCs/>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12.22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208</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社会保障和就业支出</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6.84</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6.84</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20805</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行政事业单位养老支出</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6.84</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6.84</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2080505</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机关事业单位基本养老保险缴费支出</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6.84</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6.84</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210</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卫生健康支出</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108.07</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95.85</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21004</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公共卫生</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104.53</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92.31</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2100402</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卫生监督机构</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104.53</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92.31</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21011</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行政事业单位医疗</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3.54</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3.54</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2101102</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事业单位医疗</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3.54</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3.54</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221</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住房保障支出</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4.88</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4.88</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22102</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住房改革支出</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4.88</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4.88</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2210201</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住房公积金</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4.88</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4.88</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11"/>
            <w:shd w:val="clear" w:color="auto" w:fill="auto"/>
            <w:vAlign w:val="center"/>
          </w:tcPr>
          <w:p>
            <w:pPr>
              <w:pStyle w:val="9"/>
              <w:keepNext w:val="0"/>
              <w:keepLines w:val="0"/>
              <w:widowControl/>
              <w:suppressLineNumbers w:val="0"/>
              <w:jc w:val="left"/>
            </w:pPr>
            <w:r>
              <w:rPr>
                <w:b w:val="0"/>
                <w:bCs w:val="0"/>
                <w:sz w:val="22"/>
                <w:szCs w:val="22"/>
              </w:rPr>
              <w:t>注：本表反映部门本年度取得的各项收入情况。本表金额转换为万元时，因四舍五入可能存在尾数误差。</w:t>
            </w:r>
          </w:p>
        </w:tc>
      </w:tr>
    </w:tbl>
    <w:p>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00"/>
        <w:gridCol w:w="401"/>
        <w:gridCol w:w="404"/>
        <w:gridCol w:w="3548"/>
        <w:gridCol w:w="2415"/>
        <w:gridCol w:w="1771"/>
        <w:gridCol w:w="1771"/>
        <w:gridCol w:w="1780"/>
        <w:gridCol w:w="1771"/>
        <w:gridCol w:w="17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10"/>
            <w:shd w:val="clear" w:color="auto" w:fill="auto"/>
            <w:vAlign w:val="center"/>
          </w:tcPr>
          <w:p>
            <w:pPr>
              <w:pStyle w:val="9"/>
              <w:keepNext w:val="0"/>
              <w:keepLines w:val="0"/>
              <w:widowControl/>
              <w:suppressLineNumbers w:val="0"/>
              <w:jc w:val="center"/>
            </w:pPr>
            <w:r>
              <w:rPr>
                <w:b w:val="0"/>
                <w:bCs w:val="0"/>
                <w:sz w:val="40"/>
                <w:szCs w:val="40"/>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25" w:type="pct"/>
            <w:shd w:val="clear" w:color="auto" w:fill="auto"/>
            <w:vAlign w:val="center"/>
          </w:tcPr>
          <w:p>
            <w:pPr>
              <w:rPr>
                <w:rFonts w:hint="eastAsia" w:ascii="宋体"/>
                <w:b w:val="0"/>
                <w:bCs w:val="0"/>
                <w:sz w:val="22"/>
                <w:szCs w:val="22"/>
              </w:rPr>
            </w:pPr>
          </w:p>
        </w:tc>
        <w:tc>
          <w:tcPr>
            <w:tcW w:w="125" w:type="pct"/>
            <w:shd w:val="clear" w:color="auto" w:fill="auto"/>
            <w:vAlign w:val="center"/>
          </w:tcPr>
          <w:p>
            <w:pPr>
              <w:rPr>
                <w:rFonts w:hint="eastAsia" w:ascii="宋体"/>
                <w:b w:val="0"/>
                <w:bCs w:val="0"/>
                <w:sz w:val="22"/>
                <w:szCs w:val="22"/>
              </w:rPr>
            </w:pPr>
          </w:p>
        </w:tc>
        <w:tc>
          <w:tcPr>
            <w:tcW w:w="125" w:type="pct"/>
            <w:shd w:val="clear" w:color="auto" w:fill="auto"/>
            <w:vAlign w:val="center"/>
          </w:tcPr>
          <w:p>
            <w:pPr>
              <w:rPr>
                <w:rFonts w:hint="eastAsia" w:ascii="宋体"/>
                <w:b w:val="0"/>
                <w:bCs w:val="0"/>
                <w:sz w:val="22"/>
                <w:szCs w:val="22"/>
              </w:rPr>
            </w:pPr>
          </w:p>
        </w:tc>
        <w:tc>
          <w:tcPr>
            <w:tcW w:w="1105" w:type="pct"/>
            <w:shd w:val="clear" w:color="auto" w:fill="auto"/>
            <w:vAlign w:val="center"/>
          </w:tcPr>
          <w:p>
            <w:pPr>
              <w:rPr>
                <w:rFonts w:hint="eastAsia" w:ascii="宋体"/>
                <w:b w:val="0"/>
                <w:bCs w:val="0"/>
                <w:sz w:val="22"/>
                <w:szCs w:val="22"/>
              </w:rPr>
            </w:pPr>
          </w:p>
        </w:tc>
        <w:tc>
          <w:tcPr>
            <w:tcW w:w="753" w:type="pct"/>
            <w:shd w:val="clear" w:color="auto" w:fill="auto"/>
            <w:vAlign w:val="center"/>
          </w:tcPr>
          <w:p>
            <w:pPr>
              <w:rPr>
                <w:rFonts w:hint="eastAsia" w:ascii="宋体"/>
                <w:b w:val="0"/>
                <w:bCs w:val="0"/>
                <w:sz w:val="22"/>
                <w:szCs w:val="22"/>
              </w:rPr>
            </w:pPr>
          </w:p>
        </w:tc>
        <w:tc>
          <w:tcPr>
            <w:tcW w:w="552" w:type="pct"/>
            <w:shd w:val="clear" w:color="auto" w:fill="auto"/>
            <w:vAlign w:val="center"/>
          </w:tcPr>
          <w:p>
            <w:pPr>
              <w:rPr>
                <w:rFonts w:hint="eastAsia" w:ascii="宋体"/>
                <w:b w:val="0"/>
                <w:bCs w:val="0"/>
                <w:sz w:val="22"/>
                <w:szCs w:val="22"/>
              </w:rPr>
            </w:pPr>
          </w:p>
        </w:tc>
        <w:tc>
          <w:tcPr>
            <w:tcW w:w="552" w:type="pct"/>
            <w:shd w:val="clear" w:color="auto" w:fill="auto"/>
            <w:vAlign w:val="center"/>
          </w:tcPr>
          <w:p>
            <w:pPr>
              <w:rPr>
                <w:rFonts w:hint="eastAsia" w:ascii="宋体"/>
                <w:b w:val="0"/>
                <w:bCs w:val="0"/>
                <w:sz w:val="22"/>
                <w:szCs w:val="22"/>
              </w:rPr>
            </w:pPr>
          </w:p>
        </w:tc>
        <w:tc>
          <w:tcPr>
            <w:tcW w:w="552" w:type="pct"/>
            <w:shd w:val="clear" w:color="auto" w:fill="auto"/>
            <w:vAlign w:val="center"/>
          </w:tcPr>
          <w:p>
            <w:pPr>
              <w:rPr>
                <w:rFonts w:hint="eastAsia" w:ascii="宋体"/>
                <w:b w:val="0"/>
                <w:bCs w:val="0"/>
                <w:sz w:val="22"/>
                <w:szCs w:val="22"/>
              </w:rPr>
            </w:pPr>
          </w:p>
        </w:tc>
        <w:tc>
          <w:tcPr>
            <w:tcW w:w="1105" w:type="pct"/>
            <w:gridSpan w:val="2"/>
            <w:shd w:val="clear" w:color="auto" w:fill="auto"/>
            <w:vAlign w:val="center"/>
          </w:tcPr>
          <w:p>
            <w:pPr>
              <w:pStyle w:val="9"/>
              <w:keepNext w:val="0"/>
              <w:keepLines w:val="0"/>
              <w:widowControl/>
              <w:suppressLineNumbers w:val="0"/>
              <w:jc w:val="right"/>
            </w:pPr>
            <w:r>
              <w:rPr>
                <w:b w:val="0"/>
                <w:bCs w:val="0"/>
                <w:sz w:val="20"/>
                <w:szCs w:val="2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894" w:type="pct"/>
            <w:gridSpan w:val="8"/>
            <w:shd w:val="clear" w:color="auto" w:fill="auto"/>
            <w:vAlign w:val="center"/>
          </w:tcPr>
          <w:p>
            <w:pPr>
              <w:pStyle w:val="9"/>
              <w:keepNext w:val="0"/>
              <w:keepLines w:val="0"/>
              <w:widowControl/>
              <w:suppressLineNumbers w:val="0"/>
              <w:jc w:val="left"/>
            </w:pPr>
            <w:r>
              <w:rPr>
                <w:b w:val="0"/>
                <w:bCs w:val="0"/>
                <w:sz w:val="22"/>
                <w:szCs w:val="22"/>
              </w:rPr>
              <w:t>部门：石鼓区卫生计生综合监督执法局</w:t>
            </w:r>
          </w:p>
        </w:tc>
        <w:tc>
          <w:tcPr>
            <w:tcW w:w="1105" w:type="pct"/>
            <w:gridSpan w:val="2"/>
            <w:shd w:val="clear" w:color="auto" w:fill="auto"/>
            <w:vAlign w:val="center"/>
          </w:tcPr>
          <w:p>
            <w:pPr>
              <w:pStyle w:val="9"/>
              <w:keepNext w:val="0"/>
              <w:keepLines w:val="0"/>
              <w:widowControl/>
              <w:suppressLineNumbers w:val="0"/>
              <w:jc w:val="right"/>
            </w:pPr>
            <w:r>
              <w:rPr>
                <w:b w:val="0"/>
                <w:bCs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82"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项目</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本年支出合计</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基本支出</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项目支出</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上缴上级支出</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经营支出</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76" w:type="pct"/>
            <w:gridSpan w:val="3"/>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功能分类科目编码</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科目名称</w:t>
            </w: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82"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栏次</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2</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4</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5</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82"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合计</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113.68</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81.58</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32.11</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bCs/>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bCs/>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208</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社会保障和就业支出</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6.84</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6.84</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20805</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行政事业单位养老支出</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6.84</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6.84</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2080505</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机关事业单位基本养老保险缴费支出</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6.84</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6.84</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210</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卫生健康支出</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101.96</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69.85</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32.11</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21004</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公共卫生</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98.42</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66.31</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32.11</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2100402</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卫生监督机构</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98.42</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66.31</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32.11</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21011</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行政事业单位医疗</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3.54</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3.54</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2101102</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事业单位医疗</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3.54</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3.54</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221</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住房保障支出</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4.88</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4.88</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22102</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住房改革支出</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4.88</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4.88</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2210201</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住房公积金</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4.88</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4.88</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10"/>
            <w:shd w:val="clear" w:color="auto" w:fill="auto"/>
            <w:vAlign w:val="center"/>
          </w:tcPr>
          <w:p>
            <w:pPr>
              <w:pStyle w:val="9"/>
              <w:keepNext w:val="0"/>
              <w:keepLines w:val="0"/>
              <w:widowControl/>
              <w:suppressLineNumbers w:val="0"/>
              <w:jc w:val="left"/>
            </w:pPr>
            <w:r>
              <w:rPr>
                <w:b w:val="0"/>
                <w:bCs w:val="0"/>
                <w:sz w:val="22"/>
                <w:szCs w:val="22"/>
              </w:rPr>
              <w:t>注：本表反映部门本年度各项支出情况。本表金额转换为万元时，因四舍五入可能存在尾数误差。</w:t>
            </w:r>
          </w:p>
        </w:tc>
      </w:tr>
    </w:tbl>
    <w:p>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204"/>
        <w:gridCol w:w="529"/>
        <w:gridCol w:w="1559"/>
        <w:gridCol w:w="3692"/>
        <w:gridCol w:w="529"/>
        <w:gridCol w:w="2130"/>
        <w:gridCol w:w="1466"/>
        <w:gridCol w:w="1463"/>
        <w:gridCol w:w="1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9"/>
            <w:shd w:val="clear" w:color="auto" w:fill="auto"/>
            <w:vAlign w:val="center"/>
          </w:tcPr>
          <w:p>
            <w:pPr>
              <w:pStyle w:val="9"/>
              <w:keepNext w:val="0"/>
              <w:keepLines w:val="0"/>
              <w:widowControl/>
              <w:suppressLineNumbers w:val="0"/>
              <w:jc w:val="center"/>
            </w:pPr>
            <w:r>
              <w:rPr>
                <w:b w:val="0"/>
                <w:bCs w:val="0"/>
                <w:sz w:val="40"/>
                <w:szCs w:val="40"/>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shd w:val="clear" w:color="auto" w:fill="auto"/>
            <w:vAlign w:val="center"/>
          </w:tcPr>
          <w:p>
            <w:pPr>
              <w:rPr>
                <w:rFonts w:hint="eastAsia" w:ascii="宋体"/>
                <w:b w:val="0"/>
                <w:bCs w:val="0"/>
                <w:sz w:val="22"/>
                <w:szCs w:val="22"/>
              </w:rPr>
            </w:pPr>
          </w:p>
        </w:tc>
        <w:tc>
          <w:tcPr>
            <w:tcW w:w="165" w:type="pct"/>
            <w:shd w:val="clear" w:color="auto" w:fill="auto"/>
            <w:vAlign w:val="center"/>
          </w:tcPr>
          <w:p>
            <w:pPr>
              <w:rPr>
                <w:rFonts w:hint="eastAsia" w:ascii="宋体"/>
                <w:b w:val="0"/>
                <w:bCs w:val="0"/>
                <w:sz w:val="22"/>
                <w:szCs w:val="22"/>
              </w:rPr>
            </w:pPr>
          </w:p>
        </w:tc>
        <w:tc>
          <w:tcPr>
            <w:tcW w:w="486" w:type="pct"/>
            <w:shd w:val="clear" w:color="auto" w:fill="auto"/>
            <w:vAlign w:val="center"/>
          </w:tcPr>
          <w:p>
            <w:pPr>
              <w:rPr>
                <w:rFonts w:hint="eastAsia" w:ascii="宋体"/>
                <w:b w:val="0"/>
                <w:bCs w:val="0"/>
                <w:sz w:val="22"/>
                <w:szCs w:val="22"/>
              </w:rPr>
            </w:pPr>
          </w:p>
        </w:tc>
        <w:tc>
          <w:tcPr>
            <w:tcW w:w="1151" w:type="pct"/>
            <w:shd w:val="clear" w:color="auto" w:fill="auto"/>
            <w:vAlign w:val="center"/>
          </w:tcPr>
          <w:p>
            <w:pPr>
              <w:rPr>
                <w:rFonts w:hint="eastAsia" w:ascii="宋体"/>
                <w:b w:val="0"/>
                <w:bCs w:val="0"/>
                <w:sz w:val="22"/>
                <w:szCs w:val="22"/>
              </w:rPr>
            </w:pPr>
          </w:p>
        </w:tc>
        <w:tc>
          <w:tcPr>
            <w:tcW w:w="165" w:type="pct"/>
            <w:shd w:val="clear" w:color="auto" w:fill="auto"/>
            <w:vAlign w:val="center"/>
          </w:tcPr>
          <w:p>
            <w:pPr>
              <w:rPr>
                <w:rFonts w:hint="eastAsia" w:ascii="宋体"/>
                <w:b w:val="0"/>
                <w:bCs w:val="0"/>
                <w:sz w:val="22"/>
                <w:szCs w:val="22"/>
              </w:rPr>
            </w:pPr>
          </w:p>
        </w:tc>
        <w:tc>
          <w:tcPr>
            <w:tcW w:w="664" w:type="pct"/>
            <w:shd w:val="clear" w:color="auto" w:fill="auto"/>
            <w:vAlign w:val="center"/>
          </w:tcPr>
          <w:p>
            <w:pPr>
              <w:rPr>
                <w:rFonts w:hint="eastAsia" w:ascii="宋体"/>
                <w:b w:val="0"/>
                <w:bCs w:val="0"/>
                <w:sz w:val="22"/>
                <w:szCs w:val="22"/>
              </w:rPr>
            </w:pPr>
          </w:p>
        </w:tc>
        <w:tc>
          <w:tcPr>
            <w:tcW w:w="456" w:type="pct"/>
            <w:shd w:val="clear" w:color="auto" w:fill="auto"/>
            <w:vAlign w:val="center"/>
          </w:tcPr>
          <w:p>
            <w:pPr>
              <w:rPr>
                <w:rFonts w:hint="eastAsia" w:ascii="宋体"/>
                <w:b w:val="0"/>
                <w:bCs w:val="0"/>
                <w:sz w:val="22"/>
                <w:szCs w:val="22"/>
              </w:rPr>
            </w:pPr>
          </w:p>
        </w:tc>
        <w:tc>
          <w:tcPr>
            <w:tcW w:w="912" w:type="pct"/>
            <w:gridSpan w:val="2"/>
            <w:shd w:val="clear" w:color="auto" w:fill="auto"/>
            <w:vAlign w:val="center"/>
          </w:tcPr>
          <w:p>
            <w:pPr>
              <w:pStyle w:val="9"/>
              <w:keepNext w:val="0"/>
              <w:keepLines w:val="0"/>
              <w:widowControl/>
              <w:suppressLineNumbers w:val="0"/>
              <w:jc w:val="right"/>
            </w:pPr>
            <w:r>
              <w:rPr>
                <w:b w:val="0"/>
                <w:bCs w:val="0"/>
                <w:sz w:val="20"/>
                <w:szCs w:val="20"/>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087" w:type="pct"/>
            <w:gridSpan w:val="7"/>
            <w:shd w:val="clear" w:color="auto" w:fill="auto"/>
            <w:vAlign w:val="center"/>
          </w:tcPr>
          <w:p>
            <w:pPr>
              <w:pStyle w:val="9"/>
              <w:keepNext w:val="0"/>
              <w:keepLines w:val="0"/>
              <w:widowControl/>
              <w:suppressLineNumbers w:val="0"/>
              <w:jc w:val="left"/>
            </w:pPr>
            <w:r>
              <w:rPr>
                <w:b w:val="0"/>
                <w:bCs w:val="0"/>
                <w:sz w:val="22"/>
                <w:szCs w:val="22"/>
              </w:rPr>
              <w:t>部门：石鼓区卫生计生综合监督执法局</w:t>
            </w:r>
          </w:p>
        </w:tc>
        <w:tc>
          <w:tcPr>
            <w:tcW w:w="912" w:type="pct"/>
            <w:gridSpan w:val="2"/>
            <w:shd w:val="clear" w:color="auto" w:fill="auto"/>
            <w:vAlign w:val="center"/>
          </w:tcPr>
          <w:p>
            <w:pPr>
              <w:pStyle w:val="9"/>
              <w:keepNext w:val="0"/>
              <w:keepLines w:val="0"/>
              <w:widowControl/>
              <w:suppressLineNumbers w:val="0"/>
              <w:jc w:val="right"/>
            </w:pPr>
            <w:r>
              <w:rPr>
                <w:b w:val="0"/>
                <w:bCs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650"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收 入</w:t>
            </w:r>
          </w:p>
        </w:tc>
        <w:tc>
          <w:tcPr>
            <w:tcW w:w="3349" w:type="pct"/>
            <w:gridSpan w:val="6"/>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项目</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行次</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金额</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项目</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行次</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合计</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一般公共预算财政拨款</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政府性基金预算财政拨款</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栏次</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w:t>
            </w: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栏次</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2</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4</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一、一般公共预算财政拨款</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107.58</w:t>
            </w: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一、一般公共服务支出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33</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二、政府性基金预算财政拨款</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2</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二、外交支出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34</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三、国有资本经营财政拨款</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三、国防支出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35</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4</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四、公共安全支出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36</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5</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五、教育支出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37</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6</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六、科学技术支出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38</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7</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七、文化旅游体育与传媒支出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39</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8</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八、社会保障和就业支出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40</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6.84</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6.84</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9</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九、卫生健康支出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41</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95.85</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95.85</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10</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十、节能环保支出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42</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11</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十一、城乡社区支出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43</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12</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十二、农林水支出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44</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13</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十三、交通运输支出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45</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14</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十四、资源勘探工业信息等支出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46</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15</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十五、商业服务业等支出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47</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16</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十六、金融支出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48</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17</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十七、援助其他地区支出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49</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18</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十八、自然资源海洋气象等支出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50</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19</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十九、住房保障支出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51</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4.88</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4.88</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20</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二十、粮油物资储备支出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52</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21</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二十一、国有资本经营预算支出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53</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22</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二十二、灾害防治及应急管理支出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54</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23</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二十三、其他支出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55</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bCs/>
                <w:sz w:val="20"/>
                <w:szCs w:val="20"/>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24</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二十四、债务还本支出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56</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0"/>
                <w:szCs w:val="20"/>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25</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二十五、债务付息支出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57</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0"/>
                <w:szCs w:val="20"/>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26</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二十六、抗疫特别国债安排的支出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58</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bCs/>
                <w:sz w:val="22"/>
                <w:szCs w:val="22"/>
              </w:rPr>
              <w:t>本年收入合计</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27</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107.58</w:t>
            </w: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bCs/>
                <w:sz w:val="22"/>
                <w:szCs w:val="22"/>
              </w:rPr>
              <w:t>本年支出合计</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59</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107.58</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107.58</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bCs/>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年初财政拨款结转和结余</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28</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年末财政拨款结转和结余</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60</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一般公共预算财政拨款</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29</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61</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政府性基金预算财政拨款</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30</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62</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国有资本经营预算财政拨款</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31</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63</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bCs/>
                <w:sz w:val="22"/>
                <w:szCs w:val="22"/>
              </w:rPr>
              <w:t>总计</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32</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107.58</w:t>
            </w: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bCs/>
                <w:sz w:val="22"/>
                <w:szCs w:val="22"/>
              </w:rPr>
              <w:t>总计</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64</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107.58</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107.58</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bCs/>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9"/>
            <w:shd w:val="clear" w:color="auto" w:fill="auto"/>
            <w:vAlign w:val="center"/>
          </w:tcPr>
          <w:p>
            <w:pPr>
              <w:pStyle w:val="9"/>
              <w:keepNext w:val="0"/>
              <w:keepLines w:val="0"/>
              <w:widowControl/>
              <w:suppressLineNumbers w:val="0"/>
              <w:jc w:val="left"/>
            </w:pPr>
            <w:r>
              <w:rPr>
                <w:b w:val="0"/>
                <w:bCs w:val="0"/>
                <w:sz w:val="22"/>
                <w:szCs w:val="22"/>
              </w:rPr>
              <w:t>注：本表反映部门本年度一般公共预算财政拨款、政府性基金预算财政拨款和国有资本经营预算财政拨款的总收支和年末结转结余情况。本表金额转换为万元时，因四舍五入可能存在尾数误差。</w:t>
            </w:r>
          </w:p>
        </w:tc>
      </w:tr>
    </w:tbl>
    <w:p>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52"/>
        <w:gridCol w:w="452"/>
        <w:gridCol w:w="455"/>
        <w:gridCol w:w="5398"/>
        <w:gridCol w:w="3092"/>
        <w:gridCol w:w="3093"/>
        <w:gridCol w:w="3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7"/>
            <w:shd w:val="clear" w:color="auto" w:fill="auto"/>
            <w:vAlign w:val="center"/>
          </w:tcPr>
          <w:p>
            <w:pPr>
              <w:pStyle w:val="9"/>
              <w:keepNext w:val="0"/>
              <w:keepLines w:val="0"/>
              <w:widowControl/>
              <w:suppressLineNumbers w:val="0"/>
              <w:jc w:val="center"/>
            </w:pPr>
            <w:r>
              <w:rPr>
                <w:b w:val="0"/>
                <w:bCs w:val="0"/>
                <w:sz w:val="40"/>
                <w:szCs w:val="40"/>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1" w:type="pct"/>
            <w:shd w:val="clear" w:color="auto" w:fill="auto"/>
            <w:vAlign w:val="center"/>
          </w:tcPr>
          <w:p>
            <w:pPr>
              <w:rPr>
                <w:rFonts w:hint="eastAsia" w:ascii="宋体"/>
                <w:b w:val="0"/>
                <w:bCs w:val="0"/>
                <w:sz w:val="22"/>
                <w:szCs w:val="22"/>
              </w:rPr>
            </w:pPr>
          </w:p>
        </w:tc>
        <w:tc>
          <w:tcPr>
            <w:tcW w:w="141" w:type="pct"/>
            <w:shd w:val="clear" w:color="auto" w:fill="auto"/>
            <w:vAlign w:val="center"/>
          </w:tcPr>
          <w:p>
            <w:pPr>
              <w:rPr>
                <w:rFonts w:hint="eastAsia" w:ascii="宋体"/>
                <w:b w:val="0"/>
                <w:bCs w:val="0"/>
                <w:sz w:val="22"/>
                <w:szCs w:val="22"/>
              </w:rPr>
            </w:pPr>
          </w:p>
        </w:tc>
        <w:tc>
          <w:tcPr>
            <w:tcW w:w="141" w:type="pct"/>
            <w:shd w:val="clear" w:color="auto" w:fill="auto"/>
            <w:vAlign w:val="center"/>
          </w:tcPr>
          <w:p>
            <w:pPr>
              <w:rPr>
                <w:rFonts w:hint="eastAsia" w:ascii="宋体"/>
                <w:b w:val="0"/>
                <w:bCs w:val="0"/>
                <w:sz w:val="22"/>
                <w:szCs w:val="22"/>
              </w:rPr>
            </w:pPr>
          </w:p>
        </w:tc>
        <w:tc>
          <w:tcPr>
            <w:tcW w:w="1683" w:type="pct"/>
            <w:shd w:val="clear" w:color="auto" w:fill="auto"/>
            <w:vAlign w:val="center"/>
          </w:tcPr>
          <w:p>
            <w:pPr>
              <w:rPr>
                <w:rFonts w:hint="eastAsia" w:ascii="宋体"/>
                <w:b w:val="0"/>
                <w:bCs w:val="0"/>
                <w:sz w:val="22"/>
                <w:szCs w:val="22"/>
              </w:rPr>
            </w:pPr>
          </w:p>
        </w:tc>
        <w:tc>
          <w:tcPr>
            <w:tcW w:w="964" w:type="pct"/>
            <w:shd w:val="clear" w:color="auto" w:fill="auto"/>
            <w:vAlign w:val="center"/>
          </w:tcPr>
          <w:p>
            <w:pPr>
              <w:rPr>
                <w:rFonts w:hint="eastAsia" w:ascii="宋体"/>
                <w:b w:val="0"/>
                <w:bCs w:val="0"/>
                <w:sz w:val="22"/>
                <w:szCs w:val="22"/>
              </w:rPr>
            </w:pPr>
          </w:p>
        </w:tc>
        <w:tc>
          <w:tcPr>
            <w:tcW w:w="1928" w:type="pct"/>
            <w:gridSpan w:val="2"/>
            <w:shd w:val="clear" w:color="auto" w:fill="auto"/>
            <w:vAlign w:val="center"/>
          </w:tcPr>
          <w:p>
            <w:pPr>
              <w:pStyle w:val="9"/>
              <w:keepNext w:val="0"/>
              <w:keepLines w:val="0"/>
              <w:widowControl/>
              <w:suppressLineNumbers w:val="0"/>
              <w:jc w:val="right"/>
            </w:pPr>
            <w:r>
              <w:rPr>
                <w:b w:val="0"/>
                <w:bCs w:val="0"/>
                <w:sz w:val="20"/>
                <w:szCs w:val="20"/>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071" w:type="pct"/>
            <w:gridSpan w:val="5"/>
            <w:shd w:val="clear" w:color="auto" w:fill="auto"/>
            <w:vAlign w:val="center"/>
          </w:tcPr>
          <w:p>
            <w:pPr>
              <w:pStyle w:val="9"/>
              <w:keepNext w:val="0"/>
              <w:keepLines w:val="0"/>
              <w:widowControl/>
              <w:suppressLineNumbers w:val="0"/>
              <w:jc w:val="left"/>
            </w:pPr>
            <w:r>
              <w:rPr>
                <w:b w:val="0"/>
                <w:bCs w:val="0"/>
                <w:sz w:val="22"/>
                <w:szCs w:val="22"/>
              </w:rPr>
              <w:t>部门：石鼓区卫生计生综合监督执法局</w:t>
            </w:r>
          </w:p>
        </w:tc>
        <w:tc>
          <w:tcPr>
            <w:tcW w:w="1928" w:type="pct"/>
            <w:gridSpan w:val="2"/>
            <w:shd w:val="clear" w:color="auto" w:fill="auto"/>
            <w:vAlign w:val="center"/>
          </w:tcPr>
          <w:p>
            <w:pPr>
              <w:pStyle w:val="9"/>
              <w:keepNext w:val="0"/>
              <w:keepLines w:val="0"/>
              <w:widowControl/>
              <w:suppressLineNumbers w:val="0"/>
              <w:jc w:val="right"/>
            </w:pPr>
            <w:r>
              <w:rPr>
                <w:b w:val="0"/>
                <w:bCs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107"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项目</w:t>
            </w:r>
          </w:p>
        </w:tc>
        <w:tc>
          <w:tcPr>
            <w:tcW w:w="289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功能分类科目编码</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科目名称</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小计</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基本支出</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107"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栏次</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2</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107"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合计</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107.58</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81.58</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208</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社会保障和就业支出</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6.84</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6.84</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20805</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行政事业单位养老支出</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6.84</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6.84</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2080505</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机关事业单位基本养老保险缴费支出</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6.84</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6.84</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210</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卫生健康支出</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95.85</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69.85</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21004</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公共卫生</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92.31</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66.31</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2100402</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卫生监督机构</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92.31</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66.31</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21011</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行政事业单位医疗</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3.54</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3.54</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2101102</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事业单位医疗</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3.54</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3.54</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221</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住房保障支出</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4.88</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4.88</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22102</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住房改革支出</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4.88</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4.88</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2210201</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住房公积金</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4.88</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4.88</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7"/>
            <w:shd w:val="clear" w:color="auto" w:fill="auto"/>
            <w:vAlign w:val="center"/>
          </w:tcPr>
          <w:p>
            <w:pPr>
              <w:pStyle w:val="9"/>
              <w:keepNext w:val="0"/>
              <w:keepLines w:val="0"/>
              <w:widowControl/>
              <w:suppressLineNumbers w:val="0"/>
              <w:jc w:val="left"/>
            </w:pPr>
            <w:r>
              <w:rPr>
                <w:b w:val="0"/>
                <w:bCs w:val="0"/>
                <w:sz w:val="22"/>
                <w:szCs w:val="22"/>
              </w:rPr>
              <w:t>注：本表反映部门本年度一般公共预算财政拨款支出情况。本表金额转换为万元时，因四舍五入可能存在尾数误差。</w:t>
            </w:r>
          </w:p>
        </w:tc>
      </w:tr>
    </w:tbl>
    <w:p>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18"/>
        <w:gridCol w:w="3380"/>
        <w:gridCol w:w="1726"/>
        <w:gridCol w:w="719"/>
        <w:gridCol w:w="2659"/>
        <w:gridCol w:w="1726"/>
        <w:gridCol w:w="722"/>
        <w:gridCol w:w="2659"/>
        <w:gridCol w:w="17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9"/>
            <w:shd w:val="clear" w:color="auto" w:fill="auto"/>
            <w:vAlign w:val="center"/>
          </w:tcPr>
          <w:p>
            <w:pPr>
              <w:pStyle w:val="9"/>
              <w:keepNext w:val="0"/>
              <w:keepLines w:val="0"/>
              <w:widowControl/>
              <w:suppressLineNumbers w:val="0"/>
              <w:jc w:val="center"/>
            </w:pPr>
            <w:r>
              <w:rPr>
                <w:b w:val="0"/>
                <w:bCs w:val="0"/>
                <w:sz w:val="40"/>
                <w:szCs w:val="40"/>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shd w:val="clear" w:color="auto" w:fill="auto"/>
            <w:vAlign w:val="center"/>
          </w:tcPr>
          <w:p>
            <w:pPr>
              <w:rPr>
                <w:rFonts w:hint="eastAsia" w:ascii="宋体"/>
                <w:b w:val="0"/>
                <w:bCs w:val="0"/>
                <w:sz w:val="22"/>
                <w:szCs w:val="22"/>
              </w:rPr>
            </w:pPr>
          </w:p>
        </w:tc>
        <w:tc>
          <w:tcPr>
            <w:tcW w:w="1053" w:type="pct"/>
            <w:shd w:val="clear" w:color="auto" w:fill="auto"/>
            <w:vAlign w:val="center"/>
          </w:tcPr>
          <w:p>
            <w:pPr>
              <w:rPr>
                <w:rFonts w:hint="eastAsia" w:ascii="宋体"/>
                <w:b w:val="0"/>
                <w:bCs w:val="0"/>
                <w:sz w:val="22"/>
                <w:szCs w:val="22"/>
              </w:rPr>
            </w:pPr>
          </w:p>
        </w:tc>
        <w:tc>
          <w:tcPr>
            <w:tcW w:w="538" w:type="pct"/>
            <w:shd w:val="clear" w:color="auto" w:fill="auto"/>
            <w:vAlign w:val="center"/>
          </w:tcPr>
          <w:p>
            <w:pPr>
              <w:rPr>
                <w:rFonts w:hint="eastAsia" w:ascii="宋体"/>
                <w:b w:val="0"/>
                <w:bCs w:val="0"/>
                <w:sz w:val="22"/>
                <w:szCs w:val="22"/>
              </w:rPr>
            </w:pPr>
          </w:p>
        </w:tc>
        <w:tc>
          <w:tcPr>
            <w:tcW w:w="224" w:type="pct"/>
            <w:shd w:val="clear" w:color="auto" w:fill="auto"/>
            <w:vAlign w:val="center"/>
          </w:tcPr>
          <w:p>
            <w:pPr>
              <w:rPr>
                <w:rFonts w:hint="eastAsia" w:ascii="宋体"/>
                <w:b w:val="0"/>
                <w:bCs w:val="0"/>
                <w:sz w:val="22"/>
                <w:szCs w:val="22"/>
              </w:rPr>
            </w:pPr>
          </w:p>
        </w:tc>
        <w:tc>
          <w:tcPr>
            <w:tcW w:w="829" w:type="pct"/>
            <w:shd w:val="clear" w:color="auto" w:fill="auto"/>
            <w:vAlign w:val="center"/>
          </w:tcPr>
          <w:p>
            <w:pPr>
              <w:rPr>
                <w:rFonts w:hint="eastAsia" w:ascii="宋体"/>
                <w:b w:val="0"/>
                <w:bCs w:val="0"/>
                <w:sz w:val="22"/>
                <w:szCs w:val="22"/>
              </w:rPr>
            </w:pPr>
          </w:p>
        </w:tc>
        <w:tc>
          <w:tcPr>
            <w:tcW w:w="538" w:type="pct"/>
            <w:shd w:val="clear" w:color="auto" w:fill="auto"/>
            <w:vAlign w:val="center"/>
          </w:tcPr>
          <w:p>
            <w:pPr>
              <w:rPr>
                <w:rFonts w:hint="eastAsia" w:ascii="宋体"/>
                <w:b w:val="0"/>
                <w:bCs w:val="0"/>
                <w:sz w:val="22"/>
                <w:szCs w:val="22"/>
              </w:rPr>
            </w:pPr>
          </w:p>
        </w:tc>
        <w:tc>
          <w:tcPr>
            <w:tcW w:w="224" w:type="pct"/>
            <w:shd w:val="clear" w:color="auto" w:fill="auto"/>
            <w:vAlign w:val="center"/>
          </w:tcPr>
          <w:p>
            <w:pPr>
              <w:rPr>
                <w:rFonts w:hint="eastAsia" w:ascii="宋体"/>
                <w:b w:val="0"/>
                <w:bCs w:val="0"/>
                <w:sz w:val="22"/>
                <w:szCs w:val="22"/>
              </w:rPr>
            </w:pPr>
          </w:p>
        </w:tc>
        <w:tc>
          <w:tcPr>
            <w:tcW w:w="1367" w:type="pct"/>
            <w:gridSpan w:val="2"/>
            <w:shd w:val="clear" w:color="auto" w:fill="auto"/>
            <w:vAlign w:val="center"/>
          </w:tcPr>
          <w:p>
            <w:pPr>
              <w:pStyle w:val="9"/>
              <w:keepNext w:val="0"/>
              <w:keepLines w:val="0"/>
              <w:widowControl/>
              <w:suppressLineNumbers w:val="0"/>
              <w:jc w:val="right"/>
            </w:pPr>
            <w:r>
              <w:rPr>
                <w:b w:val="0"/>
                <w:bCs w:val="0"/>
                <w:sz w:val="18"/>
                <w:szCs w:val="18"/>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632" w:type="pct"/>
            <w:gridSpan w:val="7"/>
            <w:shd w:val="clear" w:color="auto" w:fill="auto"/>
            <w:vAlign w:val="center"/>
          </w:tcPr>
          <w:p>
            <w:pPr>
              <w:pStyle w:val="9"/>
              <w:keepNext w:val="0"/>
              <w:keepLines w:val="0"/>
              <w:widowControl/>
              <w:suppressLineNumbers w:val="0"/>
              <w:jc w:val="left"/>
            </w:pPr>
            <w:r>
              <w:rPr>
                <w:b w:val="0"/>
                <w:bCs w:val="0"/>
                <w:sz w:val="22"/>
                <w:szCs w:val="22"/>
              </w:rPr>
              <w:t>部门：石鼓区卫生计生综合监督执法局</w:t>
            </w:r>
          </w:p>
        </w:tc>
        <w:tc>
          <w:tcPr>
            <w:tcW w:w="1367" w:type="pct"/>
            <w:gridSpan w:val="2"/>
            <w:shd w:val="clear" w:color="auto" w:fill="auto"/>
            <w:vAlign w:val="center"/>
          </w:tcPr>
          <w:p>
            <w:pPr>
              <w:pStyle w:val="9"/>
              <w:keepNext w:val="0"/>
              <w:keepLines w:val="0"/>
              <w:widowControl/>
              <w:suppressLineNumbers w:val="0"/>
              <w:jc w:val="right"/>
            </w:pPr>
            <w:r>
              <w:rPr>
                <w:b w:val="0"/>
                <w:bCs w:val="0"/>
                <w:sz w:val="18"/>
                <w:szCs w:val="18"/>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81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人员经费</w:t>
            </w:r>
          </w:p>
        </w:tc>
        <w:tc>
          <w:tcPr>
            <w:tcW w:w="3183" w:type="pct"/>
            <w:gridSpan w:val="6"/>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科目编码</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科目名称</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决算数</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科目编码</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科目名称</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决算数</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科目编码</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科目名称</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bCs/>
                <w:sz w:val="22"/>
                <w:szCs w:val="22"/>
              </w:rPr>
              <w:t>301</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bCs/>
                <w:sz w:val="22"/>
                <w:szCs w:val="22"/>
              </w:rPr>
              <w:t>工资福利支出</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73.50</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bCs/>
                <w:sz w:val="22"/>
                <w:szCs w:val="22"/>
              </w:rPr>
              <w:t>302</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bCs/>
                <w:sz w:val="22"/>
                <w:szCs w:val="22"/>
              </w:rPr>
              <w:t>商品和服务支出</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8.07</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bCs/>
                <w:sz w:val="22"/>
                <w:szCs w:val="22"/>
              </w:rPr>
              <w:t>307</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bCs/>
                <w:sz w:val="22"/>
                <w:szCs w:val="22"/>
              </w:rPr>
              <w:t>债务利息及费用支出</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30101</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基本工资</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24.67</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30201</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办公费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0.90</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30701</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国内债务付息</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30102</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津贴补贴</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1.22</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30202</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印刷费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30702</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国外债务付息</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30103</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奖金</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18.27</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30203</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咨询费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bCs/>
                <w:sz w:val="22"/>
                <w:szCs w:val="22"/>
              </w:rPr>
              <w:t>310</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bCs/>
                <w:sz w:val="22"/>
                <w:szCs w:val="22"/>
              </w:rPr>
              <w:t>资本性支出</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30106</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伙食补助费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30204</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手续费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31001</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房屋建筑物购建</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30107</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绩效工资</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13.23</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30205</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水费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31002</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办公设备购置</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30108</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机关事业单位基本养老保险缴费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6.84</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30206</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电费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31003</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专用设备购置</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30109</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职业年金缴费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30207</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邮电费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31005</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基础设施建设</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30110</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职工基本医疗保险缴费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3.67</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30208</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取暖费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31006</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大型修缮</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30111</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公务员医疗补助缴费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30209</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物业管理费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31007</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信息网络及软件购置更新</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30112</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其他社会保障缴费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30211</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差旅费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31008</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物资储备</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30113</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住房公积金</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4.88</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30212</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因公出国（境）费用</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31009</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土地补偿</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30114</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医疗费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30213</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维修（护）费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0.26</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31010</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安置补助</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30199</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其他工资福利支出</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0.72</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30214</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租赁费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31011</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地上附着物和青苗补偿</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bCs/>
                <w:sz w:val="22"/>
                <w:szCs w:val="22"/>
              </w:rPr>
              <w:t>303</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bCs/>
                <w:sz w:val="22"/>
                <w:szCs w:val="22"/>
              </w:rPr>
              <w:t>对个人和家庭的补助</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bCs/>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30215</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会议费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31012</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拆迁补偿</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30301</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离休费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30216</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培训费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0.13</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31013</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公务用车购置</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30302</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退休费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30217</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公务接待费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31019</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其他交通工具购置</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30303</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退职（役）费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30218</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专用材料费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31021</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文物和陈列品购置</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30304</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抚恤金</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30224</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被装购置费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31022</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无形资产购置</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30305</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生活补助</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30225</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专用燃料费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31099</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其他资本性支出</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30306</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救济费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30226</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劳务费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5.54</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bCs/>
                <w:sz w:val="22"/>
                <w:szCs w:val="22"/>
              </w:rPr>
              <w:t>399</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bCs/>
                <w:sz w:val="22"/>
                <w:szCs w:val="22"/>
              </w:rPr>
              <w:t>其他支出</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30307</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医疗费补助</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30227</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委托业务费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0.49</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39906</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赠与</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30308</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助学金</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30228</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工会经费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39907</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国家赔偿费用支出</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30309</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奖励金</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30229</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福利费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39908</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对民间非营利组织和群众性自治组织补贴</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30310</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个人农业生产补贴</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30231</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公务用车运行维护费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0.04</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39999</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其他支出</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30311</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代缴社会保险费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30239</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其他交通费用</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30399</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其他对个人和家庭的补助</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30240</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税金及附加费用</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30299</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其他商品和服务支出</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0.72</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278" w:type="pct"/>
            <w:gridSpan w:val="2"/>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bCs/>
                <w:sz w:val="22"/>
                <w:szCs w:val="22"/>
              </w:rPr>
              <w:t>人员经费合计</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73.50</w:t>
            </w:r>
          </w:p>
        </w:tc>
        <w:tc>
          <w:tcPr>
            <w:tcW w:w="2645" w:type="pct"/>
            <w:gridSpan w:val="5"/>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bCs/>
                <w:sz w:val="22"/>
                <w:szCs w:val="22"/>
              </w:rPr>
              <w:t>公用经费合计</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9"/>
            <w:shd w:val="clear" w:color="auto" w:fill="auto"/>
            <w:vAlign w:val="center"/>
          </w:tcPr>
          <w:p>
            <w:pPr>
              <w:pStyle w:val="9"/>
              <w:keepNext w:val="0"/>
              <w:keepLines w:val="0"/>
              <w:widowControl/>
              <w:suppressLineNumbers w:val="0"/>
              <w:jc w:val="left"/>
            </w:pPr>
            <w:r>
              <w:rPr>
                <w:b w:val="0"/>
                <w:bCs w:val="0"/>
                <w:sz w:val="22"/>
                <w:szCs w:val="22"/>
              </w:rPr>
              <w:t>注：本表反映部门本年度一般公共预算财政拨款基本支出明细情况。本表金额转换为万元时，因四舍五入可能存在尾数误差。</w:t>
            </w:r>
          </w:p>
        </w:tc>
      </w:tr>
    </w:tbl>
    <w:p>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34"/>
        <w:gridCol w:w="1334"/>
        <w:gridCol w:w="1334"/>
        <w:gridCol w:w="1334"/>
        <w:gridCol w:w="1341"/>
        <w:gridCol w:w="1347"/>
        <w:gridCol w:w="1334"/>
        <w:gridCol w:w="1334"/>
        <w:gridCol w:w="1334"/>
        <w:gridCol w:w="1342"/>
        <w:gridCol w:w="1335"/>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12"/>
            <w:shd w:val="clear" w:color="auto" w:fill="auto"/>
            <w:vAlign w:val="center"/>
          </w:tcPr>
          <w:p>
            <w:pPr>
              <w:pStyle w:val="9"/>
              <w:keepNext w:val="0"/>
              <w:keepLines w:val="0"/>
              <w:widowControl/>
              <w:suppressLineNumbers w:val="0"/>
              <w:jc w:val="center"/>
            </w:pPr>
            <w:r>
              <w:rPr>
                <w:b w:val="0"/>
                <w:bCs w:val="0"/>
                <w:sz w:val="40"/>
                <w:szCs w:val="40"/>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16" w:type="pct"/>
            <w:shd w:val="clear" w:color="auto" w:fill="auto"/>
            <w:vAlign w:val="center"/>
          </w:tcPr>
          <w:p>
            <w:pPr>
              <w:rPr>
                <w:rFonts w:hint="eastAsia" w:ascii="宋体"/>
                <w:b w:val="0"/>
                <w:bCs w:val="0"/>
                <w:sz w:val="22"/>
                <w:szCs w:val="22"/>
              </w:rPr>
            </w:pPr>
          </w:p>
        </w:tc>
        <w:tc>
          <w:tcPr>
            <w:tcW w:w="416" w:type="pct"/>
            <w:shd w:val="clear" w:color="auto" w:fill="auto"/>
            <w:vAlign w:val="center"/>
          </w:tcPr>
          <w:p>
            <w:pPr>
              <w:rPr>
                <w:rFonts w:hint="eastAsia" w:ascii="宋体"/>
                <w:b w:val="0"/>
                <w:bCs w:val="0"/>
                <w:sz w:val="22"/>
                <w:szCs w:val="22"/>
              </w:rPr>
            </w:pPr>
          </w:p>
        </w:tc>
        <w:tc>
          <w:tcPr>
            <w:tcW w:w="416" w:type="pct"/>
            <w:shd w:val="clear" w:color="auto" w:fill="auto"/>
            <w:vAlign w:val="center"/>
          </w:tcPr>
          <w:p>
            <w:pPr>
              <w:rPr>
                <w:rFonts w:hint="eastAsia" w:ascii="宋体"/>
                <w:b w:val="0"/>
                <w:bCs w:val="0"/>
                <w:sz w:val="22"/>
                <w:szCs w:val="22"/>
              </w:rPr>
            </w:pPr>
          </w:p>
        </w:tc>
        <w:tc>
          <w:tcPr>
            <w:tcW w:w="416" w:type="pct"/>
            <w:shd w:val="clear" w:color="auto" w:fill="auto"/>
            <w:vAlign w:val="center"/>
          </w:tcPr>
          <w:p>
            <w:pPr>
              <w:rPr>
                <w:rFonts w:hint="eastAsia" w:ascii="宋体"/>
                <w:b w:val="0"/>
                <w:bCs w:val="0"/>
                <w:sz w:val="22"/>
                <w:szCs w:val="22"/>
              </w:rPr>
            </w:pPr>
          </w:p>
        </w:tc>
        <w:tc>
          <w:tcPr>
            <w:tcW w:w="416" w:type="pct"/>
            <w:shd w:val="clear" w:color="auto" w:fill="auto"/>
            <w:vAlign w:val="center"/>
          </w:tcPr>
          <w:p>
            <w:pPr>
              <w:rPr>
                <w:rFonts w:hint="eastAsia" w:ascii="宋体"/>
                <w:b w:val="0"/>
                <w:bCs w:val="0"/>
                <w:sz w:val="22"/>
                <w:szCs w:val="22"/>
              </w:rPr>
            </w:pPr>
          </w:p>
        </w:tc>
        <w:tc>
          <w:tcPr>
            <w:tcW w:w="416" w:type="pct"/>
            <w:shd w:val="clear" w:color="auto" w:fill="auto"/>
            <w:vAlign w:val="center"/>
          </w:tcPr>
          <w:p>
            <w:pPr>
              <w:rPr>
                <w:rFonts w:hint="eastAsia" w:ascii="宋体"/>
                <w:b w:val="0"/>
                <w:bCs w:val="0"/>
                <w:sz w:val="22"/>
                <w:szCs w:val="22"/>
              </w:rPr>
            </w:pPr>
          </w:p>
        </w:tc>
        <w:tc>
          <w:tcPr>
            <w:tcW w:w="416" w:type="pct"/>
            <w:shd w:val="clear" w:color="auto" w:fill="auto"/>
            <w:vAlign w:val="center"/>
          </w:tcPr>
          <w:p>
            <w:pPr>
              <w:rPr>
                <w:rFonts w:hint="eastAsia" w:ascii="宋体"/>
                <w:b w:val="0"/>
                <w:bCs w:val="0"/>
                <w:sz w:val="22"/>
                <w:szCs w:val="22"/>
              </w:rPr>
            </w:pPr>
          </w:p>
        </w:tc>
        <w:tc>
          <w:tcPr>
            <w:tcW w:w="416" w:type="pct"/>
            <w:shd w:val="clear" w:color="auto" w:fill="auto"/>
            <w:vAlign w:val="center"/>
          </w:tcPr>
          <w:p>
            <w:pPr>
              <w:rPr>
                <w:rFonts w:hint="eastAsia" w:ascii="宋体"/>
                <w:b w:val="0"/>
                <w:bCs w:val="0"/>
                <w:sz w:val="22"/>
                <w:szCs w:val="22"/>
              </w:rPr>
            </w:pPr>
          </w:p>
        </w:tc>
        <w:tc>
          <w:tcPr>
            <w:tcW w:w="416" w:type="pct"/>
            <w:shd w:val="clear" w:color="auto" w:fill="auto"/>
            <w:vAlign w:val="center"/>
          </w:tcPr>
          <w:p>
            <w:pPr>
              <w:rPr>
                <w:rFonts w:hint="eastAsia" w:ascii="宋体"/>
                <w:b w:val="0"/>
                <w:bCs w:val="0"/>
                <w:sz w:val="22"/>
                <w:szCs w:val="22"/>
              </w:rPr>
            </w:pPr>
          </w:p>
        </w:tc>
        <w:tc>
          <w:tcPr>
            <w:tcW w:w="416" w:type="pct"/>
            <w:shd w:val="clear" w:color="auto" w:fill="auto"/>
            <w:vAlign w:val="center"/>
          </w:tcPr>
          <w:p>
            <w:pPr>
              <w:rPr>
                <w:rFonts w:hint="eastAsia" w:ascii="宋体"/>
                <w:b w:val="0"/>
                <w:bCs w:val="0"/>
                <w:sz w:val="22"/>
                <w:szCs w:val="22"/>
              </w:rPr>
            </w:pPr>
          </w:p>
        </w:tc>
        <w:tc>
          <w:tcPr>
            <w:tcW w:w="833" w:type="pct"/>
            <w:gridSpan w:val="2"/>
            <w:shd w:val="clear" w:color="auto" w:fill="auto"/>
            <w:vAlign w:val="center"/>
          </w:tcPr>
          <w:p>
            <w:pPr>
              <w:pStyle w:val="9"/>
              <w:keepNext w:val="0"/>
              <w:keepLines w:val="0"/>
              <w:widowControl/>
              <w:suppressLineNumbers w:val="0"/>
              <w:jc w:val="right"/>
            </w:pPr>
            <w:r>
              <w:rPr>
                <w:b w:val="0"/>
                <w:bCs w:val="0"/>
                <w:sz w:val="20"/>
                <w:szCs w:val="20"/>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166" w:type="pct"/>
            <w:gridSpan w:val="10"/>
            <w:shd w:val="clear" w:color="auto" w:fill="auto"/>
            <w:vAlign w:val="center"/>
          </w:tcPr>
          <w:p>
            <w:pPr>
              <w:pStyle w:val="9"/>
              <w:keepNext w:val="0"/>
              <w:keepLines w:val="0"/>
              <w:widowControl/>
              <w:suppressLineNumbers w:val="0"/>
              <w:jc w:val="left"/>
            </w:pPr>
            <w:r>
              <w:rPr>
                <w:b w:val="0"/>
                <w:bCs w:val="0"/>
                <w:sz w:val="22"/>
                <w:szCs w:val="22"/>
              </w:rPr>
              <w:t>部门：石鼓区卫生计生综合监督执法局</w:t>
            </w:r>
          </w:p>
        </w:tc>
        <w:tc>
          <w:tcPr>
            <w:tcW w:w="833" w:type="pct"/>
            <w:gridSpan w:val="2"/>
            <w:shd w:val="clear" w:color="auto" w:fill="auto"/>
            <w:vAlign w:val="center"/>
          </w:tcPr>
          <w:p>
            <w:pPr>
              <w:pStyle w:val="9"/>
              <w:keepNext w:val="0"/>
              <w:keepLines w:val="0"/>
              <w:widowControl/>
              <w:suppressLineNumbers w:val="0"/>
              <w:jc w:val="right"/>
            </w:pPr>
            <w:r>
              <w:rPr>
                <w:b w:val="0"/>
                <w:bCs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500" w:type="pct"/>
            <w:gridSpan w:val="6"/>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预算数</w:t>
            </w:r>
          </w:p>
        </w:tc>
        <w:tc>
          <w:tcPr>
            <w:tcW w:w="2500" w:type="pct"/>
            <w:gridSpan w:val="6"/>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合计</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因公出国（境）费</w:t>
            </w:r>
          </w:p>
        </w:tc>
        <w:tc>
          <w:tcPr>
            <w:tcW w:w="1250"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公务用车购置及运行费</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公务接待费</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合计</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因公出国（境）费</w:t>
            </w:r>
          </w:p>
        </w:tc>
        <w:tc>
          <w:tcPr>
            <w:tcW w:w="1250"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公务用车购置及运行费</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小计</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公务用车购置费</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公务用车运行费</w:t>
            </w: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小计</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公务用车购置费</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公务用车运行费</w:t>
            </w: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2</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4</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5</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6</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7</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8</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9</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10</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11</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2.97</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2.97</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2.97</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2.97</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2.97</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2.97</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12"/>
            <w:shd w:val="clear" w:color="auto" w:fill="auto"/>
            <w:vAlign w:val="center"/>
          </w:tcPr>
          <w:p>
            <w:pPr>
              <w:pStyle w:val="9"/>
              <w:keepNext w:val="0"/>
              <w:keepLines w:val="0"/>
              <w:widowControl/>
              <w:suppressLineNumbers w:val="0"/>
              <w:jc w:val="left"/>
            </w:pPr>
            <w:r>
              <w:rPr>
                <w:b w:val="0"/>
                <w:bCs w:val="0"/>
                <w:sz w:val="22"/>
                <w:szCs w:val="22"/>
              </w:rPr>
              <w:t>注：本表反映部门本年度“三公”经费支出预决算情况。其中，预算数为“三公”经费全年预算数，反映按规定程序调整后的预算数；决算数是包括当年一般公共预算财政拨款和以前年度结转资金安排的实际支出。本表金额转换为万元时，因四舍五入可能存在尾数误差。</w:t>
            </w:r>
          </w:p>
        </w:tc>
      </w:tr>
    </w:tbl>
    <w:p>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33"/>
        <w:gridCol w:w="334"/>
        <w:gridCol w:w="334"/>
        <w:gridCol w:w="3458"/>
        <w:gridCol w:w="1180"/>
        <w:gridCol w:w="1969"/>
        <w:gridCol w:w="1075"/>
        <w:gridCol w:w="1527"/>
        <w:gridCol w:w="1517"/>
        <w:gridCol w:w="4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10"/>
            <w:shd w:val="clear" w:color="auto" w:fill="auto"/>
            <w:vAlign w:val="center"/>
          </w:tcPr>
          <w:p>
            <w:pPr>
              <w:pStyle w:val="9"/>
              <w:keepNext w:val="0"/>
              <w:keepLines w:val="0"/>
              <w:widowControl/>
              <w:suppressLineNumbers w:val="0"/>
              <w:jc w:val="center"/>
            </w:pPr>
            <w:r>
              <w:rPr>
                <w:b w:val="0"/>
                <w:bCs w:val="0"/>
                <w:sz w:val="40"/>
                <w:szCs w:val="40"/>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04" w:type="pct"/>
            <w:shd w:val="clear" w:color="auto" w:fill="auto"/>
            <w:vAlign w:val="center"/>
          </w:tcPr>
          <w:p>
            <w:pPr>
              <w:rPr>
                <w:rFonts w:hint="eastAsia" w:ascii="宋体"/>
                <w:b w:val="0"/>
                <w:bCs w:val="0"/>
                <w:sz w:val="22"/>
                <w:szCs w:val="22"/>
              </w:rPr>
            </w:pPr>
          </w:p>
        </w:tc>
        <w:tc>
          <w:tcPr>
            <w:tcW w:w="104" w:type="pct"/>
            <w:shd w:val="clear" w:color="auto" w:fill="auto"/>
            <w:vAlign w:val="center"/>
          </w:tcPr>
          <w:p>
            <w:pPr>
              <w:rPr>
                <w:rFonts w:hint="eastAsia" w:ascii="宋体"/>
                <w:b w:val="0"/>
                <w:bCs w:val="0"/>
                <w:sz w:val="22"/>
                <w:szCs w:val="22"/>
              </w:rPr>
            </w:pPr>
          </w:p>
        </w:tc>
        <w:tc>
          <w:tcPr>
            <w:tcW w:w="104" w:type="pct"/>
            <w:shd w:val="clear" w:color="auto" w:fill="auto"/>
            <w:vAlign w:val="center"/>
          </w:tcPr>
          <w:p>
            <w:pPr>
              <w:rPr>
                <w:rFonts w:hint="eastAsia" w:ascii="宋体"/>
                <w:b w:val="0"/>
                <w:bCs w:val="0"/>
                <w:sz w:val="22"/>
                <w:szCs w:val="22"/>
              </w:rPr>
            </w:pPr>
          </w:p>
        </w:tc>
        <w:tc>
          <w:tcPr>
            <w:tcW w:w="1078" w:type="pct"/>
            <w:shd w:val="clear" w:color="auto" w:fill="auto"/>
            <w:vAlign w:val="center"/>
          </w:tcPr>
          <w:p>
            <w:pPr>
              <w:rPr>
                <w:rFonts w:hint="eastAsia" w:ascii="宋体"/>
                <w:b w:val="0"/>
                <w:bCs w:val="0"/>
                <w:sz w:val="22"/>
                <w:szCs w:val="22"/>
              </w:rPr>
            </w:pPr>
          </w:p>
        </w:tc>
        <w:tc>
          <w:tcPr>
            <w:tcW w:w="368" w:type="pct"/>
            <w:shd w:val="clear" w:color="auto" w:fill="auto"/>
            <w:vAlign w:val="center"/>
          </w:tcPr>
          <w:p>
            <w:pPr>
              <w:rPr>
                <w:rFonts w:hint="eastAsia" w:ascii="宋体"/>
                <w:b w:val="0"/>
                <w:bCs w:val="0"/>
                <w:sz w:val="22"/>
                <w:szCs w:val="22"/>
              </w:rPr>
            </w:pPr>
          </w:p>
        </w:tc>
        <w:tc>
          <w:tcPr>
            <w:tcW w:w="614" w:type="pct"/>
            <w:shd w:val="clear" w:color="auto" w:fill="auto"/>
            <w:vAlign w:val="center"/>
          </w:tcPr>
          <w:p>
            <w:pPr>
              <w:rPr>
                <w:rFonts w:hint="eastAsia" w:ascii="宋体"/>
                <w:b w:val="0"/>
                <w:bCs w:val="0"/>
                <w:sz w:val="22"/>
                <w:szCs w:val="22"/>
              </w:rPr>
            </w:pPr>
          </w:p>
        </w:tc>
        <w:tc>
          <w:tcPr>
            <w:tcW w:w="335" w:type="pct"/>
            <w:shd w:val="clear" w:color="auto" w:fill="auto"/>
            <w:vAlign w:val="center"/>
          </w:tcPr>
          <w:p>
            <w:pPr>
              <w:rPr>
                <w:rFonts w:hint="eastAsia" w:ascii="宋体"/>
                <w:b w:val="0"/>
                <w:bCs w:val="0"/>
                <w:sz w:val="22"/>
                <w:szCs w:val="22"/>
              </w:rPr>
            </w:pPr>
          </w:p>
        </w:tc>
        <w:tc>
          <w:tcPr>
            <w:tcW w:w="473" w:type="pct"/>
            <w:shd w:val="clear" w:color="auto" w:fill="auto"/>
            <w:vAlign w:val="center"/>
          </w:tcPr>
          <w:p>
            <w:pPr>
              <w:rPr>
                <w:rFonts w:hint="eastAsia" w:ascii="宋体"/>
                <w:b w:val="0"/>
                <w:bCs w:val="0"/>
                <w:sz w:val="22"/>
                <w:szCs w:val="22"/>
              </w:rPr>
            </w:pPr>
          </w:p>
        </w:tc>
        <w:tc>
          <w:tcPr>
            <w:tcW w:w="1816" w:type="pct"/>
            <w:gridSpan w:val="2"/>
            <w:shd w:val="clear" w:color="auto" w:fill="auto"/>
            <w:vAlign w:val="center"/>
          </w:tcPr>
          <w:p>
            <w:pPr>
              <w:pStyle w:val="9"/>
              <w:keepNext w:val="0"/>
              <w:keepLines w:val="0"/>
              <w:widowControl/>
              <w:suppressLineNumbers w:val="0"/>
              <w:jc w:val="right"/>
            </w:pPr>
            <w:r>
              <w:rPr>
                <w:b w:val="0"/>
                <w:bCs w:val="0"/>
                <w:sz w:val="20"/>
                <w:szCs w:val="20"/>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183" w:type="pct"/>
            <w:gridSpan w:val="8"/>
            <w:shd w:val="clear" w:color="auto" w:fill="auto"/>
            <w:vAlign w:val="center"/>
          </w:tcPr>
          <w:p>
            <w:pPr>
              <w:pStyle w:val="9"/>
              <w:keepNext w:val="0"/>
              <w:keepLines w:val="0"/>
              <w:widowControl/>
              <w:suppressLineNumbers w:val="0"/>
              <w:jc w:val="left"/>
            </w:pPr>
            <w:r>
              <w:rPr>
                <w:b w:val="0"/>
                <w:bCs w:val="0"/>
                <w:sz w:val="22"/>
                <w:szCs w:val="22"/>
              </w:rPr>
              <w:t>部门：石鼓区卫生计生综合监督执法局</w:t>
            </w:r>
          </w:p>
        </w:tc>
        <w:tc>
          <w:tcPr>
            <w:tcW w:w="1816" w:type="pct"/>
            <w:gridSpan w:val="2"/>
            <w:shd w:val="clear" w:color="auto" w:fill="auto"/>
            <w:vAlign w:val="center"/>
          </w:tcPr>
          <w:p>
            <w:pPr>
              <w:pStyle w:val="9"/>
              <w:keepNext w:val="0"/>
              <w:keepLines w:val="0"/>
              <w:widowControl/>
              <w:suppressLineNumbers w:val="0"/>
              <w:jc w:val="right"/>
            </w:pPr>
            <w:r>
              <w:rPr>
                <w:b w:val="0"/>
                <w:bCs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390"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项目</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年初结转和结余</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本年收入</w:t>
            </w:r>
          </w:p>
        </w:tc>
        <w:tc>
          <w:tcPr>
            <w:tcW w:w="1281"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本年支出</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12" w:type="pct"/>
            <w:gridSpan w:val="3"/>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功能分类科目编码</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科目名称</w:t>
            </w: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小计</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基本支出</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项目支出</w:t>
            </w: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12"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390"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栏次</w:t>
            </w:r>
          </w:p>
        </w:tc>
        <w:tc>
          <w:tcPr>
            <w:tcW w:w="36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w:t>
            </w:r>
          </w:p>
        </w:tc>
        <w:tc>
          <w:tcPr>
            <w:tcW w:w="61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2</w:t>
            </w:r>
          </w:p>
        </w:tc>
        <w:tc>
          <w:tcPr>
            <w:tcW w:w="33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w:t>
            </w: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4</w:t>
            </w: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5</w:t>
            </w:r>
          </w:p>
        </w:tc>
        <w:tc>
          <w:tcPr>
            <w:tcW w:w="13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390"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合计</w:t>
            </w:r>
          </w:p>
        </w:tc>
        <w:tc>
          <w:tcPr>
            <w:tcW w:w="36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0.00</w:t>
            </w:r>
          </w:p>
        </w:tc>
        <w:tc>
          <w:tcPr>
            <w:tcW w:w="61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0.00</w:t>
            </w:r>
          </w:p>
        </w:tc>
        <w:tc>
          <w:tcPr>
            <w:tcW w:w="33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0.00</w:t>
            </w: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0.00</w:t>
            </w: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0.00</w:t>
            </w:r>
          </w:p>
        </w:tc>
        <w:tc>
          <w:tcPr>
            <w:tcW w:w="13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0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本年度无该项支出</w:t>
            </w:r>
          </w:p>
        </w:tc>
        <w:tc>
          <w:tcPr>
            <w:tcW w:w="36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61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335"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34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07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36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61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335"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34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07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36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61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335"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34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07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36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61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335"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34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07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36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61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335"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34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07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36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61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335"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34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0"/>
            <w:shd w:val="clear" w:color="auto" w:fill="auto"/>
            <w:vAlign w:val="center"/>
          </w:tcPr>
          <w:p>
            <w:pPr>
              <w:pStyle w:val="9"/>
              <w:keepNext w:val="0"/>
              <w:keepLines w:val="0"/>
              <w:widowControl/>
              <w:suppressLineNumbers w:val="0"/>
              <w:jc w:val="left"/>
            </w:pPr>
            <w:r>
              <w:rPr>
                <w:b w:val="0"/>
                <w:bCs w:val="0"/>
                <w:sz w:val="22"/>
                <w:szCs w:val="22"/>
              </w:rPr>
              <w:t>注：本表反映部门本年度政府性基金预算财政拨款收入、支出及结转和结余情况。本表金额转换为万元时，因四舍五入可能存在尾数误差。</w:t>
            </w:r>
          </w:p>
        </w:tc>
      </w:tr>
    </w:tbl>
    <w:p>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29"/>
        <w:gridCol w:w="529"/>
        <w:gridCol w:w="532"/>
        <w:gridCol w:w="6329"/>
        <w:gridCol w:w="2707"/>
        <w:gridCol w:w="2704"/>
        <w:gridCol w:w="2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7"/>
            <w:shd w:val="clear" w:color="auto" w:fill="auto"/>
            <w:vAlign w:val="center"/>
          </w:tcPr>
          <w:p>
            <w:pPr>
              <w:pStyle w:val="9"/>
              <w:keepNext w:val="0"/>
              <w:keepLines w:val="0"/>
              <w:widowControl/>
              <w:suppressLineNumbers w:val="0"/>
              <w:jc w:val="center"/>
            </w:pPr>
            <w:r>
              <w:rPr>
                <w:b w:val="0"/>
                <w:bCs w:val="0"/>
                <w:sz w:val="40"/>
                <w:szCs w:val="40"/>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65" w:type="pct"/>
            <w:shd w:val="clear" w:color="auto" w:fill="auto"/>
            <w:vAlign w:val="center"/>
          </w:tcPr>
          <w:p>
            <w:pPr>
              <w:rPr>
                <w:rFonts w:hint="eastAsia" w:ascii="宋体"/>
                <w:b w:val="0"/>
                <w:bCs w:val="0"/>
                <w:sz w:val="22"/>
                <w:szCs w:val="22"/>
              </w:rPr>
            </w:pPr>
          </w:p>
        </w:tc>
        <w:tc>
          <w:tcPr>
            <w:tcW w:w="165" w:type="pct"/>
            <w:shd w:val="clear" w:color="auto" w:fill="auto"/>
            <w:vAlign w:val="center"/>
          </w:tcPr>
          <w:p>
            <w:pPr>
              <w:rPr>
                <w:rFonts w:hint="eastAsia" w:ascii="宋体"/>
                <w:b w:val="0"/>
                <w:bCs w:val="0"/>
                <w:sz w:val="22"/>
                <w:szCs w:val="22"/>
              </w:rPr>
            </w:pPr>
          </w:p>
        </w:tc>
        <w:tc>
          <w:tcPr>
            <w:tcW w:w="165" w:type="pct"/>
            <w:shd w:val="clear" w:color="auto" w:fill="auto"/>
            <w:vAlign w:val="center"/>
          </w:tcPr>
          <w:p>
            <w:pPr>
              <w:rPr>
                <w:rFonts w:hint="eastAsia" w:ascii="宋体"/>
                <w:b w:val="0"/>
                <w:bCs w:val="0"/>
                <w:sz w:val="22"/>
                <w:szCs w:val="22"/>
              </w:rPr>
            </w:pPr>
          </w:p>
        </w:tc>
        <w:tc>
          <w:tcPr>
            <w:tcW w:w="1972" w:type="pct"/>
            <w:shd w:val="clear" w:color="auto" w:fill="auto"/>
            <w:vAlign w:val="center"/>
          </w:tcPr>
          <w:p>
            <w:pPr>
              <w:rPr>
                <w:rFonts w:hint="eastAsia" w:ascii="宋体"/>
                <w:b w:val="0"/>
                <w:bCs w:val="0"/>
                <w:sz w:val="22"/>
                <w:szCs w:val="22"/>
              </w:rPr>
            </w:pPr>
          </w:p>
        </w:tc>
        <w:tc>
          <w:tcPr>
            <w:tcW w:w="843" w:type="pct"/>
            <w:shd w:val="clear" w:color="auto" w:fill="auto"/>
            <w:vAlign w:val="center"/>
          </w:tcPr>
          <w:p>
            <w:pPr>
              <w:rPr>
                <w:rFonts w:hint="eastAsia" w:ascii="宋体"/>
                <w:b w:val="0"/>
                <w:bCs w:val="0"/>
                <w:sz w:val="22"/>
                <w:szCs w:val="22"/>
              </w:rPr>
            </w:pPr>
          </w:p>
        </w:tc>
        <w:tc>
          <w:tcPr>
            <w:tcW w:w="1686" w:type="pct"/>
            <w:gridSpan w:val="2"/>
            <w:shd w:val="clear" w:color="auto" w:fill="auto"/>
            <w:vAlign w:val="center"/>
          </w:tcPr>
          <w:p>
            <w:pPr>
              <w:pStyle w:val="9"/>
              <w:keepNext w:val="0"/>
              <w:keepLines w:val="0"/>
              <w:widowControl/>
              <w:suppressLineNumbers w:val="0"/>
              <w:jc w:val="right"/>
            </w:pPr>
            <w:r>
              <w:rPr>
                <w:b w:val="0"/>
                <w:bCs w:val="0"/>
                <w:sz w:val="20"/>
                <w:szCs w:val="20"/>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13" w:type="pct"/>
            <w:gridSpan w:val="5"/>
            <w:shd w:val="clear" w:color="auto" w:fill="auto"/>
            <w:vAlign w:val="center"/>
          </w:tcPr>
          <w:p>
            <w:pPr>
              <w:pStyle w:val="9"/>
              <w:keepNext w:val="0"/>
              <w:keepLines w:val="0"/>
              <w:widowControl/>
              <w:suppressLineNumbers w:val="0"/>
              <w:jc w:val="left"/>
            </w:pPr>
            <w:r>
              <w:rPr>
                <w:b w:val="0"/>
                <w:bCs w:val="0"/>
                <w:sz w:val="22"/>
                <w:szCs w:val="22"/>
              </w:rPr>
              <w:t>部门：石鼓区卫生计生综合监督执法局</w:t>
            </w:r>
          </w:p>
        </w:tc>
        <w:tc>
          <w:tcPr>
            <w:tcW w:w="1686" w:type="pct"/>
            <w:gridSpan w:val="2"/>
            <w:shd w:val="clear" w:color="auto" w:fill="auto"/>
            <w:vAlign w:val="center"/>
          </w:tcPr>
          <w:p>
            <w:pPr>
              <w:pStyle w:val="9"/>
              <w:keepNext w:val="0"/>
              <w:keepLines w:val="0"/>
              <w:widowControl/>
              <w:suppressLineNumbers w:val="0"/>
              <w:jc w:val="right"/>
            </w:pPr>
            <w:r>
              <w:rPr>
                <w:b w:val="0"/>
                <w:bCs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469"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项目</w:t>
            </w:r>
          </w:p>
        </w:tc>
        <w:tc>
          <w:tcPr>
            <w:tcW w:w="2530"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96" w:type="pct"/>
            <w:gridSpan w:val="3"/>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功能分类科目编码</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科目名称</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合计</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基本支出</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96"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469"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栏次</w:t>
            </w: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w:t>
            </w: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2</w:t>
            </w: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469"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合计</w:t>
            </w: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0.00</w:t>
            </w: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0.00</w:t>
            </w: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97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本年度无该项支出</w:t>
            </w: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97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97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97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97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97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7"/>
            <w:shd w:val="clear" w:color="auto" w:fill="auto"/>
            <w:vAlign w:val="center"/>
          </w:tcPr>
          <w:p>
            <w:pPr>
              <w:pStyle w:val="9"/>
              <w:keepNext w:val="0"/>
              <w:keepLines w:val="0"/>
              <w:widowControl/>
              <w:suppressLineNumbers w:val="0"/>
              <w:jc w:val="left"/>
            </w:pPr>
            <w:r>
              <w:rPr>
                <w:b w:val="0"/>
                <w:bCs w:val="0"/>
                <w:sz w:val="22"/>
                <w:szCs w:val="22"/>
              </w:rPr>
              <w:t>注：本表反映部门本年度国有资本经营预算财政拨款支出情况。本表金额转换为万元时，因四舍五入可能存在尾数误差。</w:t>
            </w:r>
          </w:p>
        </w:tc>
      </w:tr>
    </w:tbl>
    <w:p>
      <w:pPr>
        <w:rPr>
          <w:color w:val="000000"/>
          <w:sz w:val="32"/>
          <w:szCs w:val="32"/>
        </w:rPr>
        <w:sectPr>
          <w:pgSz w:w="16838" w:h="11906"/>
          <w:pgMar w:top="1080" w:right="400" w:bottom="1080" w:left="400" w:header="851" w:footer="992" w:gutter="0"/>
          <w:cols w:space="0" w:num="1"/>
          <w:docGrid w:type="linesAndChars" w:linePitch="160" w:charSpace="0"/>
        </w:sectPr>
      </w:pPr>
    </w:p>
    <w:p>
      <w:pPr>
        <w:spacing w:before="0" w:beforeAutospacing="0" w:after="2" w:afterAutospacing="0"/>
        <w:jc w:val="center"/>
        <w:rPr>
          <w:sz w:val="21"/>
          <w:szCs w:val="21"/>
        </w:rPr>
      </w:pPr>
      <w:r>
        <w:rPr>
          <w:rFonts w:hint="eastAsia" w:ascii="宋体" w:hAnsi="宋体" w:eastAsia="宋体" w:cs="宋体"/>
          <w:b/>
          <w:bCs/>
          <w:color w:val="000000"/>
          <w:sz w:val="36"/>
          <w:szCs w:val="36"/>
        </w:rPr>
        <w:t>第三部分 2021年度部门决算情况说明</w:t>
      </w:r>
      <w:r>
        <w:rPr>
          <w:color w:val="000000"/>
          <w:sz w:val="21"/>
          <w:szCs w:val="21"/>
        </w:rPr>
        <w:t xml:space="preserve"> </w:t>
      </w:r>
    </w:p>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一、收入支出决算总体情况说明</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2021年度收、支总计119.8万元。与上一年度相比，收、支总计各增加49.01万元，增长69.23%。主要是因为本单位为2020年新增的，财政资金是按照新增时间段安排到位，本年度财政资金则是全年安排到位。</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二、收入决算情况说明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2021年度收入合计119.8万元，其中：财政拨款收入107.58万元，占89.8%；上级补助收入0万元，占0%；事业收入0万元，占0%；经营收入0万元，占0%；附属单位上缴收入0万元，占0%；其他收入12.22万元，占10.2%。</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三、支出决算情况说明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2021年度支出合计113.68万元，其中：基本支出81.58万元，占71.75%；项目支出32.11万元，占28.25%；上缴上级支出0万元，占0%；经营支出0万元，占0%；对附属单位补助支出0万元，占0%。</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四、财政拨款收入支出决算总体情况说明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2021年度财政拨款收、支总计107.58万元，其中：一般公共预算财政拨款107.58万元，政府性基金财政拨款0万元。与上一年度相比，财政拨款收、支总计各增加36.79万元，增长51.97%。主要是因为本单位为2020年新增的，财政资金是按照新增时间段安排到位，本年度财政资金则是全年安排到位。</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五、一般公共预算财政拨款支出决算情况说明</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（一）财政拨款支出决算总体情况</w:t>
      </w:r>
      <w:r>
        <w:rPr>
          <w:color w:val="000000"/>
          <w:sz w:val="27"/>
          <w:szCs w:val="27"/>
        </w:rPr>
        <w:t xml:space="preserve"> </w:t>
      </w:r>
    </w:p>
    <w:p>
      <w:pPr>
        <w:pStyle w:val="14"/>
        <w:spacing w:before="0" w:beforeAutospacing="0" w:after="2" w:afterAutospacing="0"/>
        <w:ind w:left="0" w:firstLine="855"/>
        <w:rPr>
          <w:sz w:val="27"/>
          <w:szCs w:val="27"/>
        </w:rPr>
      </w:pPr>
      <w:r>
        <w:rPr>
          <w:rFonts w:ascii="宋体" w:hAnsi="宋体" w:eastAsia="宋体" w:cs="宋体"/>
          <w:color w:val="000000"/>
          <w:sz w:val="32"/>
          <w:szCs w:val="32"/>
        </w:rPr>
        <w:t>2021年度财政拨款支出107.58万元，其中：基本支出</w:t>
      </w:r>
      <w:r>
        <w:rPr>
          <w:rFonts w:hint="eastAsia" w:ascii="宋体" w:hAnsi="宋体" w:eastAsia="宋体" w:cs="宋体"/>
          <w:color w:val="000000"/>
          <w:sz w:val="32"/>
          <w:szCs w:val="32"/>
        </w:rPr>
        <w:t>81.58</w:t>
      </w:r>
      <w:r>
        <w:rPr>
          <w:rFonts w:ascii="宋体" w:hAnsi="宋体" w:eastAsia="宋体" w:cs="宋体"/>
          <w:color w:val="000000"/>
          <w:sz w:val="32"/>
          <w:szCs w:val="32"/>
        </w:rPr>
        <w:t>万元，项目支出</w:t>
      </w:r>
      <w:r>
        <w:rPr>
          <w:rFonts w:hint="eastAsia" w:ascii="宋体" w:hAnsi="宋体" w:eastAsia="宋体" w:cs="宋体"/>
          <w:color w:val="000000"/>
          <w:sz w:val="32"/>
          <w:szCs w:val="32"/>
        </w:rPr>
        <w:t>26</w:t>
      </w:r>
      <w:r>
        <w:rPr>
          <w:rFonts w:ascii="宋体" w:hAnsi="宋体" w:eastAsia="宋体" w:cs="宋体"/>
          <w:color w:val="000000"/>
          <w:sz w:val="32"/>
          <w:szCs w:val="32"/>
        </w:rPr>
        <w:t>万元。占本年支出合计的94.63%。与上一年度相比，财政拨款支出增加36.79万元，增长51.97%。主要是因为本单位为2020年新增的，财政资金是按照新增时间段安排到位，本年度财政资金则是全年安排到位。</w:t>
      </w:r>
      <w:r>
        <w:rPr>
          <w:rFonts w:hint="eastAsia" w:ascii="宋体" w:hAnsi="宋体" w:eastAsia="宋体" w:cs="宋体"/>
          <w:color w:val="000000"/>
          <w:sz w:val="32"/>
          <w:szCs w:val="32"/>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（二）财政拨款支出决算结构情况</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2021年度财政拨款支出107.58万元，主要用于以下方面：社会保障和就业支出6.84万元，占6.36%；卫生健康支出95.85万元，占89.1%；住房保障支出4.88万元，占4.54%。</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（三）财政拨款支出决算具体情况</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2021年度财政拨款支出年初预算数为90.39万元，支出决算数为107.58万元，完成年初预算的119.02%，其中：</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1、社会保障和就业支出（类）行政事业单位养老支出（款）机关事业单位基本养老保险缴费支出（项）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年初预算为6.84万元，支出决算为6.84万元，完成年初预算的100%。决算数与年初预算数一致，我单位严格按预算执行决算。</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2、卫生健康支出（类）公共卫生（款）卫生监督机构（项）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年初预算为75.13万元，支出决算为92.31万元，完成年初预算的122.87%。决算数大于年初预算数的主要原因是：国家下拨专项业务经费及区级财政安排疫情防控经费。</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3、卫生健康支出（类）行政事业单位医疗（款）事业单位医疗（项）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年初预算为3.54万元，支出决算为3.54万元，完成年初预算的100%。决算数与年初预算数一致，我单位严格按预算执行决算。</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4、住房保障支出（类）住房改革支出（款）住房公积金（项）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年初预算为4.88万元，支出决算为4.88万元，完成年初预算的100%。决算数与年初预算数一致，我单位严格按预算执行决算。</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六、一般公共预算财政拨款基本支出决算情况说明</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2021年度财政拨款基本支出81.58万元，其中：人员经费73.5万元，占基本支出的90.11%，主要包括：基本工资、津贴补贴、奖金、绩效工资、机关事业单位基本养老保险缴费、职工基本医疗保险缴费、住房公积金、其他工资福利支出。公用经费8.07万元，占基本支出的9.89%，主要包括：办公费、维修（护）费、培训费、劳务费、委托业务费、公务用车运行维护费、其他商品和服务支出。</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七、一般公共预算财政拨款三公经费支出决算情况说明</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（一）“三公”经费财政拨款支出决算总体情况说明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2021年度“三公”经费财政拨款支出预算为2.97万元，支出决算为2.97万元，完成预算的100%，</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其中：</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因公出国（境）费支出预算为0万元，支出决算为0万元，决算数与预算数一致，我单位严格按预算执行决算，因公出国（境）费支出与上年持平。</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公务接待费支出预算为0万元，支出决算为0万元，决算数与预算数一致，我单位严格按预算执行决算，与上年相比减少0.09万元，下降100%，下降的主要原因是减少不必要的开支，开源节流。</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公务用车购置费支出预算为0万元，支出决算为0万元，决算数与预算数一致，我单位严格按预算执行决算，公务用车购置费支出与上年持平。</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公务用车运行维护费支出预算为2.97万元，支出决算为2.97万元，完成预算的100%，决算数与预算数一致，我单位严格按预算执行决算，与上年相比增加1.87万元，增长170%，增长的主要原因是因新冠疫情防控的业务需要，我单位公务用车使用频率较以往有所增加，导致本年度费用增长。</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（二）“三公”经费财政拨款支出决算具体情况说明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2021年度“三公”经费财政拨款支出决算中，公务接待费支出决算0万元，占0%，因公出国（境）费支出决算0万元，占0%，公务用车购置费及运行维护费支出决算2.97万元，占100%。其中：</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1、因公出国（境）费支出决算为0万元，全年安排因公出国（境）团组0个，累计0人次，我单位2021年度无因公出国（境）费支出。</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2、公务接待费支出决算为0万元，全年共接待来访团组0个、来宾0人次，我单位2021年度无公务接待费支出。</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3、公务用车购置费及运行维护费支出决算为2.97万元，其中：公务用车购置费0万元，</w:t>
      </w:r>
      <w:r>
        <w:rPr>
          <w:rFonts w:hint="eastAsia" w:ascii="宋体" w:hAnsi="宋体" w:eastAsia="宋体" w:cs="宋体"/>
          <w:color w:val="000000"/>
          <w:sz w:val="32"/>
          <w:szCs w:val="32"/>
          <w:lang w:eastAsia="zh-CN"/>
        </w:rPr>
        <w:t>单位本级</w:t>
      </w:r>
      <w:r>
        <w:rPr>
          <w:rFonts w:hint="eastAsia" w:ascii="宋体" w:hAnsi="宋体" w:eastAsia="宋体" w:cs="宋体"/>
          <w:color w:val="000000"/>
          <w:sz w:val="32"/>
          <w:szCs w:val="32"/>
        </w:rPr>
        <w:t>更新公务用车0辆。公务用车运行维护费2.97万元，主要是用于本单位车辆日常业务支出支出，截至2021年12月31日，我单位开支财政拨款的公务用车保有量为2辆。</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八、政府性基金预算收入支出决算情况</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 xml:space="preserve">石鼓区卫生计生综合监督执法局2021年度没有政府性基金收入，也没有使用政府性基金安排的支出，并已公开空表。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九、关于机关运行经费支出说明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石鼓区卫生计生综合监督执法局为非参公事业单位和非行政单位，未纳入机关运行经费统计范围，故机关运行经费为0万元。</w:t>
      </w:r>
    </w:p>
    <w:p>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十、一般性支出情况</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2021年度石鼓区卫生计生综合监督执法局开支会议费0万元，我单位2021年度无会议费支出；开支培训费0.13万元，开展2次培训，人数25人，内容为卫生监督监测等方面工作；举办0场节庆、晚会、论坛、赛事活动，开支0万元。</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十一、关于政府采购支出说明</w:t>
      </w:r>
      <w:r>
        <w:rPr>
          <w:color w:val="000000"/>
          <w:sz w:val="27"/>
          <w:szCs w:val="27"/>
        </w:rPr>
        <w:t xml:space="preserve"> </w:t>
      </w:r>
    </w:p>
    <w:p>
      <w:pPr>
        <w:pStyle w:val="14"/>
        <w:spacing w:before="0" w:beforeAutospacing="0" w:after="2" w:afterAutospacing="0"/>
        <w:ind w:left="0" w:firstLine="640"/>
        <w:jc w:val="both"/>
        <w:rPr>
          <w:sz w:val="27"/>
          <w:szCs w:val="27"/>
        </w:rPr>
      </w:pPr>
      <w:r>
        <w:rPr>
          <w:rFonts w:hint="eastAsia" w:ascii="宋体" w:hAnsi="宋体" w:eastAsia="宋体" w:cs="宋体"/>
          <w:color w:val="000000"/>
          <w:sz w:val="32"/>
          <w:szCs w:val="32"/>
        </w:rPr>
        <w:t xml:space="preserve">石鼓区卫生计生综合监督执法局2021年度政府采购支出总额0万元，其中：政府采购货物支出0万元、政府采购工程支出0万元、政府采购服务支出0万元。授予中小企业合同金额0万元，占政府采购支出总额的0%，其中：授予小微企业合同金额0万元，占政府采购支出总额的0%。货物采购授予中小企业合同金额占货物支出金额的0%，工程采购授予中小企业合同金额占工程支出金额的0%，服务采购授予中小企业合同金额占服务支出金额的0%。 </w:t>
      </w:r>
    </w:p>
    <w:p>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十二、关于国有资产占用情况说明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截至2021年12月31日，石鼓区卫生计生综合监督执法局共有车辆2辆（台），其中：机要通信用车0辆、应急保障用车0辆、执法执勤用车2辆、特种专业技术用车0辆、其他用车0辆；单价50万元（含）以上通用设备0台（套），单价100万元（含）以上专用设备0台（套）。</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十三、关于2021年度预算绩效情况说明</w:t>
      </w:r>
      <w:r>
        <w:rPr>
          <w:color w:val="000000"/>
          <w:sz w:val="27"/>
          <w:szCs w:val="27"/>
        </w:rPr>
        <w:t xml:space="preserve"> </w:t>
      </w:r>
    </w:p>
    <w:p>
      <w:pPr>
        <w:pStyle w:val="14"/>
        <w:spacing w:before="0" w:beforeAutospacing="0" w:after="2" w:afterAutospacing="0"/>
        <w:ind w:left="0" w:firstLine="640"/>
        <w:rPr>
          <w:sz w:val="27"/>
          <w:szCs w:val="27"/>
        </w:rPr>
      </w:pPr>
      <w:r>
        <w:rPr>
          <w:rStyle w:val="12"/>
          <w:rFonts w:ascii="宋体" w:hAnsi="宋体" w:eastAsia="宋体" w:cs="宋体"/>
          <w:color w:val="000000"/>
          <w:sz w:val="36"/>
          <w:szCs w:val="36"/>
        </w:rPr>
        <w:t>（1）绩效管理评价工作开展情况。</w:t>
      </w:r>
    </w:p>
    <w:p>
      <w:pPr>
        <w:pStyle w:val="14"/>
        <w:spacing w:before="0" w:beforeAutospacing="0" w:after="2" w:afterAutospacing="0"/>
        <w:ind w:left="0" w:firstLine="640"/>
        <w:rPr>
          <w:sz w:val="27"/>
          <w:szCs w:val="27"/>
        </w:rPr>
      </w:pPr>
      <w:r>
        <w:rPr>
          <w:rFonts w:ascii="宋体" w:hAnsi="宋体" w:eastAsia="宋体" w:cs="宋体"/>
          <w:color w:val="000000"/>
          <w:sz w:val="32"/>
          <w:szCs w:val="32"/>
        </w:rPr>
        <w:t>根据预算绩效管理要求，我部门组织对2021年度一般公共预算项目支出全面开展绩效自评，其中，一级项目2个，二级项目0个，共涉及资金26万元，占一般公共预算项目支出总额的100%。组织对2021年度政府性基金预算项目支出开展绩效自评，共涉及资金0万元，占政府性基金预算项目支出总额的0%。组织对2021年度国有资本经营预算项目支出开展绩效自评，共涉及资金0元，占国有资本经营预算项目支出总额的0%。</w:t>
      </w:r>
      <w:r>
        <w:rPr>
          <w:color w:val="000000"/>
          <w:sz w:val="27"/>
          <w:szCs w:val="27"/>
        </w:rPr>
        <w:t xml:space="preserve"> </w:t>
      </w:r>
    </w:p>
    <w:p>
      <w:pPr>
        <w:pStyle w:val="14"/>
        <w:spacing w:before="0" w:beforeAutospacing="0" w:after="2" w:afterAutospacing="0"/>
        <w:ind w:left="0" w:firstLine="640"/>
        <w:rPr>
          <w:sz w:val="27"/>
          <w:szCs w:val="27"/>
        </w:rPr>
      </w:pPr>
      <w:r>
        <w:rPr>
          <w:rFonts w:ascii="宋体" w:hAnsi="宋体" w:eastAsia="宋体" w:cs="宋体"/>
          <w:color w:val="000000"/>
          <w:sz w:val="32"/>
          <w:szCs w:val="32"/>
        </w:rPr>
        <w:t>组织对“检测经费”“综合执法经费”等2个项目开展了部门评价，涉及一般公共预算支出26万元，政府性基金预算支出0万元，国有资本经营预算支出0万元。从评价情况来看，严格按预算执行、管理制度健全，支出符合国家财经法规和财务管理制度规定，项目基本在预定时间内实施完成，质量达标率达到预期，项目实施成本控制较好。</w:t>
      </w:r>
      <w:r>
        <w:rPr>
          <w:color w:val="000000"/>
          <w:sz w:val="27"/>
          <w:szCs w:val="27"/>
        </w:rPr>
        <w:t xml:space="preserve"> </w:t>
      </w:r>
    </w:p>
    <w:p>
      <w:pPr>
        <w:pStyle w:val="14"/>
        <w:spacing w:before="0" w:beforeAutospacing="0" w:after="2" w:afterAutospacing="0"/>
        <w:ind w:left="0" w:firstLine="640"/>
        <w:rPr>
          <w:sz w:val="27"/>
          <w:szCs w:val="27"/>
        </w:rPr>
      </w:pPr>
      <w:r>
        <w:rPr>
          <w:rFonts w:ascii="宋体" w:hAnsi="宋体" w:eastAsia="宋体" w:cs="宋体"/>
          <w:color w:val="000000"/>
          <w:sz w:val="32"/>
          <w:szCs w:val="32"/>
        </w:rPr>
        <w:t>组织对本单位开展整体支出绩效评价，涉及一般公共预算支出107.58万元，政府性基金预算支出0万元。从评价情况来看，本单位严格按照年初预算进行部门整体支出，在支出过程中，能严格遵守各项规章制度；加强财务管理，严格财务审核；抓好“三公经费”控制管理，确保各项业务工作任务圆满完成。</w:t>
      </w:r>
    </w:p>
    <w:p>
      <w:pPr>
        <w:pStyle w:val="14"/>
        <w:spacing w:before="0" w:beforeAutospacing="0" w:after="2" w:afterAutospacing="0"/>
        <w:ind w:left="0" w:firstLine="640"/>
        <w:rPr>
          <w:sz w:val="27"/>
          <w:szCs w:val="27"/>
        </w:rPr>
      </w:pPr>
      <w:r>
        <w:rPr>
          <w:rStyle w:val="12"/>
          <w:rFonts w:ascii="宋体" w:hAnsi="宋体" w:eastAsia="宋体" w:cs="宋体"/>
          <w:color w:val="000000"/>
          <w:sz w:val="36"/>
          <w:szCs w:val="36"/>
        </w:rPr>
        <w:t>（2）部门决算中项目绩效自评结果。</w:t>
      </w:r>
      <w:r>
        <w:rPr>
          <w:color w:val="000000"/>
          <w:sz w:val="27"/>
          <w:szCs w:val="27"/>
        </w:rPr>
        <w:t xml:space="preserve"> </w:t>
      </w:r>
    </w:p>
    <w:p>
      <w:pPr>
        <w:pStyle w:val="14"/>
        <w:spacing w:before="0" w:beforeAutospacing="0" w:after="2" w:afterAutospacing="0"/>
        <w:ind w:left="0" w:firstLine="640"/>
        <w:rPr>
          <w:sz w:val="27"/>
          <w:szCs w:val="27"/>
        </w:rPr>
      </w:pPr>
      <w:r>
        <w:rPr>
          <w:rFonts w:ascii="宋体" w:hAnsi="宋体" w:eastAsia="宋体" w:cs="宋体"/>
          <w:color w:val="000000"/>
          <w:sz w:val="32"/>
          <w:szCs w:val="32"/>
        </w:rPr>
        <w:t>一、检测经费项目绩效自评综述：根据年初设定的绩效目标，项目全年预算数为20万元，执行数为20万元，完成预算的100%。项目绩效目标完成情况：医疗监督执法、疫情及传染病卫生监督执法、职业卫生监督检查、计划生育监督执法、双随机任务、学校卫生监督执法及公共场所及饮用水卫生监督执法等方面的业务工作完成率达到预期并在预定时间内实施完成。发现的主要问题及原因：一是农村集中式供水卫生管理需加强，农村集中式供水点水源易受污染，缺少日常维护管理；二是由于执法局人员有限，新冠肺炎疫情期间需监督的单位类别多，范围广，数量超出承受能力，执法局对医疗机构、重点场所等单位进行检查，监督难以全覆盖。对数量较多的美容美发的检查，事实上由执法局和社区卫生服务中心医疗小分队共同完成；三是由于衡阳市新冠肺炎疫情“清零”后，个别单位负责人思想松懈，个人防护措施不到位较为普遍，尤其以小理发店、小副食店等六小门店问题较为突出；个别诊所个人防护措施不到位。下一步改进措施：一是规范落实好国家双随机任务要求，加强卫生监督及行政处罚的工作力度，突出重点，注重成效，加大推行</w:t>
      </w:r>
      <w:r>
        <w:rPr>
          <w:rFonts w:hint="eastAsia" w:ascii="宋体" w:hAnsi="宋体" w:eastAsia="宋体" w:cs="宋体"/>
          <w:color w:val="000000"/>
          <w:sz w:val="32"/>
          <w:szCs w:val="32"/>
          <w:lang w:eastAsia="zh-CN"/>
        </w:rPr>
        <w:t>“</w:t>
      </w:r>
      <w:bookmarkStart w:id="0" w:name="_GoBack"/>
      <w:bookmarkEnd w:id="0"/>
      <w:r>
        <w:rPr>
          <w:rFonts w:hint="eastAsia" w:ascii="宋体" w:hAnsi="宋体" w:eastAsia="宋体" w:cs="宋体"/>
          <w:color w:val="000000"/>
          <w:sz w:val="32"/>
          <w:szCs w:val="32"/>
        </w:rPr>
        <w:t>双随机、一公开”</w:t>
      </w:r>
      <w:r>
        <w:rPr>
          <w:rFonts w:ascii="宋体" w:hAnsi="宋体" w:eastAsia="宋体" w:cs="宋体"/>
          <w:color w:val="000000"/>
          <w:sz w:val="32"/>
          <w:szCs w:val="32"/>
        </w:rPr>
        <w:t>，从市场主体名录库中随机抽取检查对象，从执法检查人员名录库中随机选派执法检查人员，做到全程留痕，实现责任可追溯。抓好专项整治工作。进一步加强卫生监督执法工作，开展行政执法文书、信访投诉处理等专项稽查工作，及时发现和纠正卫生监督执法工作中存在的问题。进一步将双随机监督抽查、各项专项监督检查工作与日常监督工作相结合，提高工作效率；二是我局卫生监督执法队伍人数少不稳定，具备执法证的人员数目更少且年龄结构不合理，整体素质不强，将加快队伍建设，提高综合执法能力；三是做好卫生计生监督信息上报工作，加强卫生执法普法宣传。做好卫生监督信息平台的日常维护管理工作，及时报送卫生监督信息，报道卫生监督工作动态，加强宣传，树立卫生监督社会形象。完成各项卫生监督抽检工作，及时上报有关工作信息。项目绩效自评综述：1、规范公共场所经营秩序，卫生许可办证率达到98%，日常监管达到100%以上；2、大力整顿医疗市场，严厉打击非法行医行为，日常监管率达100%；3、保障全区人民生活饮用水安全，强化了突发公共卫生事件应急机制，传染病、生活饮用水、放射卫生、学校卫生监督率100%。二、综合执法项目绩效自评综述：根据年初设定的绩效目标，项目全年预算数为6万元，执行数为6万元，完成预算的100%。项目绩效目标完成情况：综合执法装备购置及综合执法相关配套等方面的工作，已在规定时间内按时按质的完成。发现的主要问题及原因：主要是由于执法局人员、车辆有限，目前辖区内需进行卫生监督工作的单位多、类别多，范围广，数量超出承受能力，执法局对医疗机构、重点场所、美容美发、工业园区等单位进行检查，监督、监管难以全覆盖，本年度虽然后已完善了部分硬件，但大多数的硬软件以及单位的执法车辆都超过或是接近报废的年限，从一定程度上影响工作的开展进度。下一步改进措施，逐步加强及更新卫生监督相关硬件和软件配置的力度，保障卫生监督工作的顺利开展。项目绩效自评综述：按要求执行政府采购，严控支出，严格按照预算执行，更新卫生监督装备。</w:t>
      </w:r>
      <w:r>
        <w:rPr>
          <w:color w:val="000000"/>
          <w:sz w:val="27"/>
          <w:szCs w:val="27"/>
        </w:rPr>
        <w:t xml:space="preserve"> </w:t>
      </w:r>
    </w:p>
    <w:p>
      <w:pPr>
        <w:pStyle w:val="14"/>
        <w:spacing w:before="0" w:beforeAutospacing="0" w:after="2" w:afterAutospacing="0"/>
        <w:ind w:left="0" w:firstLine="640"/>
        <w:rPr>
          <w:sz w:val="27"/>
          <w:szCs w:val="27"/>
        </w:rPr>
      </w:pPr>
      <w:r>
        <w:rPr>
          <w:rStyle w:val="12"/>
          <w:rFonts w:ascii="宋体" w:hAnsi="宋体" w:eastAsia="宋体" w:cs="宋体"/>
          <w:color w:val="000000"/>
          <w:sz w:val="36"/>
          <w:szCs w:val="36"/>
        </w:rPr>
        <w:t>（3）部门评价项目绩效评价结果。</w:t>
      </w:r>
    </w:p>
    <w:p>
      <w:pPr>
        <w:pStyle w:val="14"/>
        <w:spacing w:before="0" w:beforeAutospacing="0" w:after="2" w:afterAutospacing="0"/>
        <w:ind w:left="0" w:firstLine="640"/>
        <w:rPr>
          <w:sz w:val="27"/>
          <w:szCs w:val="27"/>
        </w:rPr>
      </w:pPr>
      <w:r>
        <w:rPr>
          <w:rFonts w:ascii="宋体" w:hAnsi="宋体" w:eastAsia="宋体" w:cs="宋体"/>
          <w:color w:val="000000"/>
          <w:sz w:val="32"/>
          <w:szCs w:val="32"/>
        </w:rPr>
        <w:t>部门评价项目绩效评价结果详见附件。</w:t>
      </w:r>
    </w:p>
    <w:p>
      <w:pPr>
        <w:keepNext w:val="0"/>
        <w:keepLines w:val="0"/>
        <w:widowControl/>
        <w:suppressLineNumbers w:val="0"/>
        <w:jc w:val="left"/>
      </w:pPr>
    </w:p>
    <w:p>
      <w:pPr>
        <w:pStyle w:val="9"/>
        <w:keepNext w:val="0"/>
        <w:keepLines w:val="0"/>
        <w:widowControl/>
        <w:suppressLineNumbers w:val="0"/>
        <w:spacing w:before="0" w:beforeAutospacing="0" w:after="2" w:afterAutospacing="0"/>
      </w:pPr>
    </w:p>
    <w:p>
      <w:pPr>
        <w:pStyle w:val="9"/>
        <w:keepNext w:val="0"/>
        <w:keepLines w:val="0"/>
        <w:widowControl/>
        <w:suppressLineNumbers w:val="0"/>
        <w:spacing w:before="0" w:beforeAutospacing="0" w:after="2" w:afterAutospacing="0"/>
      </w:pPr>
    </w:p>
    <w:p/>
    <w:p>
      <w:pPr>
        <w:spacing w:before="0" w:beforeAutospacing="0" w:after="2" w:afterAutospacing="0"/>
        <w:jc w:val="center"/>
        <w:rPr>
          <w:sz w:val="21"/>
          <w:szCs w:val="21"/>
        </w:rPr>
      </w:pPr>
      <w:r>
        <w:rPr>
          <w:rFonts w:ascii="宋体" w:hAnsi="宋体" w:eastAsia="宋体" w:cs="宋体"/>
          <w:b/>
          <w:bCs/>
          <w:color w:val="000000"/>
          <w:sz w:val="36"/>
          <w:szCs w:val="36"/>
        </w:rPr>
        <w:t>第四部分</w:t>
      </w:r>
      <w:r>
        <w:rPr>
          <w:rFonts w:hint="eastAsia" w:ascii="宋体" w:hAnsi="宋体" w:eastAsia="宋体" w:cs="宋体"/>
          <w:b/>
          <w:bCs/>
          <w:color w:val="000000"/>
          <w:sz w:val="36"/>
          <w:szCs w:val="36"/>
        </w:rPr>
        <w:t xml:space="preserve"> </w:t>
      </w:r>
      <w:r>
        <w:rPr>
          <w:rFonts w:ascii="宋体" w:hAnsi="宋体" w:eastAsia="宋体" w:cs="宋体"/>
          <w:b/>
          <w:bCs/>
          <w:color w:val="000000"/>
          <w:sz w:val="36"/>
          <w:szCs w:val="36"/>
        </w:rPr>
        <w:t>名词解释</w:t>
      </w:r>
      <w:r>
        <w:rPr>
          <w:color w:val="000000"/>
          <w:sz w:val="21"/>
          <w:szCs w:val="21"/>
        </w:rPr>
        <w:t xml:space="preserve"> </w:t>
      </w:r>
    </w:p>
    <w:p>
      <w:pPr>
        <w:spacing w:before="0" w:beforeAutospacing="0" w:after="2" w:afterAutospacing="0" w:line="336" w:lineRule="atLeast"/>
        <w:ind w:left="0" w:right="0" w:firstLine="643"/>
        <w:rPr>
          <w:rFonts w:ascii="Calibri" w:hAnsi="Calibri" w:cs="Calibri"/>
          <w:sz w:val="21"/>
          <w:szCs w:val="21"/>
        </w:rPr>
      </w:pPr>
      <w:r>
        <w:rPr>
          <w:rFonts w:ascii="宋体" w:hAnsi="宋体" w:eastAsia="宋体" w:cs="宋体"/>
          <w:b/>
          <w:bCs/>
          <w:color w:val="000000"/>
          <w:sz w:val="32"/>
          <w:szCs w:val="32"/>
        </w:rPr>
        <w:t>财政拨款收入</w:t>
      </w:r>
      <w:r>
        <w:rPr>
          <w:rFonts w:ascii="宋体" w:hAnsi="宋体" w:eastAsia="宋体" w:cs="宋体"/>
          <w:color w:val="000000"/>
          <w:sz w:val="32"/>
          <w:szCs w:val="32"/>
        </w:rPr>
        <w:t>：指财政当年拨付的资金。包括一般公共预算财政拨款和政府性基金财政拨款。</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上级补助收入</w:t>
      </w:r>
      <w:r>
        <w:rPr>
          <w:rFonts w:ascii="宋体" w:hAnsi="宋体" w:eastAsia="宋体" w:cs="宋体"/>
          <w:color w:val="000000"/>
          <w:sz w:val="32"/>
          <w:szCs w:val="32"/>
        </w:rPr>
        <w:t>：指事业单位从主管部门和上级单位取得的非财政补助收入。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事业收入：</w:t>
      </w:r>
      <w:r>
        <w:rPr>
          <w:rFonts w:ascii="宋体" w:hAnsi="宋体" w:eastAsia="宋体" w:cs="宋体"/>
          <w:color w:val="000000"/>
          <w:sz w:val="32"/>
          <w:szCs w:val="32"/>
        </w:rPr>
        <w:t>指事业单位开展专业业务活动及辅助活动所取得的收入。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经营收入：</w:t>
      </w:r>
      <w:r>
        <w:rPr>
          <w:rFonts w:ascii="宋体" w:hAnsi="宋体" w:eastAsia="宋体" w:cs="宋体"/>
          <w:color w:val="000000"/>
          <w:sz w:val="32"/>
          <w:szCs w:val="32"/>
        </w:rPr>
        <w:t>指事业单位在专业业务活动及其辅助活动之外开展非独立核算经营活动取得的收入。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附属单位上缴收入</w:t>
      </w:r>
      <w:r>
        <w:rPr>
          <w:rFonts w:ascii="宋体" w:hAnsi="宋体" w:eastAsia="宋体" w:cs="宋体"/>
          <w:color w:val="000000"/>
          <w:sz w:val="32"/>
          <w:szCs w:val="32"/>
        </w:rPr>
        <w:t>：指事业单位附属独立核算单位按照有关规定上缴的收入。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其他收入</w:t>
      </w:r>
      <w:r>
        <w:rPr>
          <w:rFonts w:ascii="宋体" w:hAnsi="宋体" w:eastAsia="宋体" w:cs="宋体"/>
          <w:color w:val="000000"/>
          <w:sz w:val="32"/>
          <w:szCs w:val="32"/>
        </w:rPr>
        <w:t>：指除上述“财政拨款收入”、“事业收入”、“经营收入”等以外的收入。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用事业基金弥补收支差额</w:t>
      </w:r>
      <w:r>
        <w:rPr>
          <w:rFonts w:ascii="宋体" w:hAnsi="宋体" w:eastAsia="宋体" w:cs="宋体"/>
          <w:color w:val="000000"/>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年初结转和结余</w:t>
      </w:r>
      <w:r>
        <w:rPr>
          <w:rFonts w:ascii="宋体" w:hAnsi="宋体" w:eastAsia="宋体" w:cs="宋体"/>
          <w:color w:val="000000"/>
          <w:sz w:val="32"/>
          <w:szCs w:val="32"/>
        </w:rPr>
        <w:t>：指以前年度尚未完成、结转到本年按有关规定继续使用的资金。</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结余分配</w:t>
      </w:r>
      <w:r>
        <w:rPr>
          <w:rFonts w:ascii="宋体" w:hAnsi="宋体" w:eastAsia="宋体" w:cs="宋体"/>
          <w:color w:val="000000"/>
          <w:sz w:val="32"/>
          <w:szCs w:val="32"/>
        </w:rPr>
        <w:t>：指事业事位按规定从非财政补助结余中分配的事业基金和职工福利基金等。</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年末结转和结余</w:t>
      </w:r>
      <w:r>
        <w:rPr>
          <w:rFonts w:ascii="宋体" w:hAnsi="宋体" w:eastAsia="宋体" w:cs="宋体"/>
          <w:color w:val="000000"/>
          <w:sz w:val="32"/>
          <w:szCs w:val="32"/>
        </w:rPr>
        <w:t>：指本年度或以前年度预算安排、因客观条件发生变化无法按原计划实施，需要延迟到以后年度按有关规定继续使用的资金。</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基本支出</w:t>
      </w:r>
      <w:r>
        <w:rPr>
          <w:rFonts w:ascii="宋体" w:hAnsi="宋体" w:eastAsia="宋体" w:cs="宋体"/>
          <w:color w:val="000000"/>
          <w:sz w:val="32"/>
          <w:szCs w:val="32"/>
        </w:rPr>
        <w:t>：指为保障机构正常运转、完成日常工作任务而发生的人员支出和公用支出。</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项目支出</w:t>
      </w:r>
      <w:r>
        <w:rPr>
          <w:rFonts w:ascii="宋体" w:hAnsi="宋体" w:eastAsia="宋体" w:cs="宋体"/>
          <w:color w:val="000000"/>
          <w:sz w:val="32"/>
          <w:szCs w:val="32"/>
        </w:rPr>
        <w:t>：指在基本支出之外为完成特定行政任务和事业发展目标所发生的支出。</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经营支出</w:t>
      </w:r>
      <w:r>
        <w:rPr>
          <w:rFonts w:ascii="宋体" w:hAnsi="宋体" w:eastAsia="宋体" w:cs="宋体"/>
          <w:color w:val="000000"/>
          <w:sz w:val="32"/>
          <w:szCs w:val="32"/>
        </w:rPr>
        <w:t>：指事业单位在专业业务活动及其辅助活动之外开展非独立核算经营活动所发生的支出。</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“三公”经费</w:t>
      </w:r>
      <w:r>
        <w:rPr>
          <w:rFonts w:ascii="宋体" w:hAnsi="宋体" w:eastAsia="宋体" w:cs="宋体"/>
          <w:color w:val="00000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机关运行经费</w:t>
      </w:r>
      <w:r>
        <w:rPr>
          <w:rFonts w:ascii="宋体" w:hAnsi="宋体" w:eastAsia="宋体" w:cs="宋体"/>
          <w:color w:val="000000"/>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r>
        <w:rPr>
          <w:rFonts w:hint="default" w:ascii="Calibri" w:hAnsi="Calibri" w:cs="Calibri"/>
          <w:color w:val="000000"/>
          <w:sz w:val="21"/>
          <w:szCs w:val="21"/>
        </w:rPr>
        <w:t xml:space="preserve"> </w:t>
      </w:r>
    </w:p>
    <w:p>
      <w:pPr>
        <w:keepNext w:val="0"/>
        <w:keepLines w:val="0"/>
        <w:widowControl/>
        <w:suppressLineNumbers w:val="0"/>
        <w:jc w:val="left"/>
      </w:pPr>
    </w:p>
    <w:p>
      <w:pPr>
        <w:pStyle w:val="9"/>
        <w:keepNext w:val="0"/>
        <w:keepLines w:val="0"/>
        <w:widowControl/>
        <w:suppressLineNumbers w:val="0"/>
        <w:spacing w:before="0" w:beforeAutospacing="0" w:after="2" w:afterAutospacing="0"/>
      </w:pPr>
    </w:p>
    <w:p>
      <w:pPr>
        <w:pStyle w:val="9"/>
        <w:keepNext w:val="0"/>
        <w:keepLines w:val="0"/>
        <w:widowControl/>
        <w:suppressLineNumbers w:val="0"/>
        <w:spacing w:before="0" w:beforeAutospacing="0" w:after="2" w:afterAutospacing="0"/>
      </w:pPr>
    </w:p>
    <w:p>
      <w:pPr>
        <w:spacing w:before="0" w:beforeAutospacing="0" w:after="2" w:afterAutospacing="0" w:line="336" w:lineRule="atLeast"/>
        <w:ind w:left="0" w:right="0" w:firstLine="643"/>
        <w:rPr>
          <w:rFonts w:hint="default" w:ascii="Calibri" w:hAnsi="Calibri" w:cs="Calibri"/>
          <w:sz w:val="21"/>
          <w:szCs w:val="21"/>
        </w:rPr>
      </w:pPr>
    </w:p>
    <w:p>
      <w:pPr>
        <w:spacing w:before="0" w:beforeAutospacing="0" w:after="2" w:afterAutospacing="0"/>
        <w:jc w:val="center"/>
        <w:rPr>
          <w:sz w:val="21"/>
          <w:szCs w:val="21"/>
        </w:rPr>
      </w:pPr>
      <w:r>
        <w:rPr>
          <w:rFonts w:ascii="宋体" w:hAnsi="宋体" w:eastAsia="宋体" w:cs="宋体"/>
          <w:b/>
          <w:bCs/>
          <w:color w:val="000000"/>
          <w:sz w:val="36"/>
          <w:szCs w:val="36"/>
        </w:rPr>
        <w:t>第五部分</w:t>
      </w:r>
      <w:r>
        <w:rPr>
          <w:rFonts w:hint="eastAsia" w:ascii="宋体" w:hAnsi="宋体" w:eastAsia="宋体" w:cs="宋体"/>
          <w:b/>
          <w:bCs/>
          <w:color w:val="000000"/>
          <w:sz w:val="36"/>
          <w:szCs w:val="36"/>
        </w:rPr>
        <w:t xml:space="preserve"> </w:t>
      </w:r>
      <w:r>
        <w:rPr>
          <w:rFonts w:ascii="宋体" w:hAnsi="宋体" w:eastAsia="宋体" w:cs="宋体"/>
          <w:b/>
          <w:bCs/>
          <w:color w:val="000000"/>
          <w:sz w:val="36"/>
          <w:szCs w:val="36"/>
        </w:rPr>
        <w:t>附件</w:t>
      </w:r>
      <w:r>
        <w:rPr>
          <w:color w:val="000000"/>
          <w:sz w:val="21"/>
          <w:szCs w:val="21"/>
        </w:rPr>
        <w:t xml:space="preserve"> </w:t>
      </w:r>
    </w:p>
    <w:p>
      <w:pPr>
        <w:spacing w:before="0" w:beforeAutospacing="0" w:after="2" w:afterAutospacing="0"/>
        <w:jc w:val="center"/>
        <w:rPr>
          <w:sz w:val="21"/>
          <w:szCs w:val="21"/>
        </w:rPr>
      </w:pPr>
      <w:r>
        <w:rPr>
          <w:rFonts w:ascii="宋体" w:hAnsi="宋体" w:eastAsia="宋体" w:cs="宋体"/>
          <w:sz w:val="28"/>
          <w:szCs w:val="28"/>
          <w:shd w:val="clear" w:fill="FFFFFF"/>
        </w:rPr>
        <w:fldChar w:fldCharType="begin"/>
      </w:r>
      <w:r>
        <w:rPr>
          <w:rFonts w:ascii="宋体" w:hAnsi="宋体" w:eastAsia="宋体" w:cs="宋体"/>
          <w:sz w:val="28"/>
          <w:szCs w:val="28"/>
          <w:shd w:val="clear" w:fill="FFFFFF"/>
        </w:rPr>
        <w:instrText xml:space="preserve"> HYPERLINK "http://10.105.94.22:9000/home/downloadAttachment?attachGUID=035b19b54b1544f683e78301dedfd41b" \t "_blank" </w:instrText>
      </w:r>
      <w:r>
        <w:rPr>
          <w:rFonts w:ascii="宋体" w:hAnsi="宋体" w:eastAsia="宋体" w:cs="宋体"/>
          <w:sz w:val="28"/>
          <w:szCs w:val="28"/>
          <w:shd w:val="clear" w:fill="FFFFFF"/>
        </w:rPr>
        <w:fldChar w:fldCharType="separate"/>
      </w:r>
      <w:r>
        <w:rPr>
          <w:rStyle w:val="13"/>
          <w:rFonts w:ascii="宋体" w:hAnsi="宋体" w:eastAsia="宋体" w:cs="宋体"/>
          <w:sz w:val="28"/>
          <w:szCs w:val="28"/>
          <w:shd w:val="clear" w:fill="FFFFFF"/>
        </w:rPr>
        <w:t>石鼓区卫生计生综合监督执法局2021年部门整体支出绩效自评表.doc</w:t>
      </w:r>
      <w:r>
        <w:rPr>
          <w:rFonts w:ascii="宋体" w:hAnsi="宋体" w:eastAsia="宋体" w:cs="宋体"/>
          <w:sz w:val="28"/>
          <w:szCs w:val="28"/>
          <w:shd w:val="clear" w:fill="FFFFFF"/>
        </w:rPr>
        <w:fldChar w:fldCharType="end"/>
      </w:r>
      <w:r>
        <w:rPr>
          <w:rFonts w:ascii="宋体" w:hAnsi="宋体" w:eastAsia="宋体" w:cs="宋体"/>
          <w:color w:val="000000"/>
          <w:sz w:val="28"/>
          <w:szCs w:val="28"/>
          <w:shd w:val="clear" w:fill="FFFFFF"/>
        </w:rPr>
        <w:br w:type="textWrapping"/>
      </w:r>
      <w:r>
        <w:rPr>
          <w:rFonts w:ascii="宋体" w:hAnsi="宋体" w:eastAsia="宋体" w:cs="宋体"/>
          <w:sz w:val="28"/>
          <w:szCs w:val="28"/>
          <w:shd w:val="clear" w:fill="FFFFFF"/>
        </w:rPr>
        <w:fldChar w:fldCharType="begin"/>
      </w:r>
      <w:r>
        <w:rPr>
          <w:rFonts w:ascii="宋体" w:hAnsi="宋体" w:eastAsia="宋体" w:cs="宋体"/>
          <w:sz w:val="28"/>
          <w:szCs w:val="28"/>
          <w:shd w:val="clear" w:fill="FFFFFF"/>
        </w:rPr>
        <w:instrText xml:space="preserve"> HYPERLINK "http://10.105.94.22:9000/home/downloadAttachment?attachGUID=580db5eb4fb543a3a0756d7f2482560d" \t "_blank" </w:instrText>
      </w:r>
      <w:r>
        <w:rPr>
          <w:rFonts w:ascii="宋体" w:hAnsi="宋体" w:eastAsia="宋体" w:cs="宋体"/>
          <w:sz w:val="28"/>
          <w:szCs w:val="28"/>
          <w:shd w:val="clear" w:fill="FFFFFF"/>
        </w:rPr>
        <w:fldChar w:fldCharType="separate"/>
      </w:r>
      <w:r>
        <w:rPr>
          <w:rStyle w:val="13"/>
          <w:rFonts w:ascii="宋体" w:hAnsi="宋体" w:eastAsia="宋体" w:cs="宋体"/>
          <w:sz w:val="28"/>
          <w:szCs w:val="28"/>
          <w:shd w:val="clear" w:fill="FFFFFF"/>
        </w:rPr>
        <w:t>石鼓区卫生监督局2021年整体支出绩效自评报告.doc</w:t>
      </w:r>
      <w:r>
        <w:rPr>
          <w:rFonts w:ascii="宋体" w:hAnsi="宋体" w:eastAsia="宋体" w:cs="宋体"/>
          <w:sz w:val="28"/>
          <w:szCs w:val="28"/>
          <w:shd w:val="clear" w:fill="FFFFFF"/>
        </w:rPr>
        <w:fldChar w:fldCharType="end"/>
      </w:r>
    </w:p>
    <w:p>
      <w:pPr>
        <w:spacing w:before="0" w:beforeAutospacing="0" w:after="2" w:afterAutospacing="0"/>
        <w:jc w:val="center"/>
        <w:rPr>
          <w:sz w:val="21"/>
          <w:szCs w:val="21"/>
        </w:rPr>
      </w:pPr>
    </w:p>
    <w:p>
      <w:pPr>
        <w:spacing w:before="0" w:beforeAutospacing="0" w:after="2" w:afterAutospacing="0"/>
        <w:jc w:val="center"/>
        <w:rPr>
          <w:sz w:val="21"/>
          <w:szCs w:val="21"/>
        </w:rPr>
      </w:pPr>
    </w:p>
    <w:sectPr>
      <w:pgSz w:w="11906" w:h="16838" w:orient="landscape"/>
      <w:pgMar w:top="1440" w:right="1080" w:bottom="1440" w:left="1080" w:header="851" w:footer="992" w:gutter="0"/>
      <w:cols w:space="0" w:num="1"/>
      <w:docGrid w:type="lines" w:linePitch="1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94"/>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NmQxYjM4ZTM0ZjAwY2E5MzIxZDk1YTRhNGQ1OTQifQ=="/>
    <w:docVar w:name="KSO_WPS_MARK_KEY" w:val="5ed1334b-7c9c-49f4-944f-996324aa29be"/>
  </w:docVars>
  <w:rsids>
    <w:rsidRoot w:val="00000000"/>
    <w:rsid w:val="206138E5"/>
    <w:rsid w:val="2D7308C8"/>
    <w:rsid w:val="3BCF27F1"/>
    <w:rsid w:val="5E183B2D"/>
    <w:rsid w:val="6944754F"/>
    <w:rsid w:val="704553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uppressLineNumbers w:val="0"/>
      <w:spacing w:before="0" w:beforeAutospacing="0" w:after="0" w:afterAutospacing="0"/>
      <w:ind w:left="0" w:right="0"/>
      <w:jc w:val="both"/>
    </w:pPr>
    <w:rPr>
      <w:rFonts w:hint="default" w:ascii="等线" w:hAnsi="等线" w:eastAsia="等线" w:cs="Times New Roman"/>
      <w:kern w:val="2"/>
      <w:sz w:val="21"/>
      <w:szCs w:val="22"/>
      <w:lang w:val="en-US" w:eastAsia="zh-CN" w:bidi="ar"/>
    </w:rPr>
  </w:style>
  <w:style w:type="paragraph" w:styleId="2">
    <w:name w:val="heading 1"/>
    <w:basedOn w:val="1"/>
    <w:next w:val="1"/>
    <w:qFormat/>
    <w:uiPriority w:val="0"/>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18"/>
    <w:basedOn w:val="1"/>
    <w:qFormat/>
    <w:uiPriority w:val="0"/>
    <w:pPr>
      <w:keepNext w:val="0"/>
      <w:keepLines w:val="0"/>
      <w:widowControl w:val="0"/>
      <w:suppressLineNumbers w:val="0"/>
      <w:spacing w:before="0" w:beforeAutospacing="0" w:after="0" w:afterAutospacing="0"/>
      <w:ind w:left="0" w:right="0"/>
      <w:jc w:val="both"/>
    </w:pPr>
    <w:rPr>
      <w:rFonts w:hint="default"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20</Pages>
  <Words>9836</Words>
  <Characters>11312</Characters>
  <TotalTime>10</TotalTime>
  <ScaleCrop>false</ScaleCrop>
  <LinksUpToDate>false</LinksUpToDate>
  <CharactersWithSpaces>11446</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2023-09-14T08:19:00Z</dcterms:created>
  <dc:creator>Administrator</dc:creator>
  <cp:lastModifiedBy>蒋阔</cp:lastModifiedBy>
  <dcterms:modified xsi:type="dcterms:W3CDTF">2025-02-20T09:21:40Z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C443660F5C734C34A9E4F8E9B32A7CC6_13</vt:lpwstr>
  </property>
</Properties>
</file>