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B4496">
      <w:pPr>
        <w:jc w:val="center"/>
        <w:rPr>
          <w:rFonts w:hint="eastAsia" w:ascii="黑体" w:hAnsi="黑体" w:eastAsia="黑体"/>
          <w:b/>
          <w:sz w:val="44"/>
          <w:szCs w:val="44"/>
        </w:rPr>
      </w:pPr>
      <w:bookmarkStart w:id="0" w:name="_GoBack"/>
      <w:bookmarkEnd w:id="0"/>
      <w:r>
        <w:rPr>
          <w:rFonts w:hint="eastAsia" w:ascii="黑体" w:hAnsi="黑体" w:eastAsia="黑体"/>
          <w:b/>
          <w:sz w:val="44"/>
          <w:szCs w:val="44"/>
        </w:rPr>
        <w:t>2024年石鼓区合江小学</w:t>
      </w:r>
    </w:p>
    <w:p w14:paraId="0C60686A">
      <w:pPr>
        <w:jc w:val="center"/>
        <w:rPr>
          <w:rFonts w:hint="eastAsia" w:ascii="仿宋" w:hAnsi="仿宋" w:eastAsia="仿宋"/>
          <w:b/>
          <w:sz w:val="28"/>
          <w:szCs w:val="28"/>
        </w:rPr>
      </w:pPr>
      <w:r>
        <w:rPr>
          <w:rFonts w:hint="eastAsia" w:ascii="黑体" w:hAnsi="黑体" w:eastAsia="黑体"/>
          <w:b/>
          <w:sz w:val="44"/>
          <w:szCs w:val="44"/>
        </w:rPr>
        <w:t>部门整体</w:t>
      </w:r>
      <w:r>
        <w:rPr>
          <w:rFonts w:ascii="黑体" w:hAnsi="黑体" w:eastAsia="黑体"/>
          <w:b/>
          <w:spacing w:val="-2"/>
          <w:sz w:val="44"/>
          <w:szCs w:val="44"/>
        </w:rPr>
        <w:t>支出</w:t>
      </w:r>
      <w:r>
        <w:rPr>
          <w:rFonts w:hint="eastAsia" w:ascii="黑体" w:hAnsi="黑体" w:eastAsia="黑体"/>
          <w:b/>
          <w:sz w:val="44"/>
          <w:szCs w:val="44"/>
        </w:rPr>
        <w:t>绩效自评报告</w:t>
      </w:r>
      <w:r>
        <w:rPr>
          <w:rFonts w:hint="eastAsia" w:ascii="黑体" w:hAnsi="黑体" w:eastAsia="黑体"/>
          <w:b/>
          <w:sz w:val="28"/>
          <w:szCs w:val="28"/>
        </w:rPr>
        <w:t xml:space="preserve"> </w:t>
      </w:r>
      <w:r>
        <w:rPr>
          <w:rFonts w:hint="eastAsia" w:ascii="仿宋" w:hAnsi="仿宋" w:eastAsia="仿宋"/>
          <w:b/>
          <w:sz w:val="28"/>
          <w:szCs w:val="28"/>
        </w:rPr>
        <w:t xml:space="preserve"> </w:t>
      </w:r>
    </w:p>
    <w:p w14:paraId="741EBA66">
      <w:pPr>
        <w:spacing w:line="620" w:lineRule="exact"/>
        <w:ind w:firstLine="562" w:firstLineChars="200"/>
        <w:rPr>
          <w:rFonts w:hint="eastAsia" w:ascii="仿宋" w:hAnsi="仿宋" w:eastAsia="仿宋"/>
          <w:b/>
          <w:sz w:val="28"/>
          <w:szCs w:val="28"/>
        </w:rPr>
      </w:pPr>
    </w:p>
    <w:p w14:paraId="0523C622">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一、基本情况</w:t>
      </w:r>
    </w:p>
    <w:p w14:paraId="7334A8B8">
      <w:pPr>
        <w:spacing w:line="560" w:lineRule="exact"/>
        <w:ind w:firstLine="317" w:firstLineChars="100"/>
        <w:rPr>
          <w:rFonts w:hint="eastAsia" w:ascii="仿宋" w:hAnsi="仿宋" w:eastAsia="仿宋"/>
          <w:b/>
          <w:sz w:val="32"/>
          <w:szCs w:val="32"/>
        </w:rPr>
      </w:pPr>
      <w:r>
        <w:rPr>
          <w:rFonts w:ascii="仿宋" w:hAnsi="仿宋" w:eastAsia="仿宋"/>
          <w:b/>
          <w:spacing w:val="-2"/>
          <w:sz w:val="32"/>
          <w:szCs w:val="32"/>
        </w:rPr>
        <w:t>（一）部门基本情况</w:t>
      </w:r>
    </w:p>
    <w:p w14:paraId="0514832D">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1、机构设置</w:t>
      </w:r>
    </w:p>
    <w:p w14:paraId="17A1346E">
      <w:pPr>
        <w:spacing w:line="560" w:lineRule="exact"/>
        <w:ind w:firstLine="640" w:firstLineChars="200"/>
        <w:rPr>
          <w:rFonts w:eastAsia="仿宋_GB2312"/>
          <w:bCs/>
          <w:kern w:val="0"/>
          <w:sz w:val="32"/>
          <w:szCs w:val="32"/>
        </w:rPr>
      </w:pPr>
      <w:r>
        <w:rPr>
          <w:rFonts w:hint="eastAsia" w:eastAsia="仿宋_GB2312"/>
          <w:bCs/>
          <w:kern w:val="0"/>
          <w:sz w:val="32"/>
          <w:szCs w:val="32"/>
        </w:rPr>
        <w:t>石鼓区合江小学作为一级部门预算单位，内设机构包括：学校现设有校长书记室、副书记室、后勤副校长室、教务处、总务处、大队辅导员室、安保处等7个部门。截至2024年12月底专业技术人员编制33名，在编人员29人，退休71人。</w:t>
      </w:r>
    </w:p>
    <w:p w14:paraId="4A46D0CE">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2、部门主要职能</w:t>
      </w:r>
    </w:p>
    <w:p w14:paraId="0B5C9840">
      <w:pPr>
        <w:spacing w:line="560" w:lineRule="exact"/>
        <w:ind w:firstLine="321" w:firstLineChars="100"/>
        <w:rPr>
          <w:rFonts w:eastAsia="仿宋_GB2312"/>
          <w:b/>
          <w:kern w:val="0"/>
          <w:sz w:val="32"/>
          <w:szCs w:val="32"/>
        </w:rPr>
      </w:pPr>
      <w:r>
        <w:rPr>
          <w:rFonts w:hint="eastAsia" w:eastAsia="仿宋_GB2312"/>
          <w:b/>
          <w:kern w:val="0"/>
          <w:sz w:val="32"/>
          <w:szCs w:val="32"/>
        </w:rPr>
        <w:t>（一）职能职责</w:t>
      </w:r>
    </w:p>
    <w:p w14:paraId="4C9641E1">
      <w:pPr>
        <w:spacing w:line="560" w:lineRule="exact"/>
        <w:ind w:firstLine="640" w:firstLineChars="200"/>
        <w:rPr>
          <w:rFonts w:eastAsia="仿宋_GB2312"/>
          <w:bCs/>
          <w:kern w:val="0"/>
          <w:sz w:val="32"/>
          <w:szCs w:val="32"/>
        </w:rPr>
      </w:pPr>
      <w:r>
        <w:rPr>
          <w:rFonts w:hint="eastAsia" w:eastAsia="仿宋_GB2312"/>
          <w:bCs/>
          <w:kern w:val="0"/>
          <w:sz w:val="32"/>
          <w:szCs w:val="32"/>
        </w:rPr>
        <w:t>1．正确贯彻执行党和国家的教育方针、政策、法规。</w:t>
      </w:r>
    </w:p>
    <w:p w14:paraId="7D81D9BC">
      <w:pPr>
        <w:spacing w:line="560" w:lineRule="exact"/>
        <w:ind w:firstLine="640" w:firstLineChars="200"/>
        <w:rPr>
          <w:rFonts w:eastAsia="仿宋_GB2312"/>
          <w:bCs/>
          <w:kern w:val="0"/>
          <w:sz w:val="32"/>
          <w:szCs w:val="32"/>
        </w:rPr>
      </w:pPr>
      <w:r>
        <w:rPr>
          <w:rFonts w:hint="eastAsia" w:eastAsia="仿宋_GB2312"/>
          <w:bCs/>
          <w:kern w:val="0"/>
          <w:sz w:val="32"/>
          <w:szCs w:val="32"/>
        </w:rPr>
        <w:t>2．维护学校的教学秩序，为学生创造良好的学习环境。</w:t>
      </w:r>
    </w:p>
    <w:p w14:paraId="02D4047B">
      <w:pPr>
        <w:spacing w:line="560" w:lineRule="exact"/>
        <w:ind w:firstLine="640" w:firstLineChars="200"/>
        <w:rPr>
          <w:rFonts w:eastAsia="仿宋_GB2312"/>
          <w:bCs/>
          <w:kern w:val="0"/>
          <w:sz w:val="32"/>
          <w:szCs w:val="32"/>
        </w:rPr>
      </w:pPr>
      <w:r>
        <w:rPr>
          <w:rFonts w:hint="eastAsia" w:eastAsia="仿宋_GB2312"/>
          <w:bCs/>
          <w:kern w:val="0"/>
          <w:sz w:val="32"/>
          <w:szCs w:val="32"/>
        </w:rPr>
        <w:t>3．积极稳妥地推进教育改革，按教育规律办事，不断提高教育质量。</w:t>
      </w:r>
    </w:p>
    <w:p w14:paraId="7005C293">
      <w:pPr>
        <w:spacing w:line="560" w:lineRule="exact"/>
        <w:ind w:firstLine="640" w:firstLineChars="200"/>
        <w:rPr>
          <w:rFonts w:eastAsia="仿宋_GB2312"/>
          <w:bCs/>
          <w:kern w:val="0"/>
          <w:sz w:val="32"/>
          <w:szCs w:val="32"/>
        </w:rPr>
      </w:pPr>
      <w:r>
        <w:rPr>
          <w:rFonts w:hint="eastAsia" w:eastAsia="仿宋_GB2312"/>
          <w:bCs/>
          <w:kern w:val="0"/>
          <w:sz w:val="32"/>
          <w:szCs w:val="32"/>
        </w:rPr>
        <w:t>4．积极稳妥地推进教育改革，按教育规律办事，不断提高教育质量。</w:t>
      </w:r>
    </w:p>
    <w:p w14:paraId="79A10D6C">
      <w:pPr>
        <w:spacing w:line="560" w:lineRule="exact"/>
        <w:ind w:firstLine="640" w:firstLineChars="200"/>
        <w:rPr>
          <w:rFonts w:eastAsia="仿宋_GB2312"/>
          <w:bCs/>
          <w:kern w:val="0"/>
          <w:sz w:val="32"/>
          <w:szCs w:val="32"/>
        </w:rPr>
      </w:pPr>
      <w:r>
        <w:rPr>
          <w:rFonts w:hint="eastAsia" w:eastAsia="仿宋_GB2312"/>
          <w:bCs/>
          <w:kern w:val="0"/>
          <w:sz w:val="32"/>
          <w:szCs w:val="32"/>
        </w:rPr>
        <w:t>5．坚持教书育人，服务育人，环境育人方针，加强对学生的思想品德教育，使学生的德智体全面发展。</w:t>
      </w:r>
    </w:p>
    <w:p w14:paraId="035D88E1">
      <w:pPr>
        <w:spacing w:line="560" w:lineRule="exact"/>
        <w:ind w:firstLine="640" w:firstLineChars="200"/>
        <w:rPr>
          <w:rFonts w:eastAsia="仿宋_GB2312"/>
          <w:bCs/>
          <w:kern w:val="0"/>
          <w:sz w:val="32"/>
          <w:szCs w:val="32"/>
        </w:rPr>
      </w:pPr>
      <w:r>
        <w:rPr>
          <w:rFonts w:hint="eastAsia" w:eastAsia="仿宋_GB2312"/>
          <w:bCs/>
          <w:kern w:val="0"/>
          <w:sz w:val="32"/>
          <w:szCs w:val="32"/>
        </w:rPr>
        <w:t>6.抓好教师队伍建设，使每个教师都热心于教育事业。</w:t>
      </w:r>
    </w:p>
    <w:p w14:paraId="4905C464">
      <w:pPr>
        <w:spacing w:line="560" w:lineRule="exact"/>
        <w:ind w:firstLine="640" w:firstLineChars="200"/>
        <w:rPr>
          <w:rFonts w:hint="eastAsia" w:ascii="仿宋" w:hAnsi="仿宋" w:eastAsia="仿宋"/>
          <w:b/>
          <w:spacing w:val="-2"/>
          <w:sz w:val="32"/>
          <w:szCs w:val="32"/>
        </w:rPr>
      </w:pPr>
      <w:r>
        <w:rPr>
          <w:rFonts w:hint="eastAsia" w:eastAsia="仿宋_GB2312"/>
          <w:bCs/>
          <w:kern w:val="0"/>
          <w:sz w:val="32"/>
          <w:szCs w:val="32"/>
        </w:rPr>
        <w:t>7.做好安全防范，保证学生的</w:t>
      </w:r>
      <w:r>
        <w:rPr>
          <w:rFonts w:hint="eastAsia" w:eastAsia="仿宋_GB2312"/>
          <w:bCs/>
          <w:kern w:val="0"/>
          <w:sz w:val="32"/>
          <w:szCs w:val="32"/>
          <w:lang w:eastAsia="zh-CN"/>
        </w:rPr>
        <w:t>人身</w:t>
      </w:r>
      <w:r>
        <w:rPr>
          <w:rFonts w:hint="eastAsia" w:eastAsia="仿宋_GB2312"/>
          <w:bCs/>
          <w:kern w:val="0"/>
          <w:sz w:val="32"/>
          <w:szCs w:val="32"/>
        </w:rPr>
        <w:t>安全。</w:t>
      </w:r>
    </w:p>
    <w:p w14:paraId="28955B42">
      <w:pPr>
        <w:spacing w:line="560" w:lineRule="exact"/>
        <w:ind w:firstLine="317" w:firstLineChars="100"/>
        <w:rPr>
          <w:rFonts w:hint="eastAsia" w:ascii="仿宋" w:hAnsi="仿宋" w:eastAsia="仿宋"/>
          <w:b/>
          <w:spacing w:val="-2"/>
          <w:sz w:val="32"/>
          <w:szCs w:val="32"/>
        </w:rPr>
      </w:pPr>
      <w:r>
        <w:rPr>
          <w:rFonts w:hint="eastAsia" w:ascii="仿宋" w:hAnsi="仿宋" w:eastAsia="仿宋"/>
          <w:b/>
          <w:spacing w:val="-2"/>
          <w:sz w:val="32"/>
          <w:szCs w:val="32"/>
        </w:rPr>
        <w:t>（二）部门整体支出绩效目标，专项资金绩效目标</w:t>
      </w:r>
    </w:p>
    <w:p w14:paraId="4AF8CCEB">
      <w:pPr>
        <w:spacing w:line="560" w:lineRule="exact"/>
        <w:ind w:firstLine="640" w:firstLineChars="200"/>
        <w:rPr>
          <w:rFonts w:eastAsia="仿宋_GB2312"/>
          <w:bCs/>
          <w:kern w:val="0"/>
          <w:sz w:val="32"/>
          <w:szCs w:val="32"/>
        </w:rPr>
      </w:pPr>
      <w:r>
        <w:rPr>
          <w:rFonts w:hint="eastAsia" w:eastAsia="仿宋_GB2312"/>
          <w:bCs/>
          <w:kern w:val="0"/>
          <w:sz w:val="32"/>
          <w:szCs w:val="32"/>
        </w:rPr>
        <w:t xml:space="preserve"> 通过预算执行，保障我校在职人员29人正常接受良好的教育。我校将围绕各项教育工作的要求，不断强化内部管理，实施“以人为本”的人性化管理模式，以创建“敬业、团结、务实、创新”的和谐校园为宗旨为广大家长、学生服务，努力在社会中树立良好的品牌形象。我校将始终把教学放在首位，一切为教学服务。努力完成年度教育教学目标。合理使用公用经费，保障学校教育教学工作的正常进行。</w:t>
      </w:r>
    </w:p>
    <w:p w14:paraId="27853E43">
      <w:pPr>
        <w:spacing w:line="560" w:lineRule="exact"/>
        <w:ind w:firstLine="640" w:firstLineChars="200"/>
        <w:rPr>
          <w:rFonts w:eastAsia="仿宋_GB2312"/>
          <w:bCs/>
          <w:kern w:val="0"/>
          <w:sz w:val="32"/>
          <w:szCs w:val="32"/>
        </w:rPr>
      </w:pPr>
      <w:r>
        <w:rPr>
          <w:rFonts w:hint="eastAsia" w:eastAsia="仿宋_GB2312"/>
          <w:bCs/>
          <w:kern w:val="0"/>
          <w:sz w:val="32"/>
          <w:szCs w:val="32"/>
        </w:rPr>
        <w:t>2024年，我校认真做好年度财政资金的预算编制工作，按照政府采购目录及采购限额标准编制政府采购预算，做到应编尽编。在资金使用和管理方面，进一步强化资金统筹，优化资金结构，明确开支范围，细化资金用途，确保部门职责任务顺利完成，达到预期绩效目标。</w:t>
      </w:r>
    </w:p>
    <w:p w14:paraId="06DCE9F5">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二、一般公共预算支出情况</w:t>
      </w:r>
    </w:p>
    <w:p w14:paraId="5A834A65">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（一）基本支出情况</w:t>
      </w:r>
    </w:p>
    <w:p w14:paraId="38A67C07">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1、整体支出情况</w:t>
      </w:r>
    </w:p>
    <w:p w14:paraId="1464FFEA">
      <w:pPr>
        <w:spacing w:line="560" w:lineRule="exact"/>
        <w:ind w:firstLine="640" w:firstLineChars="200"/>
        <w:rPr>
          <w:rFonts w:eastAsia="仿宋_GB2312"/>
          <w:bCs/>
          <w:kern w:val="0"/>
          <w:sz w:val="32"/>
          <w:szCs w:val="32"/>
        </w:rPr>
      </w:pPr>
      <w:r>
        <w:rPr>
          <w:rFonts w:hint="eastAsia" w:eastAsia="仿宋_GB2312"/>
          <w:bCs/>
          <w:kern w:val="0"/>
          <w:sz w:val="32"/>
          <w:szCs w:val="32"/>
        </w:rPr>
        <w:t>石鼓区合江小学2024年初预算金额为</w:t>
      </w:r>
      <w:r>
        <w:rPr>
          <w:rFonts w:eastAsia="仿宋_GB2312"/>
          <w:bCs/>
          <w:kern w:val="0"/>
          <w:sz w:val="32"/>
          <w:szCs w:val="32"/>
        </w:rPr>
        <w:t>646.55</w:t>
      </w:r>
      <w:r>
        <w:rPr>
          <w:rFonts w:hint="eastAsia" w:eastAsia="仿宋_GB2312"/>
          <w:bCs/>
          <w:kern w:val="0"/>
          <w:sz w:val="32"/>
          <w:szCs w:val="32"/>
        </w:rPr>
        <w:t>万元，年终决算支出</w:t>
      </w:r>
      <w:r>
        <w:rPr>
          <w:rFonts w:eastAsia="仿宋_GB2312"/>
          <w:bCs/>
          <w:kern w:val="0"/>
          <w:sz w:val="32"/>
          <w:szCs w:val="32"/>
        </w:rPr>
        <w:t>841.77</w:t>
      </w:r>
      <w:r>
        <w:rPr>
          <w:rFonts w:hint="eastAsia" w:eastAsia="仿宋_GB2312"/>
          <w:bCs/>
          <w:kern w:val="0"/>
          <w:sz w:val="32"/>
          <w:szCs w:val="32"/>
        </w:rPr>
        <w:t>万元。</w:t>
      </w:r>
    </w:p>
    <w:p w14:paraId="104CB887">
      <w:pPr>
        <w:spacing w:line="560" w:lineRule="exact"/>
        <w:ind w:firstLine="640" w:firstLineChars="200"/>
        <w:rPr>
          <w:rFonts w:eastAsia="仿宋_GB2312"/>
          <w:bCs/>
          <w:kern w:val="0"/>
          <w:sz w:val="32"/>
          <w:szCs w:val="32"/>
        </w:rPr>
      </w:pPr>
      <w:r>
        <w:rPr>
          <w:rFonts w:hint="eastAsia" w:eastAsia="仿宋_GB2312"/>
          <w:bCs/>
          <w:kern w:val="0"/>
          <w:sz w:val="32"/>
          <w:szCs w:val="32"/>
        </w:rPr>
        <w:t>石鼓区合江小学的部门整体支出主要用于单位的正常办公及日常公用经费等方面的开支，包括：工资及福利支出、商品和服务支出、对个人和家庭的补助支出等。其中:工资福利支出</w:t>
      </w:r>
      <w:r>
        <w:rPr>
          <w:rFonts w:eastAsia="仿宋_GB2312"/>
          <w:bCs/>
          <w:kern w:val="0"/>
          <w:sz w:val="32"/>
          <w:szCs w:val="32"/>
        </w:rPr>
        <w:t>583.3</w:t>
      </w:r>
      <w:r>
        <w:rPr>
          <w:rFonts w:hint="eastAsia" w:eastAsia="仿宋_GB2312"/>
          <w:bCs/>
          <w:kern w:val="0"/>
          <w:sz w:val="32"/>
          <w:szCs w:val="32"/>
        </w:rPr>
        <w:t>6万元，占总支出的69.30%；商品和服务支出</w:t>
      </w:r>
      <w:r>
        <w:rPr>
          <w:rFonts w:eastAsia="仿宋_GB2312"/>
          <w:bCs/>
          <w:kern w:val="0"/>
          <w:sz w:val="32"/>
          <w:szCs w:val="32"/>
        </w:rPr>
        <w:t>131.2</w:t>
      </w:r>
      <w:r>
        <w:rPr>
          <w:rFonts w:hint="eastAsia" w:eastAsia="仿宋_GB2312"/>
          <w:bCs/>
          <w:kern w:val="0"/>
          <w:sz w:val="32"/>
          <w:szCs w:val="32"/>
        </w:rPr>
        <w:t>3万元，占总支出的15.59%；对个人和家庭的补助</w:t>
      </w:r>
      <w:r>
        <w:rPr>
          <w:rFonts w:eastAsia="仿宋_GB2312"/>
          <w:bCs/>
          <w:kern w:val="0"/>
          <w:sz w:val="32"/>
          <w:szCs w:val="32"/>
        </w:rPr>
        <w:t>126.2</w:t>
      </w:r>
      <w:r>
        <w:rPr>
          <w:rFonts w:hint="eastAsia" w:eastAsia="仿宋_GB2312"/>
          <w:bCs/>
          <w:kern w:val="0"/>
          <w:sz w:val="32"/>
          <w:szCs w:val="32"/>
        </w:rPr>
        <w:t>4万元，占总支出15%；资本性支出</w:t>
      </w:r>
      <w:r>
        <w:rPr>
          <w:rFonts w:eastAsia="仿宋_GB2312"/>
          <w:bCs/>
          <w:kern w:val="0"/>
          <w:sz w:val="32"/>
          <w:szCs w:val="32"/>
        </w:rPr>
        <w:t>0.9</w:t>
      </w:r>
      <w:r>
        <w:rPr>
          <w:rFonts w:hint="eastAsia" w:eastAsia="仿宋_GB2312"/>
          <w:bCs/>
          <w:kern w:val="0"/>
          <w:sz w:val="32"/>
          <w:szCs w:val="32"/>
        </w:rPr>
        <w:t>6万元，占总支出0.11%。</w:t>
      </w:r>
    </w:p>
    <w:p w14:paraId="447DEF8B">
      <w:pPr>
        <w:spacing w:line="560" w:lineRule="exact"/>
        <w:ind w:firstLine="640" w:firstLineChars="200"/>
        <w:rPr>
          <w:rFonts w:eastAsia="仿宋_GB2312"/>
          <w:bCs/>
          <w:kern w:val="0"/>
          <w:sz w:val="32"/>
          <w:szCs w:val="32"/>
        </w:rPr>
      </w:pPr>
      <w:r>
        <w:rPr>
          <w:rFonts w:hint="eastAsia" w:eastAsia="仿宋_GB2312"/>
          <w:bCs/>
          <w:kern w:val="0"/>
          <w:sz w:val="32"/>
          <w:szCs w:val="32"/>
        </w:rPr>
        <w:t>全年，石鼓区合江小学2024年度共发生支出</w:t>
      </w:r>
      <w:r>
        <w:rPr>
          <w:rFonts w:eastAsia="仿宋_GB2312"/>
          <w:bCs/>
          <w:kern w:val="0"/>
          <w:sz w:val="32"/>
          <w:szCs w:val="32"/>
        </w:rPr>
        <w:t>841.77</w:t>
      </w:r>
      <w:r>
        <w:rPr>
          <w:rFonts w:hint="eastAsia" w:eastAsia="仿宋_GB2312"/>
          <w:bCs/>
          <w:kern w:val="0"/>
          <w:sz w:val="32"/>
          <w:szCs w:val="32"/>
        </w:rPr>
        <w:t>万元，其中基本支出</w:t>
      </w:r>
      <w:r>
        <w:rPr>
          <w:rFonts w:eastAsia="仿宋_GB2312"/>
          <w:bCs/>
          <w:kern w:val="0"/>
          <w:sz w:val="32"/>
          <w:szCs w:val="32"/>
        </w:rPr>
        <w:t>767.4</w:t>
      </w:r>
      <w:r>
        <w:rPr>
          <w:rFonts w:hint="eastAsia" w:eastAsia="仿宋_GB2312"/>
          <w:bCs/>
          <w:kern w:val="0"/>
          <w:sz w:val="32"/>
          <w:szCs w:val="32"/>
        </w:rPr>
        <w:t>6万元，占总支出91.17%；项目支出</w:t>
      </w:r>
      <w:r>
        <w:rPr>
          <w:rFonts w:eastAsia="仿宋_GB2312"/>
          <w:bCs/>
          <w:kern w:val="0"/>
          <w:sz w:val="32"/>
          <w:szCs w:val="32"/>
        </w:rPr>
        <w:t>74.3</w:t>
      </w:r>
      <w:r>
        <w:rPr>
          <w:rFonts w:hint="eastAsia" w:eastAsia="仿宋_GB2312"/>
          <w:bCs/>
          <w:kern w:val="0"/>
          <w:sz w:val="32"/>
          <w:szCs w:val="32"/>
        </w:rPr>
        <w:t>2万元，占总支出8.83%。</w:t>
      </w:r>
    </w:p>
    <w:p w14:paraId="2E41F963">
      <w:pPr>
        <w:widowControl/>
        <w:spacing w:line="560" w:lineRule="exact"/>
        <w:ind w:firstLine="630" w:firstLineChars="196"/>
        <w:jc w:val="left"/>
        <w:rPr>
          <w:rFonts w:hint="eastAsia" w:ascii="仿宋" w:hAnsi="仿宋" w:eastAsia="仿宋"/>
          <w:b/>
          <w:bCs/>
          <w:kern w:val="0"/>
          <w:sz w:val="32"/>
          <w:szCs w:val="32"/>
        </w:rPr>
      </w:pPr>
      <w:r>
        <w:rPr>
          <w:rFonts w:hint="eastAsia" w:ascii="仿宋" w:hAnsi="仿宋" w:eastAsia="仿宋"/>
          <w:b/>
          <w:bCs/>
          <w:kern w:val="0"/>
          <w:sz w:val="32"/>
          <w:szCs w:val="32"/>
        </w:rPr>
        <w:t>2、基本支出情况</w:t>
      </w:r>
    </w:p>
    <w:p w14:paraId="0B9E0262">
      <w:pPr>
        <w:spacing w:line="560" w:lineRule="exact"/>
        <w:ind w:firstLine="640" w:firstLineChars="200"/>
        <w:rPr>
          <w:rFonts w:eastAsia="仿宋_GB2312"/>
          <w:bCs/>
          <w:kern w:val="0"/>
          <w:sz w:val="32"/>
          <w:szCs w:val="32"/>
        </w:rPr>
      </w:pPr>
      <w:r>
        <w:rPr>
          <w:rFonts w:hint="eastAsia" w:eastAsia="仿宋_GB2312"/>
          <w:bCs/>
          <w:kern w:val="0"/>
          <w:sz w:val="32"/>
          <w:szCs w:val="32"/>
        </w:rPr>
        <w:t>2024年，年初预算为</w:t>
      </w:r>
      <w:r>
        <w:rPr>
          <w:rFonts w:eastAsia="仿宋_GB2312"/>
          <w:bCs/>
          <w:kern w:val="0"/>
          <w:sz w:val="32"/>
          <w:szCs w:val="32"/>
        </w:rPr>
        <w:t>646.55</w:t>
      </w:r>
      <w:r>
        <w:rPr>
          <w:rFonts w:hint="eastAsia" w:eastAsia="仿宋_GB2312"/>
          <w:bCs/>
          <w:kern w:val="0"/>
          <w:sz w:val="32"/>
          <w:szCs w:val="32"/>
        </w:rPr>
        <w:t>万元，实际基本支出数为</w:t>
      </w:r>
      <w:r>
        <w:rPr>
          <w:rFonts w:eastAsia="仿宋_GB2312"/>
          <w:bCs/>
          <w:kern w:val="0"/>
          <w:sz w:val="32"/>
          <w:szCs w:val="32"/>
        </w:rPr>
        <w:t>767.4</w:t>
      </w:r>
      <w:r>
        <w:rPr>
          <w:rFonts w:hint="eastAsia" w:eastAsia="仿宋_GB2312"/>
          <w:bCs/>
          <w:kern w:val="0"/>
          <w:sz w:val="32"/>
          <w:szCs w:val="32"/>
        </w:rPr>
        <w:t>6万元。</w:t>
      </w:r>
    </w:p>
    <w:p w14:paraId="11C85906">
      <w:pPr>
        <w:spacing w:line="560" w:lineRule="exact"/>
        <w:ind w:firstLine="640" w:firstLineChars="200"/>
        <w:rPr>
          <w:rFonts w:eastAsia="仿宋_GB2312"/>
          <w:bCs/>
          <w:kern w:val="0"/>
          <w:sz w:val="32"/>
          <w:szCs w:val="32"/>
        </w:rPr>
      </w:pPr>
      <w:r>
        <w:rPr>
          <w:rFonts w:hint="eastAsia" w:eastAsia="仿宋_GB2312"/>
          <w:bCs/>
          <w:kern w:val="0"/>
          <w:sz w:val="32"/>
          <w:szCs w:val="32"/>
        </w:rPr>
        <w:t>基本支出决算数为</w:t>
      </w:r>
      <w:r>
        <w:rPr>
          <w:rFonts w:eastAsia="仿宋_GB2312"/>
          <w:bCs/>
          <w:kern w:val="0"/>
          <w:sz w:val="32"/>
          <w:szCs w:val="32"/>
        </w:rPr>
        <w:t>767.4</w:t>
      </w:r>
      <w:r>
        <w:rPr>
          <w:rFonts w:hint="eastAsia" w:eastAsia="仿宋_GB2312"/>
          <w:bCs/>
          <w:kern w:val="0"/>
          <w:sz w:val="32"/>
          <w:szCs w:val="32"/>
        </w:rPr>
        <w:t>6万元，其中工资福利支出</w:t>
      </w:r>
      <w:r>
        <w:rPr>
          <w:rFonts w:eastAsia="仿宋_GB2312"/>
          <w:bCs/>
          <w:kern w:val="0"/>
          <w:sz w:val="32"/>
          <w:szCs w:val="32"/>
        </w:rPr>
        <w:t>583.3</w:t>
      </w:r>
      <w:r>
        <w:rPr>
          <w:rFonts w:hint="eastAsia" w:eastAsia="仿宋_GB2312"/>
          <w:bCs/>
          <w:kern w:val="0"/>
          <w:sz w:val="32"/>
          <w:szCs w:val="32"/>
        </w:rPr>
        <w:t>6万元、商品和服务支出</w:t>
      </w:r>
      <w:r>
        <w:rPr>
          <w:rFonts w:eastAsia="仿宋_GB2312"/>
          <w:bCs/>
          <w:kern w:val="0"/>
          <w:sz w:val="32"/>
          <w:szCs w:val="32"/>
        </w:rPr>
        <w:t>57.33</w:t>
      </w:r>
      <w:r>
        <w:rPr>
          <w:rFonts w:hint="eastAsia" w:eastAsia="仿宋_GB2312"/>
          <w:bCs/>
          <w:kern w:val="0"/>
          <w:sz w:val="32"/>
          <w:szCs w:val="32"/>
        </w:rPr>
        <w:t>万元、对个人和家庭的补助</w:t>
      </w:r>
      <w:r>
        <w:rPr>
          <w:rFonts w:eastAsia="仿宋_GB2312"/>
          <w:bCs/>
          <w:kern w:val="0"/>
          <w:sz w:val="32"/>
          <w:szCs w:val="32"/>
        </w:rPr>
        <w:t>126.2</w:t>
      </w:r>
      <w:r>
        <w:rPr>
          <w:rFonts w:hint="eastAsia" w:eastAsia="仿宋_GB2312"/>
          <w:bCs/>
          <w:kern w:val="0"/>
          <w:sz w:val="32"/>
          <w:szCs w:val="32"/>
        </w:rPr>
        <w:t>4万元、</w:t>
      </w:r>
      <w:r>
        <w:rPr>
          <w:rFonts w:eastAsia="仿宋_GB2312"/>
          <w:bCs/>
          <w:kern w:val="0"/>
          <w:sz w:val="32"/>
          <w:szCs w:val="32"/>
        </w:rPr>
        <w:t>资本性支出</w:t>
      </w:r>
      <w:r>
        <w:rPr>
          <w:rFonts w:hint="eastAsia" w:eastAsia="仿宋_GB2312"/>
          <w:bCs/>
          <w:kern w:val="0"/>
          <w:sz w:val="32"/>
          <w:szCs w:val="32"/>
        </w:rPr>
        <w:t>0.53万元。</w:t>
      </w:r>
    </w:p>
    <w:p w14:paraId="65437956">
      <w:pPr>
        <w:widowControl/>
        <w:spacing w:line="560" w:lineRule="exact"/>
        <w:ind w:firstLine="643" w:firstLineChars="200"/>
        <w:rPr>
          <w:rFonts w:hint="eastAsia" w:ascii="仿宋" w:hAnsi="仿宋" w:eastAsia="仿宋"/>
          <w:b/>
          <w:bCs/>
          <w:kern w:val="0"/>
          <w:sz w:val="32"/>
          <w:szCs w:val="32"/>
        </w:rPr>
      </w:pPr>
      <w:r>
        <w:rPr>
          <w:rFonts w:hint="eastAsia" w:ascii="仿宋" w:hAnsi="仿宋" w:eastAsia="仿宋"/>
          <w:b/>
          <w:bCs/>
          <w:kern w:val="0"/>
          <w:sz w:val="32"/>
          <w:szCs w:val="32"/>
        </w:rPr>
        <w:t>3、“三公”经费财政拨款支出决算总体情况</w:t>
      </w:r>
    </w:p>
    <w:p w14:paraId="06B2B1D9">
      <w:pPr>
        <w:spacing w:line="560" w:lineRule="exact"/>
        <w:ind w:firstLine="640" w:firstLineChars="200"/>
        <w:rPr>
          <w:rFonts w:eastAsia="仿宋_GB2312"/>
          <w:bCs/>
          <w:kern w:val="0"/>
          <w:sz w:val="32"/>
          <w:szCs w:val="32"/>
        </w:rPr>
      </w:pPr>
      <w:r>
        <w:rPr>
          <w:rFonts w:hint="eastAsia" w:eastAsia="仿宋_GB2312"/>
          <w:bCs/>
          <w:kern w:val="0"/>
          <w:sz w:val="32"/>
          <w:szCs w:val="32"/>
        </w:rPr>
        <w:t xml:space="preserve">2024年度一般公共预算财政拨款的“三公”经费支出0万元，其中公务接待费0万元。本年度未发生公务用车运行和维护费支出；未发生因公出国（境）费支出。本年度公务接待共0次，接待人数0人。 </w:t>
      </w:r>
    </w:p>
    <w:p w14:paraId="3D37B10E">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（二）项目支出情况</w:t>
      </w:r>
    </w:p>
    <w:p w14:paraId="4ACEBAFF">
      <w:pPr>
        <w:spacing w:line="560" w:lineRule="exact"/>
        <w:ind w:firstLine="640" w:firstLineChars="200"/>
        <w:rPr>
          <w:rFonts w:eastAsia="仿宋_GB2312"/>
          <w:bCs/>
          <w:kern w:val="0"/>
          <w:sz w:val="32"/>
          <w:szCs w:val="32"/>
        </w:rPr>
      </w:pPr>
      <w:r>
        <w:rPr>
          <w:rFonts w:hint="eastAsia" w:eastAsia="仿宋_GB2312"/>
          <w:bCs/>
          <w:kern w:val="0"/>
          <w:sz w:val="32"/>
          <w:szCs w:val="32"/>
        </w:rPr>
        <w:t>2024年，项目支出年初预算为0万元，实际项目支出数为</w:t>
      </w:r>
      <w:r>
        <w:rPr>
          <w:rFonts w:eastAsia="仿宋_GB2312"/>
          <w:bCs/>
          <w:kern w:val="0"/>
          <w:sz w:val="32"/>
          <w:szCs w:val="32"/>
        </w:rPr>
        <w:t>74.3</w:t>
      </w:r>
      <w:r>
        <w:rPr>
          <w:rFonts w:hint="eastAsia" w:eastAsia="仿宋_GB2312"/>
          <w:bCs/>
          <w:kern w:val="0"/>
          <w:sz w:val="32"/>
          <w:szCs w:val="32"/>
        </w:rPr>
        <w:t>2万元，占总支出8.83%，主要是为保障部门正常运转、完成日常工作任务而发生的各项支出，包括用于基本工资、津贴补贴等人员经费以及办公费、印刷费、水电费、办公设备购置等公用经费。</w:t>
      </w:r>
    </w:p>
    <w:p w14:paraId="3820EC35">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三、部门整体支出绩效情况</w:t>
      </w:r>
    </w:p>
    <w:p w14:paraId="38A937FE">
      <w:pPr>
        <w:spacing w:line="560" w:lineRule="exact"/>
        <w:ind w:firstLine="640" w:firstLineChars="200"/>
        <w:rPr>
          <w:rFonts w:eastAsia="仿宋_GB2312"/>
          <w:bCs/>
          <w:kern w:val="0"/>
          <w:sz w:val="32"/>
          <w:szCs w:val="32"/>
        </w:rPr>
      </w:pPr>
      <w:r>
        <w:rPr>
          <w:rFonts w:hint="eastAsia" w:eastAsia="仿宋_GB2312"/>
          <w:bCs/>
          <w:kern w:val="0"/>
          <w:sz w:val="32"/>
          <w:szCs w:val="32"/>
        </w:rPr>
        <w:t>（一）健全了工作机制，形成强大的工作合力。通过财政绩效考评，划分了全全体教职工的职能范围，提高了全体教职工工作的积极性，主动性，合作性，进一步形成了强大的工作合力。（二）发挥职能，开展形式多样的教育教学活动，促进学校的健康向上发展：强化德育教育在工作中以素质教育为目标，以德育工作为先导，以爱国主义为主旋律，以日常行为规范为抓手，寓德育教育于丰富多彩的活动之中，提高学生的素质，结合学生实际，坚持求真务实的工作作风，积极开展德育工作。（三）严格遵守制度和规范，抓好教育扶贫 认真贯彻落实党中央关于扶贫攻坚的重要指示精神。1、完善了资助体系。建立了四类贫困学生信息台账，完善了贫困生数据库。2、落实了政策措施。一是切实落实了义务教育阶段两免一补政策，对就读我校的建档立卡等家庭经济困难给予生活补助。（四）规范办学行为，做好教育督导学校坚持以科学发展观为统领，以教育法规为依据，切实履行教育督导监督、考核、检查、评价、指导的职能，把更新教育观念、强化教育教学管理、规范办学行为作为督导评估工作的中心任务，促进学校教育事业健康发展。（1）开展了以下专项督导，推进教育工作全面进步。开展教育教学教研专项督导，促进教育质量的全面提升。（2）开展德育工作专项督导，促进立德树人的理念贯穿思想道德教育、文化知识教育、社会实践教育各环节。（3）开展安全工作专项督查。通过督查门卫管理，把好平安校园第一关，开展了安全演练、防溺水教育等专项督查，让学生树立安全意识，并贯穿学习和生活中，做到安全牢记心中。这一年，在全校教职员工们的共同努力下，学校取得了较好的成绩。</w:t>
      </w:r>
      <w:r>
        <w:rPr>
          <w:rFonts w:hint="eastAsia" w:eastAsia="仿宋_GB2312"/>
          <w:bCs/>
          <w:kern w:val="0"/>
          <w:sz w:val="32"/>
          <w:szCs w:val="32"/>
        </w:rPr>
        <w:br w:type="textWrapping"/>
      </w:r>
      <w:r>
        <w:rPr>
          <w:rFonts w:hint="eastAsia" w:eastAsia="仿宋_GB2312"/>
          <w:bCs/>
          <w:kern w:val="0"/>
          <w:sz w:val="32"/>
          <w:szCs w:val="32"/>
        </w:rPr>
        <w:t>指标完成情况：</w:t>
      </w:r>
      <w:r>
        <w:rPr>
          <w:rFonts w:hint="eastAsia" w:eastAsia="仿宋_GB2312"/>
          <w:bCs/>
          <w:kern w:val="0"/>
          <w:sz w:val="32"/>
          <w:szCs w:val="32"/>
        </w:rPr>
        <w:br w:type="textWrapping"/>
      </w:r>
      <w:r>
        <w:rPr>
          <w:rFonts w:hint="eastAsia" w:eastAsia="仿宋_GB2312"/>
          <w:bCs/>
          <w:kern w:val="0"/>
          <w:sz w:val="32"/>
          <w:szCs w:val="32"/>
        </w:rPr>
        <w:t xml:space="preserve">  1、数量指标: 完成了义务教育期课时量及年总课时量；保障了教职工教学工作的开展，基本满足在职人员和离退休的正常办公、生活要求。</w:t>
      </w:r>
      <w:r>
        <w:rPr>
          <w:rFonts w:hint="eastAsia" w:eastAsia="仿宋_GB2312"/>
          <w:bCs/>
          <w:kern w:val="0"/>
          <w:sz w:val="32"/>
          <w:szCs w:val="32"/>
        </w:rPr>
        <w:br w:type="textWrapping"/>
      </w:r>
      <w:r>
        <w:rPr>
          <w:rFonts w:hint="eastAsia" w:eastAsia="仿宋_GB2312"/>
          <w:bCs/>
          <w:kern w:val="0"/>
          <w:sz w:val="32"/>
          <w:szCs w:val="32"/>
        </w:rPr>
        <w:t xml:space="preserve">   2、质量指标：设施建设及设备采购合格率达98%。</w:t>
      </w:r>
      <w:r>
        <w:rPr>
          <w:rFonts w:hint="eastAsia" w:eastAsia="仿宋_GB2312"/>
          <w:bCs/>
          <w:kern w:val="0"/>
          <w:sz w:val="32"/>
          <w:szCs w:val="32"/>
        </w:rPr>
        <w:br w:type="textWrapping"/>
      </w:r>
      <w:r>
        <w:rPr>
          <w:rFonts w:hint="eastAsia" w:eastAsia="仿宋_GB2312"/>
          <w:bCs/>
          <w:kern w:val="0"/>
          <w:sz w:val="32"/>
          <w:szCs w:val="32"/>
        </w:rPr>
        <w:t xml:space="preserve">   3、时效指标：完成各项资金支出进度要求，保障2024年各项工作顺利开展、工资薪金按时发放。</w:t>
      </w:r>
      <w:r>
        <w:rPr>
          <w:rFonts w:hint="eastAsia" w:eastAsia="仿宋_GB2312"/>
          <w:bCs/>
          <w:kern w:val="0"/>
          <w:sz w:val="32"/>
          <w:szCs w:val="32"/>
        </w:rPr>
        <w:br w:type="textWrapping"/>
      </w:r>
      <w:r>
        <w:rPr>
          <w:rFonts w:hint="eastAsia" w:eastAsia="仿宋_GB2312"/>
          <w:bCs/>
          <w:kern w:val="0"/>
          <w:sz w:val="32"/>
          <w:szCs w:val="32"/>
        </w:rPr>
        <w:t xml:space="preserve">   4、效益指标：提高了学生素质，养成了好习惯；保障师生生命、财产安全；保障学校校舍安全；降低贫困学生失学率；提升教学质量；做好学校建设，为创建文明城市做出应有的贡献；促进学校教育事业有序、协调发展，通过教育培养可持续发展所需的各类合格的人才。</w:t>
      </w:r>
    </w:p>
    <w:p w14:paraId="299319A1">
      <w:pPr>
        <w:spacing w:line="560" w:lineRule="exact"/>
        <w:ind w:firstLine="640" w:firstLineChars="200"/>
        <w:rPr>
          <w:rFonts w:eastAsia="仿宋_GB2312"/>
          <w:bCs/>
          <w:kern w:val="0"/>
          <w:sz w:val="32"/>
          <w:szCs w:val="32"/>
        </w:rPr>
      </w:pPr>
      <w:r>
        <w:rPr>
          <w:rFonts w:hint="eastAsia" w:eastAsia="仿宋_GB2312"/>
          <w:bCs/>
          <w:kern w:val="0"/>
          <w:sz w:val="32"/>
          <w:szCs w:val="32"/>
        </w:rPr>
        <w:t>5、满意度指标：在职教师、在校学生以及家长满意度达满意。</w:t>
      </w:r>
    </w:p>
    <w:p w14:paraId="54922539">
      <w:pPr>
        <w:spacing w:line="560" w:lineRule="exact"/>
        <w:ind w:firstLine="640" w:firstLineChars="200"/>
        <w:rPr>
          <w:rFonts w:eastAsia="仿宋_GB2312"/>
          <w:bCs/>
          <w:kern w:val="0"/>
          <w:sz w:val="32"/>
          <w:szCs w:val="32"/>
        </w:rPr>
      </w:pPr>
      <w:r>
        <w:rPr>
          <w:rFonts w:hint="eastAsia" w:eastAsia="仿宋_GB2312"/>
          <w:bCs/>
          <w:kern w:val="0"/>
          <w:sz w:val="32"/>
          <w:szCs w:val="32"/>
        </w:rPr>
        <w:t>6、成本指标：严格执行年初预算，控制各类支出。</w:t>
      </w:r>
    </w:p>
    <w:p w14:paraId="1E6C82F4">
      <w:pPr>
        <w:widowControl/>
        <w:spacing w:line="560" w:lineRule="exact"/>
        <w:rPr>
          <w:rFonts w:hint="eastAsia" w:ascii="仿宋" w:hAnsi="仿宋" w:eastAsia="仿宋"/>
          <w:bCs/>
          <w:kern w:val="0"/>
          <w:sz w:val="32"/>
          <w:szCs w:val="32"/>
        </w:rPr>
      </w:pPr>
      <w:r>
        <w:rPr>
          <w:rFonts w:hint="eastAsia" w:ascii="仿宋" w:hAnsi="仿宋" w:eastAsia="仿宋"/>
          <w:b/>
          <w:spacing w:val="-2"/>
          <w:sz w:val="32"/>
          <w:szCs w:val="32"/>
        </w:rPr>
        <w:t>四</w:t>
      </w:r>
      <w:r>
        <w:rPr>
          <w:rFonts w:ascii="仿宋" w:hAnsi="仿宋" w:eastAsia="仿宋"/>
          <w:b/>
          <w:spacing w:val="-2"/>
          <w:sz w:val="32"/>
          <w:szCs w:val="32"/>
        </w:rPr>
        <w:t>、存在</w:t>
      </w:r>
      <w:r>
        <w:rPr>
          <w:rFonts w:hint="eastAsia" w:ascii="仿宋" w:hAnsi="仿宋" w:eastAsia="仿宋"/>
          <w:b/>
          <w:spacing w:val="-2"/>
          <w:sz w:val="32"/>
          <w:szCs w:val="32"/>
        </w:rPr>
        <w:t xml:space="preserve">问题 </w:t>
      </w:r>
    </w:p>
    <w:p w14:paraId="67A8DA02">
      <w:pPr>
        <w:spacing w:line="560" w:lineRule="exact"/>
        <w:ind w:firstLine="640" w:firstLineChars="200"/>
        <w:rPr>
          <w:rFonts w:eastAsia="仿宋_GB2312"/>
          <w:bCs/>
          <w:kern w:val="0"/>
          <w:sz w:val="32"/>
          <w:szCs w:val="32"/>
        </w:rPr>
      </w:pPr>
      <w:r>
        <w:rPr>
          <w:rFonts w:hint="eastAsia" w:eastAsia="仿宋_GB2312"/>
          <w:bCs/>
          <w:kern w:val="0"/>
          <w:sz w:val="32"/>
          <w:szCs w:val="32"/>
        </w:rPr>
        <w:t>1、对于学校的一些项目建设估计不足，政府采购项目存在不确定性，导致预算编制执行过程中存在年初预算无法编实，预算编制的科学性、合理性有待在今后的工作中进一步提高。</w:t>
      </w:r>
    </w:p>
    <w:p w14:paraId="4D6EB5A7">
      <w:pPr>
        <w:spacing w:line="560" w:lineRule="exact"/>
        <w:ind w:firstLine="640" w:firstLineChars="200"/>
        <w:rPr>
          <w:rFonts w:eastAsia="仿宋_GB2312"/>
          <w:bCs/>
          <w:kern w:val="0"/>
          <w:sz w:val="32"/>
          <w:szCs w:val="32"/>
        </w:rPr>
      </w:pPr>
      <w:r>
        <w:rPr>
          <w:rFonts w:hint="eastAsia" w:eastAsia="仿宋_GB2312"/>
          <w:bCs/>
          <w:kern w:val="0"/>
          <w:sz w:val="32"/>
          <w:szCs w:val="32"/>
        </w:rPr>
        <w:t>2、资金使用效益有待进一步提高。</w:t>
      </w:r>
    </w:p>
    <w:p w14:paraId="007DB176">
      <w:pPr>
        <w:widowControl/>
        <w:spacing w:line="560" w:lineRule="exact"/>
        <w:rPr>
          <w:rFonts w:hint="eastAsia" w:ascii="仿宋" w:hAnsi="仿宋" w:eastAsia="仿宋"/>
          <w:b/>
          <w:spacing w:val="-2"/>
          <w:sz w:val="32"/>
          <w:szCs w:val="32"/>
        </w:rPr>
      </w:pPr>
      <w:r>
        <w:rPr>
          <w:rFonts w:hint="eastAsia" w:ascii="仿宋" w:hAnsi="仿宋" w:eastAsia="仿宋"/>
          <w:b/>
          <w:spacing w:val="-2"/>
          <w:sz w:val="32"/>
          <w:szCs w:val="32"/>
        </w:rPr>
        <w:t>五、下一步改进措施</w:t>
      </w:r>
    </w:p>
    <w:p w14:paraId="1BCB10DE">
      <w:pPr>
        <w:spacing w:line="560" w:lineRule="exact"/>
        <w:ind w:firstLine="640" w:firstLineChars="200"/>
        <w:rPr>
          <w:rFonts w:eastAsia="仿宋_GB2312"/>
          <w:bCs/>
          <w:kern w:val="0"/>
          <w:sz w:val="32"/>
          <w:szCs w:val="32"/>
        </w:rPr>
      </w:pPr>
      <w:r>
        <w:rPr>
          <w:rFonts w:hint="eastAsia" w:eastAsia="仿宋_GB2312"/>
          <w:bCs/>
          <w:kern w:val="0"/>
          <w:sz w:val="32"/>
          <w:szCs w:val="32"/>
        </w:rPr>
        <w:t>1.根据本校的实际情况，今后还需加强单位预算编制工作，根据人员情况、业务开展需要，逐项做出预算计划，预算合理、不留缺口、不留空项，把有限的资金用得合理恰当。</w:t>
      </w:r>
    </w:p>
    <w:p w14:paraId="67597058">
      <w:pPr>
        <w:spacing w:line="560" w:lineRule="exact"/>
        <w:ind w:firstLine="640" w:firstLineChars="200"/>
        <w:rPr>
          <w:rFonts w:eastAsia="仿宋_GB2312"/>
          <w:bCs/>
          <w:kern w:val="0"/>
          <w:sz w:val="32"/>
          <w:szCs w:val="32"/>
        </w:rPr>
      </w:pPr>
      <w:r>
        <w:rPr>
          <w:rFonts w:hint="eastAsia" w:eastAsia="仿宋_GB2312"/>
          <w:bCs/>
          <w:kern w:val="0"/>
          <w:sz w:val="32"/>
          <w:szCs w:val="32"/>
        </w:rPr>
        <w:t>2.加强业务培训，提高评价水平。定期做好预算支出财务分析，做好部门整体支出预算评价工作。部门整体绩效评价工作是一项长期性的工作，专业性强，工作量大，建议进一步加强开展部门领导及经办人员相关的政策、业务工作培训，组织开展部门之间、单位之间的经验交流，切实提高业务能力。</w:t>
      </w:r>
    </w:p>
    <w:p w14:paraId="2683C6F1">
      <w:pPr>
        <w:spacing w:line="560" w:lineRule="exact"/>
        <w:rPr>
          <w:rFonts w:hint="eastAsia" w:ascii="仿宋" w:hAnsi="仿宋" w:eastAsia="仿宋"/>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DF4F18"/>
    <w:rsid w:val="00077175"/>
    <w:rsid w:val="0009138A"/>
    <w:rsid w:val="00097CE9"/>
    <w:rsid w:val="000C555C"/>
    <w:rsid w:val="000D323A"/>
    <w:rsid w:val="000E661B"/>
    <w:rsid w:val="0016301F"/>
    <w:rsid w:val="00193A44"/>
    <w:rsid w:val="001B4824"/>
    <w:rsid w:val="00214007"/>
    <w:rsid w:val="002E2AD6"/>
    <w:rsid w:val="003272A4"/>
    <w:rsid w:val="0033420B"/>
    <w:rsid w:val="003423FA"/>
    <w:rsid w:val="003732F3"/>
    <w:rsid w:val="00377560"/>
    <w:rsid w:val="003849FC"/>
    <w:rsid w:val="003B2187"/>
    <w:rsid w:val="003D572D"/>
    <w:rsid w:val="003E09C6"/>
    <w:rsid w:val="00422585"/>
    <w:rsid w:val="00427F31"/>
    <w:rsid w:val="0044102A"/>
    <w:rsid w:val="00442B6C"/>
    <w:rsid w:val="00447B65"/>
    <w:rsid w:val="004B11B5"/>
    <w:rsid w:val="004D1F6A"/>
    <w:rsid w:val="00517743"/>
    <w:rsid w:val="0052564F"/>
    <w:rsid w:val="005560C2"/>
    <w:rsid w:val="00577BFB"/>
    <w:rsid w:val="005B3846"/>
    <w:rsid w:val="005E000B"/>
    <w:rsid w:val="005F2DDA"/>
    <w:rsid w:val="00602D3A"/>
    <w:rsid w:val="0062418F"/>
    <w:rsid w:val="006255B3"/>
    <w:rsid w:val="006346AA"/>
    <w:rsid w:val="00680BD3"/>
    <w:rsid w:val="006D166C"/>
    <w:rsid w:val="006F5A4E"/>
    <w:rsid w:val="00701C0C"/>
    <w:rsid w:val="00706E8A"/>
    <w:rsid w:val="00733AE7"/>
    <w:rsid w:val="00733E5F"/>
    <w:rsid w:val="007556BD"/>
    <w:rsid w:val="00790F03"/>
    <w:rsid w:val="007D60C5"/>
    <w:rsid w:val="007E05CC"/>
    <w:rsid w:val="00817D89"/>
    <w:rsid w:val="00843F78"/>
    <w:rsid w:val="008D1EF9"/>
    <w:rsid w:val="008E2865"/>
    <w:rsid w:val="008F22E1"/>
    <w:rsid w:val="00991A1A"/>
    <w:rsid w:val="00A01472"/>
    <w:rsid w:val="00A0742B"/>
    <w:rsid w:val="00A277E9"/>
    <w:rsid w:val="00A627EA"/>
    <w:rsid w:val="00A71866"/>
    <w:rsid w:val="00A72661"/>
    <w:rsid w:val="00B05B9D"/>
    <w:rsid w:val="00B06908"/>
    <w:rsid w:val="00B11576"/>
    <w:rsid w:val="00B33A1B"/>
    <w:rsid w:val="00B66F8B"/>
    <w:rsid w:val="00B67805"/>
    <w:rsid w:val="00B67F7E"/>
    <w:rsid w:val="00B844E4"/>
    <w:rsid w:val="00B97267"/>
    <w:rsid w:val="00BF3D8F"/>
    <w:rsid w:val="00BF5751"/>
    <w:rsid w:val="00C0050C"/>
    <w:rsid w:val="00C60C78"/>
    <w:rsid w:val="00C90737"/>
    <w:rsid w:val="00CE52A8"/>
    <w:rsid w:val="00D0120A"/>
    <w:rsid w:val="00D241A6"/>
    <w:rsid w:val="00D53373"/>
    <w:rsid w:val="00D561B6"/>
    <w:rsid w:val="00D763E0"/>
    <w:rsid w:val="00D812A7"/>
    <w:rsid w:val="00DB58E8"/>
    <w:rsid w:val="00DC6A61"/>
    <w:rsid w:val="00DC73F7"/>
    <w:rsid w:val="00DD62A3"/>
    <w:rsid w:val="00DF4F18"/>
    <w:rsid w:val="00DF55FA"/>
    <w:rsid w:val="00E204B4"/>
    <w:rsid w:val="00E23806"/>
    <w:rsid w:val="00E2385E"/>
    <w:rsid w:val="00E33191"/>
    <w:rsid w:val="00E37912"/>
    <w:rsid w:val="00E6072C"/>
    <w:rsid w:val="00EA16E1"/>
    <w:rsid w:val="00EC047A"/>
    <w:rsid w:val="00EC14FE"/>
    <w:rsid w:val="00EF277A"/>
    <w:rsid w:val="00EF6BFB"/>
    <w:rsid w:val="00EF75AB"/>
    <w:rsid w:val="00F065F2"/>
    <w:rsid w:val="00F138BB"/>
    <w:rsid w:val="00F21A3F"/>
    <w:rsid w:val="00F27CE6"/>
    <w:rsid w:val="00F354B2"/>
    <w:rsid w:val="00FB04AF"/>
    <w:rsid w:val="00FB44E0"/>
    <w:rsid w:val="00FD1D73"/>
    <w:rsid w:val="00FE3D4E"/>
    <w:rsid w:val="00FF2A68"/>
    <w:rsid w:val="022943F3"/>
    <w:rsid w:val="06F65E0E"/>
    <w:rsid w:val="07175632"/>
    <w:rsid w:val="080C70DE"/>
    <w:rsid w:val="082F58B3"/>
    <w:rsid w:val="08B30BEA"/>
    <w:rsid w:val="09570789"/>
    <w:rsid w:val="108160EB"/>
    <w:rsid w:val="10957BDD"/>
    <w:rsid w:val="11671785"/>
    <w:rsid w:val="13A518E8"/>
    <w:rsid w:val="150572EB"/>
    <w:rsid w:val="17421E31"/>
    <w:rsid w:val="1E2A1B70"/>
    <w:rsid w:val="1EAE09F3"/>
    <w:rsid w:val="1F86000E"/>
    <w:rsid w:val="21B87263"/>
    <w:rsid w:val="26013AFE"/>
    <w:rsid w:val="27AE3745"/>
    <w:rsid w:val="288B557B"/>
    <w:rsid w:val="2B483F8A"/>
    <w:rsid w:val="2D493A52"/>
    <w:rsid w:val="2EEB0D06"/>
    <w:rsid w:val="307A0735"/>
    <w:rsid w:val="3101770D"/>
    <w:rsid w:val="32DA370D"/>
    <w:rsid w:val="375C0B95"/>
    <w:rsid w:val="37FE6D76"/>
    <w:rsid w:val="388C7258"/>
    <w:rsid w:val="3AA05031"/>
    <w:rsid w:val="3CA8662A"/>
    <w:rsid w:val="3F803819"/>
    <w:rsid w:val="43111EA9"/>
    <w:rsid w:val="43503578"/>
    <w:rsid w:val="45B222C8"/>
    <w:rsid w:val="4774372A"/>
    <w:rsid w:val="49076138"/>
    <w:rsid w:val="4A487155"/>
    <w:rsid w:val="4AAF5028"/>
    <w:rsid w:val="4BB62D8D"/>
    <w:rsid w:val="53ED6880"/>
    <w:rsid w:val="546D14CF"/>
    <w:rsid w:val="5621502B"/>
    <w:rsid w:val="58651AA8"/>
    <w:rsid w:val="597039DA"/>
    <w:rsid w:val="5A6D4B83"/>
    <w:rsid w:val="5F9525E6"/>
    <w:rsid w:val="61EA5F72"/>
    <w:rsid w:val="6AC10733"/>
    <w:rsid w:val="6C496CE1"/>
    <w:rsid w:val="7008608F"/>
    <w:rsid w:val="761A0A45"/>
    <w:rsid w:val="7657019E"/>
    <w:rsid w:val="7BF546E1"/>
    <w:rsid w:val="7D7F2043"/>
    <w:rsid w:val="7E8E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cs="宋体"/>
      <w:b/>
      <w:bCs/>
      <w:kern w:val="36"/>
      <w:sz w:val="24"/>
    </w:rPr>
  </w:style>
  <w:style w:type="paragraph" w:styleId="3">
    <w:name w:val="heading 2"/>
    <w:basedOn w:val="1"/>
    <w:link w:val="10"/>
    <w:qFormat/>
    <w:uiPriority w:val="9"/>
    <w:pPr>
      <w:widowControl/>
      <w:spacing w:before="100" w:beforeAutospacing="1" w:after="100" w:afterAutospacing="1"/>
      <w:jc w:val="left"/>
      <w:outlineLvl w:val="1"/>
    </w:pPr>
    <w:rPr>
      <w:rFonts w:ascii="宋体" w:hAnsi="宋体" w:cs="宋体"/>
      <w:b/>
      <w:bCs/>
      <w:kern w:val="0"/>
      <w:sz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1 字符"/>
    <w:link w:val="2"/>
    <w:qFormat/>
    <w:uiPriority w:val="9"/>
    <w:rPr>
      <w:rFonts w:ascii="宋体" w:hAnsi="宋体" w:cs="宋体"/>
      <w:b/>
      <w:bCs/>
      <w:kern w:val="36"/>
      <w:sz w:val="24"/>
      <w:szCs w:val="24"/>
    </w:rPr>
  </w:style>
  <w:style w:type="character" w:customStyle="1" w:styleId="10">
    <w:name w:val="标题 2 字符"/>
    <w:link w:val="3"/>
    <w:qFormat/>
    <w:uiPriority w:val="9"/>
    <w:rPr>
      <w:rFonts w:ascii="宋体" w:hAnsi="宋体" w:cs="宋体"/>
      <w:b/>
      <w:bCs/>
      <w:sz w:val="24"/>
      <w:szCs w:val="24"/>
    </w:rPr>
  </w:style>
  <w:style w:type="character" w:customStyle="1" w:styleId="11">
    <w:name w:val="页脚 字符"/>
    <w:link w:val="4"/>
    <w:qFormat/>
    <w:uiPriority w:val="0"/>
    <w:rPr>
      <w:kern w:val="2"/>
      <w:sz w:val="18"/>
      <w:szCs w:val="18"/>
    </w:rPr>
  </w:style>
  <w:style w:type="character" w:customStyle="1" w:styleId="12">
    <w:name w:val="页眉 字符"/>
    <w:link w:val="5"/>
    <w:qFormat/>
    <w:uiPriority w:val="0"/>
    <w:rPr>
      <w:kern w:val="2"/>
      <w:sz w:val="18"/>
      <w:szCs w:val="18"/>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16"/>
    <w:basedOn w:val="1"/>
    <w:qFormat/>
    <w:uiPriority w:val="0"/>
    <w:pPr>
      <w:widowControl/>
      <w:spacing w:before="100" w:beforeAutospacing="1" w:after="100" w:afterAutospacing="1"/>
      <w:jc w:val="left"/>
    </w:pPr>
    <w:rPr>
      <w:rFonts w:ascii="宋体" w:hAnsi="宋体" w:cs="宋体"/>
      <w:kern w:val="0"/>
      <w:sz w:val="24"/>
    </w:rPr>
  </w:style>
  <w:style w:type="paragraph" w:styleId="15">
    <w:name w:val="No Spacing"/>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2550</Words>
  <Characters>2695</Characters>
  <Lines>67</Lines>
  <Paragraphs>41</Paragraphs>
  <TotalTime>3</TotalTime>
  <ScaleCrop>false</ScaleCrop>
  <LinksUpToDate>false</LinksUpToDate>
  <CharactersWithSpaces>2713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2025-06-26T03:19:00Z</dcterms:created>
  <dc:creator>杨万里</dc:creator>
  <cp:lastModifiedBy>邓婷</cp:lastModifiedBy>
  <cp:lastPrinted>2020-07-24T01:19:00Z</cp:lastPrinted>
  <dcterms:modified xsi:type="dcterms:W3CDTF">2025-12-02T02:13:01Z</dcterms:modified>
  <dc:title>辰溪县教育局2018年部门整体支出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4BBD1C05751B4912953E11CF1DA7339A_13</vt:lpwstr>
  </property>
  <property fmtid="{D5CDD505-2E9C-101B-9397-08002B2CF9AE}" pid="4" name="KSOTemplateDocerSaveRecord">
    <vt:lpwstr>eyJoZGlkIjoiZTY2MWM4MWY1Nzc3YTU2NWFiNzU3MWZmM2EwMGNkMjgiLCJ1c2VySWQiOiIxMDY5MjgzMDcxIn0=</vt:lpwstr>
  </property>
</Properties>
</file>