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7943B">
      <w:pPr>
        <w:pStyle w:val="6"/>
        <w:spacing w:before="49"/>
        <w:ind w:left="959"/>
        <w:rPr>
          <w:rFonts w:ascii="Times New Roman" w:eastAsia="Times New Roman"/>
          <w:b/>
          <w:bCs/>
        </w:rPr>
      </w:pPr>
      <w:r>
        <w:rPr>
          <w:b/>
          <w:bCs/>
          <w:w w:val="95"/>
        </w:rPr>
        <w:t>附件</w:t>
      </w:r>
      <w:r>
        <w:rPr>
          <w:rFonts w:ascii="Times New Roman" w:eastAsia="Times New Roman"/>
          <w:b/>
          <w:bCs/>
          <w:spacing w:val="-10"/>
          <w:w w:val="95"/>
        </w:rPr>
        <w:t>2</w:t>
      </w:r>
    </w:p>
    <w:p w14:paraId="326E7FFD">
      <w:pPr>
        <w:pStyle w:val="6"/>
        <w:rPr>
          <w:rFonts w:ascii="Times New Roman"/>
          <w:sz w:val="20"/>
        </w:rPr>
      </w:pPr>
    </w:p>
    <w:p w14:paraId="5430DD9B">
      <w:pPr>
        <w:pStyle w:val="6"/>
        <w:rPr>
          <w:rFonts w:ascii="Times New Roman"/>
          <w:sz w:val="20"/>
        </w:rPr>
      </w:pPr>
    </w:p>
    <w:p w14:paraId="71B27532">
      <w:pPr>
        <w:pStyle w:val="6"/>
        <w:rPr>
          <w:rFonts w:ascii="Times New Roman"/>
          <w:sz w:val="20"/>
        </w:rPr>
      </w:pPr>
    </w:p>
    <w:p w14:paraId="664702F6">
      <w:pPr>
        <w:pStyle w:val="6"/>
        <w:rPr>
          <w:rFonts w:ascii="Times New Roman"/>
          <w:sz w:val="20"/>
        </w:rPr>
      </w:pPr>
    </w:p>
    <w:p w14:paraId="4D4984B0">
      <w:pPr>
        <w:pStyle w:val="6"/>
        <w:rPr>
          <w:rFonts w:ascii="Times New Roman"/>
          <w:sz w:val="20"/>
        </w:rPr>
      </w:pPr>
    </w:p>
    <w:p w14:paraId="18742E4E">
      <w:pPr>
        <w:pStyle w:val="6"/>
        <w:rPr>
          <w:rFonts w:ascii="Times New Roman"/>
          <w:sz w:val="20"/>
        </w:rPr>
      </w:pPr>
    </w:p>
    <w:p w14:paraId="3C211C0F">
      <w:pPr>
        <w:pStyle w:val="6"/>
        <w:rPr>
          <w:rFonts w:ascii="Times New Roman"/>
          <w:sz w:val="20"/>
        </w:rPr>
      </w:pPr>
    </w:p>
    <w:p w14:paraId="5D3E4E5A">
      <w:pPr>
        <w:pStyle w:val="6"/>
        <w:rPr>
          <w:rFonts w:ascii="Times New Roman"/>
          <w:sz w:val="20"/>
        </w:rPr>
      </w:pPr>
    </w:p>
    <w:p w14:paraId="3A50C9E8">
      <w:pPr>
        <w:pStyle w:val="6"/>
        <w:rPr>
          <w:rFonts w:ascii="Times New Roman"/>
          <w:sz w:val="20"/>
        </w:rPr>
      </w:pPr>
    </w:p>
    <w:p w14:paraId="485EA2BF">
      <w:pPr>
        <w:pStyle w:val="6"/>
        <w:rPr>
          <w:rFonts w:ascii="Times New Roman"/>
          <w:sz w:val="20"/>
        </w:rPr>
      </w:pPr>
    </w:p>
    <w:p w14:paraId="71964E94">
      <w:pPr>
        <w:pStyle w:val="6"/>
        <w:spacing w:before="4"/>
        <w:rPr>
          <w:rFonts w:ascii="Times New Roman"/>
          <w:sz w:val="21"/>
        </w:rPr>
      </w:pPr>
    </w:p>
    <w:p w14:paraId="2E5171C3">
      <w:pPr>
        <w:pStyle w:val="3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</w:rPr>
        <w:t>部门整体支出绩效自评报告</w:t>
      </w:r>
    </w:p>
    <w:p w14:paraId="05861232">
      <w:pPr>
        <w:pStyle w:val="5"/>
        <w:spacing w:before="66"/>
        <w:ind w:right="27"/>
        <w:rPr>
          <w:rFonts w:ascii="PMingLiU" w:eastAsia="PMingLiU"/>
        </w:rPr>
      </w:pPr>
      <w:bookmarkStart w:id="0" w:name="_GoBack"/>
      <w:bookmarkEnd w:id="0"/>
      <w:r>
        <w:rPr>
          <w:rFonts w:hint="eastAsia" w:ascii="PMingLiU" w:eastAsia="PMingLiU"/>
        </w:rPr>
        <w:t>（</w:t>
      </w:r>
      <w:r>
        <w:rPr>
          <w:rFonts w:hint="eastAsia" w:ascii="Times New Roman"/>
          <w:lang w:eastAsia="zh-CN"/>
        </w:rPr>
        <w:t>2024</w:t>
      </w:r>
      <w:r>
        <w:rPr>
          <w:rFonts w:hint="eastAsia" w:ascii="PMingLiU" w:eastAsia="PMingLiU"/>
        </w:rPr>
        <w:t>年度</w:t>
      </w:r>
      <w:r>
        <w:rPr>
          <w:rFonts w:hint="eastAsia" w:ascii="PMingLiU" w:eastAsia="PMingLiU"/>
          <w:spacing w:val="-10"/>
        </w:rPr>
        <w:t>）</w:t>
      </w:r>
    </w:p>
    <w:p w14:paraId="0374BF2A">
      <w:pPr>
        <w:pStyle w:val="6"/>
        <w:rPr>
          <w:rFonts w:ascii="PMingLiU"/>
          <w:sz w:val="42"/>
        </w:rPr>
      </w:pPr>
    </w:p>
    <w:p w14:paraId="30D66E2C">
      <w:pPr>
        <w:pStyle w:val="6"/>
        <w:rPr>
          <w:rFonts w:ascii="PMingLiU"/>
          <w:sz w:val="42"/>
        </w:rPr>
      </w:pPr>
    </w:p>
    <w:p w14:paraId="2D4D6581">
      <w:pPr>
        <w:pStyle w:val="6"/>
        <w:rPr>
          <w:rFonts w:ascii="PMingLiU"/>
          <w:sz w:val="42"/>
        </w:rPr>
      </w:pPr>
    </w:p>
    <w:p w14:paraId="0D3BBF56">
      <w:pPr>
        <w:pStyle w:val="6"/>
        <w:rPr>
          <w:rFonts w:ascii="PMingLiU"/>
          <w:sz w:val="42"/>
        </w:rPr>
      </w:pPr>
    </w:p>
    <w:p w14:paraId="482805EE">
      <w:pPr>
        <w:pStyle w:val="6"/>
        <w:spacing w:before="6"/>
        <w:rPr>
          <w:rFonts w:ascii="PMingLiU"/>
          <w:sz w:val="54"/>
        </w:rPr>
      </w:pPr>
    </w:p>
    <w:p w14:paraId="42786470">
      <w:pPr>
        <w:pStyle w:val="6"/>
        <w:spacing w:before="6"/>
        <w:rPr>
          <w:rFonts w:ascii="PMingLiU"/>
          <w:sz w:val="54"/>
        </w:rPr>
      </w:pPr>
    </w:p>
    <w:p w14:paraId="1FB1E286">
      <w:pPr>
        <w:pStyle w:val="6"/>
        <w:spacing w:before="6"/>
        <w:rPr>
          <w:rFonts w:ascii="PMingLiU"/>
          <w:sz w:val="54"/>
        </w:rPr>
      </w:pPr>
    </w:p>
    <w:p w14:paraId="064BED40">
      <w:pPr>
        <w:spacing w:line="580" w:lineRule="exact"/>
        <w:ind w:left="3577" w:right="3577"/>
        <w:jc w:val="center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单位名称：（盖章）</w:t>
      </w:r>
    </w:p>
    <w:p w14:paraId="29D95711">
      <w:pPr>
        <w:spacing w:line="580" w:lineRule="exact"/>
        <w:ind w:left="3577" w:right="3577"/>
        <w:jc w:val="center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</w:rPr>
        <w:t>主要负责人签字：</w:t>
      </w:r>
    </w:p>
    <w:p w14:paraId="11EDDE1A">
      <w:pPr>
        <w:pStyle w:val="6"/>
        <w:spacing w:before="6"/>
      </w:pPr>
    </w:p>
    <w:p w14:paraId="6D6E4463">
      <w:pPr>
        <w:pStyle w:val="6"/>
        <w:tabs>
          <w:tab w:val="left" w:pos="802"/>
        </w:tabs>
        <w:ind w:left="1"/>
        <w:jc w:val="center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2"/>
        </w:rPr>
        <w:tab/>
      </w:r>
      <w:r>
        <w:rPr>
          <w:rFonts w:hint="eastAsia" w:ascii="Times New Roman" w:hAnsi="Times New Roman" w:eastAsia="仿宋_GB2312" w:cs="Times New Roman"/>
          <w:color w:val="000000"/>
          <w:kern w:val="2"/>
        </w:rPr>
        <w:t>月    日</w:t>
      </w:r>
    </w:p>
    <w:p w14:paraId="3A428BF7">
      <w:pPr>
        <w:jc w:val="center"/>
        <w:rPr>
          <w:rFonts w:ascii="Times New Roman" w:hAnsi="Times New Roman" w:eastAsia="仿宋_GB2312" w:cs="Times New Roman"/>
          <w:color w:val="000000"/>
          <w:kern w:val="2"/>
          <w:sz w:val="32"/>
          <w:szCs w:val="32"/>
        </w:rPr>
        <w:sectPr>
          <w:footerReference r:id="rId3" w:type="default"/>
          <w:pgSz w:w="11900" w:h="16840"/>
          <w:pgMar w:top="1380" w:right="840" w:bottom="1260" w:left="840" w:header="0" w:footer="1074" w:gutter="0"/>
          <w:cols w:space="720" w:num="1"/>
        </w:sectPr>
      </w:pPr>
    </w:p>
    <w:p w14:paraId="26006244">
      <w:pPr>
        <w:pStyle w:val="4"/>
        <w:rPr>
          <w:rFonts w:hint="eastAsia" w:ascii="Times New Roman" w:hAnsi="Times New Roman" w:eastAsia="仿宋_GB2312" w:cs="Times New Roman"/>
          <w:b/>
          <w:bCs/>
          <w:color w:val="000000"/>
          <w:kern w:val="2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lang w:eastAsia="zh-CN"/>
        </w:rPr>
        <w:t>2024</w:t>
      </w:r>
      <w:r>
        <w:rPr>
          <w:rFonts w:ascii="Times New Roman" w:hAnsi="Times New Roman" w:eastAsia="仿宋_GB2312" w:cs="Times New Roman"/>
          <w:b/>
          <w:bCs/>
          <w:color w:val="000000"/>
          <w:kern w:val="2"/>
        </w:rPr>
        <w:t>年度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  <w:lang w:eastAsia="zh-CN"/>
        </w:rPr>
        <w:t>石鼓区演武坪小学</w:t>
      </w:r>
    </w:p>
    <w:p w14:paraId="77C694E1">
      <w:pPr>
        <w:pStyle w:val="4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</w:rPr>
        <w:t>部门整体支出绩效自评报告</w:t>
      </w:r>
    </w:p>
    <w:p w14:paraId="7B7EE9EF">
      <w:pPr>
        <w:pStyle w:val="6"/>
        <w:spacing w:before="7"/>
        <w:rPr>
          <w:sz w:val="43"/>
        </w:rPr>
      </w:pPr>
    </w:p>
    <w:p w14:paraId="26EFD5FB">
      <w:pPr>
        <w:pStyle w:val="6"/>
        <w:numPr>
          <w:ilvl w:val="0"/>
          <w:numId w:val="1"/>
        </w:numPr>
        <w:spacing w:line="560" w:lineRule="exact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单位基本情况</w:t>
      </w:r>
    </w:p>
    <w:p w14:paraId="05538B51">
      <w:pPr>
        <w:pStyle w:val="6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kern w:val="2"/>
        </w:rPr>
        <w:t>我单位全称为石鼓区演武坪小学，属财政补助事业单位，现执行政府会计制度，主要职能为：</w:t>
      </w:r>
    </w:p>
    <w:p w14:paraId="49BF67E9">
      <w:pPr>
        <w:pStyle w:val="6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1、坚定、正确贯彻执行党和国家的教育方针、政策、法规。</w:t>
      </w:r>
    </w:p>
    <w:p w14:paraId="680712E2">
      <w:pPr>
        <w:pStyle w:val="6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2、维护学校的教学秩序，为学生创造良好的学习环境。</w:t>
      </w:r>
    </w:p>
    <w:p w14:paraId="75B27714">
      <w:pPr>
        <w:pStyle w:val="6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3、积极稳妥地推进教育改革，按教育规律教学，不断提高教育质量。</w:t>
      </w:r>
    </w:p>
    <w:p w14:paraId="6DF67476">
      <w:pPr>
        <w:pStyle w:val="6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4、根据学校规模，设置学校管理机构，建立健全各项规章制度和岗位责任制。</w:t>
      </w:r>
    </w:p>
    <w:p w14:paraId="2FEB4E38">
      <w:pPr>
        <w:pStyle w:val="6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5、坚持教书育人、服务育人、环境育人方针，加强对学生的全面教育，使学生的德、智、体、美、劳全面发展。</w:t>
      </w:r>
    </w:p>
    <w:p w14:paraId="5D2005EF">
      <w:pPr>
        <w:pStyle w:val="6"/>
        <w:spacing w:line="560" w:lineRule="exact"/>
        <w:ind w:left="959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6、抓好教师队伍建设，促使每个教师都能由衷的热爱教育事业，不断钻研本职业务，持续丰富自身涵养。</w:t>
      </w:r>
    </w:p>
    <w:p w14:paraId="43101B95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7、做好安全防范工作，保证学生的人身安全、提高学生的安全意识</w:t>
      </w:r>
      <w:r>
        <w:rPr>
          <w:rFonts w:ascii="Times New Roman" w:hAnsi="Times New Roman" w:eastAsia="仿宋_GB2312" w:cs="Times New Roman"/>
          <w:color w:val="000000"/>
          <w:kern w:val="2"/>
        </w:rPr>
        <w:t>。</w:t>
      </w:r>
    </w:p>
    <w:p w14:paraId="398B26F3">
      <w:pPr>
        <w:pStyle w:val="6"/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二、一般公共预算支出情况</w:t>
      </w:r>
    </w:p>
    <w:p w14:paraId="2A620E72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b/>
          <w:bCs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b/>
          <w:bCs/>
          <w:color w:val="000000"/>
          <w:kern w:val="2"/>
        </w:rPr>
        <w:t>（一）基本支出情况</w:t>
      </w:r>
    </w:p>
    <w:p w14:paraId="5282A277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FF0000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基本支出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766.79</w:t>
      </w:r>
      <w:r>
        <w:rPr>
          <w:rFonts w:ascii="Times New Roman" w:hAnsi="Times New Roman" w:eastAsia="仿宋_GB2312" w:cs="Times New Roman"/>
          <w:kern w:val="2"/>
        </w:rPr>
        <w:t>万元</w:t>
      </w:r>
      <w:r>
        <w:rPr>
          <w:rFonts w:hint="eastAsia" w:ascii="Times New Roman" w:hAnsi="Times New Roman" w:eastAsia="仿宋_GB2312" w:cs="Times New Roman"/>
          <w:kern w:val="2"/>
        </w:rPr>
        <w:t>用于维持单位的正常运转、日常工作任务而发生的费用，包括人员经费和日常公用经费等；</w:t>
      </w:r>
      <w:r>
        <w:rPr>
          <w:rFonts w:ascii="Times New Roman" w:hAnsi="Times New Roman" w:eastAsia="仿宋_GB2312" w:cs="Times New Roman"/>
          <w:kern w:val="2"/>
        </w:rPr>
        <w:t>其中：人员经费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730.95</w:t>
      </w:r>
      <w:r>
        <w:rPr>
          <w:rFonts w:ascii="Times New Roman" w:hAnsi="Times New Roman" w:eastAsia="仿宋_GB2312" w:cs="Times New Roman"/>
          <w:kern w:val="2"/>
        </w:rPr>
        <w:t>万元，公用经费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35.84</w:t>
      </w:r>
      <w:r>
        <w:rPr>
          <w:rFonts w:ascii="Times New Roman" w:hAnsi="Times New Roman" w:eastAsia="仿宋_GB2312" w:cs="Times New Roman"/>
          <w:kern w:val="2"/>
        </w:rPr>
        <w:t>万元。</w:t>
      </w:r>
    </w:p>
    <w:p w14:paraId="0ED100E9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b/>
          <w:bCs/>
          <w:kern w:val="2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</w:rPr>
        <w:t>（二）项目支出情况</w:t>
      </w:r>
    </w:p>
    <w:p w14:paraId="031CA7CA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kern w:val="2"/>
        </w:rPr>
      </w:pPr>
      <w:r>
        <w:rPr>
          <w:rFonts w:hint="eastAsia" w:ascii="Times New Roman" w:hAnsi="Times New Roman" w:eastAsia="仿宋_GB2312" w:cs="Times New Roman"/>
          <w:kern w:val="2"/>
        </w:rPr>
        <w:t>项目支出为</w:t>
      </w:r>
      <w:r>
        <w:rPr>
          <w:rFonts w:hint="eastAsia" w:ascii="Times New Roman" w:hAnsi="Times New Roman" w:eastAsia="仿宋_GB2312" w:cs="Times New Roman"/>
          <w:kern w:val="2"/>
          <w:lang w:eastAsia="zh-CN"/>
        </w:rPr>
        <w:t>242.28</w:t>
      </w:r>
      <w:r>
        <w:rPr>
          <w:rFonts w:ascii="Times New Roman" w:hAnsi="Times New Roman" w:eastAsia="仿宋_GB2312" w:cs="Times New Roman"/>
          <w:kern w:val="2"/>
        </w:rPr>
        <w:t>万元</w:t>
      </w:r>
      <w:r>
        <w:rPr>
          <w:rFonts w:hint="eastAsia" w:ascii="Times New Roman" w:hAnsi="Times New Roman" w:eastAsia="仿宋_GB2312" w:cs="Times New Roman"/>
          <w:kern w:val="2"/>
        </w:rPr>
        <w:t>。</w:t>
      </w:r>
    </w:p>
    <w:p w14:paraId="7D5DAC3F">
      <w:pPr>
        <w:pStyle w:val="6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政府性基金预算支出情况</w:t>
      </w:r>
    </w:p>
    <w:p w14:paraId="62E1B8CE">
      <w:pPr>
        <w:pStyle w:val="6"/>
        <w:spacing w:line="560" w:lineRule="exact"/>
        <w:ind w:left="959"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无</w:t>
      </w:r>
    </w:p>
    <w:p w14:paraId="0DA5F21D">
      <w:pPr>
        <w:pStyle w:val="6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国有资本经营预算支出情况</w:t>
      </w:r>
    </w:p>
    <w:p w14:paraId="66083810">
      <w:pPr>
        <w:pStyle w:val="6"/>
        <w:spacing w:line="560" w:lineRule="exact"/>
        <w:ind w:left="959" w:firstLine="640" w:firstLineChars="20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无</w:t>
      </w:r>
    </w:p>
    <w:p w14:paraId="32460B71">
      <w:pPr>
        <w:pStyle w:val="6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社会保险基金预算支出情况</w:t>
      </w:r>
    </w:p>
    <w:p w14:paraId="2B92B613">
      <w:pPr>
        <w:pStyle w:val="6"/>
        <w:spacing w:line="560" w:lineRule="exact"/>
        <w:ind w:left="959"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无</w:t>
      </w:r>
    </w:p>
    <w:p w14:paraId="4431BDC6">
      <w:pPr>
        <w:pStyle w:val="6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部门整体支出绩效情况</w:t>
      </w:r>
    </w:p>
    <w:p w14:paraId="18CF3B85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我校履职及履职效益情况良好。</w:t>
      </w:r>
    </w:p>
    <w:p w14:paraId="612B2552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ascii="Times New Roman" w:hAnsi="Times New Roman" w:eastAsia="仿宋_GB2312" w:cs="Times New Roman"/>
          <w:color w:val="000000"/>
          <w:kern w:val="2"/>
        </w:rPr>
        <w:t>1、对各项支出严格按照预算额度进行控制、努力节约经费；</w:t>
      </w:r>
    </w:p>
    <w:p w14:paraId="4F43A9FB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ascii="Times New Roman" w:hAnsi="Times New Roman" w:eastAsia="仿宋_GB2312" w:cs="Times New Roman"/>
          <w:color w:val="000000"/>
          <w:kern w:val="2"/>
        </w:rPr>
        <w:t>2、各项工作均能够按时完成，且质量较高；</w:t>
      </w:r>
    </w:p>
    <w:p w14:paraId="434A38F6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ascii="Times New Roman" w:hAnsi="Times New Roman" w:eastAsia="仿宋_GB2312" w:cs="Times New Roman"/>
          <w:color w:val="000000"/>
          <w:kern w:val="2"/>
        </w:rPr>
        <w:t>3、部门整体支出使用效果达到了预期</w:t>
      </w:r>
      <w:r>
        <w:rPr>
          <w:rFonts w:hint="eastAsia" w:ascii="Times New Roman" w:hAnsi="Times New Roman" w:eastAsia="仿宋_GB2312" w:cs="Times New Roman"/>
          <w:color w:val="000000"/>
          <w:kern w:val="2"/>
        </w:rPr>
        <w:t>。</w:t>
      </w:r>
    </w:p>
    <w:p w14:paraId="1177FBA7">
      <w:pPr>
        <w:pStyle w:val="6"/>
        <w:numPr>
          <w:ilvl w:val="0"/>
          <w:numId w:val="2"/>
        </w:numPr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存在的问题及原因分析</w:t>
      </w:r>
    </w:p>
    <w:p w14:paraId="42FDF7AE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进一步编实项目年初预算，细化项目年初目标，规范项目管理，强化项目监督，提高专项资金使用效益，让每一分钱都花在刀刃上，让每一笔支出都产出成果。</w:t>
      </w:r>
    </w:p>
    <w:p w14:paraId="2413A907">
      <w:pPr>
        <w:pStyle w:val="6"/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八、下一步改进措施</w:t>
      </w:r>
    </w:p>
    <w:p w14:paraId="3ACD3461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ascii="Times New Roman" w:hAnsi="Times New Roman" w:eastAsia="仿宋_GB2312" w:cs="Times New Roman"/>
          <w:color w:val="000000"/>
          <w:kern w:val="2"/>
        </w:rPr>
        <w:t>1、准确编制预算</w:t>
      </w:r>
    </w:p>
    <w:p w14:paraId="6D5F35EB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细化预算编制工作，认真做好预算的编制。进一步加强学校内部门的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</w:t>
      </w:r>
    </w:p>
    <w:p w14:paraId="78A4598D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ascii="Times New Roman" w:hAnsi="Times New Roman" w:eastAsia="仿宋_GB2312" w:cs="Times New Roman"/>
          <w:color w:val="000000"/>
          <w:kern w:val="2"/>
        </w:rPr>
        <w:t>2、加强财务管理，认真学习政策</w:t>
      </w:r>
    </w:p>
    <w:p w14:paraId="540C66B0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</w:t>
      </w:r>
      <w:r>
        <w:rPr>
          <w:rFonts w:ascii="Times New Roman" w:hAnsi="Times New Roman" w:eastAsia="仿宋_GB2312" w:cs="Times New Roman"/>
          <w:color w:val="000000"/>
          <w:kern w:val="2"/>
        </w:rPr>
        <w:t>1）要加强单位财务管理，健全学校财务管理制度体系，规范学校财务行为。在费用报账支付时，按照预算规定的费用项目和用途进行资金使用审核、列报支付、财务核算，杜绝超支现象的发生。</w:t>
      </w:r>
    </w:p>
    <w:p w14:paraId="7ACC6080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</w:t>
      </w:r>
      <w:r>
        <w:rPr>
          <w:rFonts w:ascii="Times New Roman" w:hAnsi="Times New Roman" w:eastAsia="仿宋_GB2312" w:cs="Times New Roman"/>
          <w:color w:val="000000"/>
          <w:kern w:val="2"/>
        </w:rPr>
        <w:t>2）建议加强政策学习，提高思想认识。组织相关人员认真学习</w:t>
      </w:r>
      <w:r>
        <w:rPr>
          <w:rFonts w:hint="eastAsia" w:ascii="Times New Roman" w:hAnsi="Times New Roman" w:eastAsia="仿宋_GB2312" w:cs="Times New Roman"/>
          <w:color w:val="000000"/>
          <w:kern w:val="2"/>
          <w:lang w:eastAsia="zh-CN"/>
        </w:rPr>
        <w:t>《中华人民共和国预算法》</w:t>
      </w:r>
      <w:r>
        <w:rPr>
          <w:rFonts w:ascii="Times New Roman" w:hAnsi="Times New Roman" w:eastAsia="仿宋_GB2312" w:cs="Times New Roman"/>
          <w:color w:val="000000"/>
          <w:kern w:val="2"/>
        </w:rPr>
        <w:t>等相关法规、制度。</w:t>
      </w:r>
    </w:p>
    <w:p w14:paraId="0D9F044A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ascii="Times New Roman" w:hAnsi="Times New Roman" w:eastAsia="仿宋_GB2312" w:cs="Times New Roman"/>
          <w:color w:val="000000"/>
          <w:kern w:val="2"/>
        </w:rPr>
        <w:t>3、加强预算执行力度，以减少沉淀资金</w:t>
      </w:r>
    </w:p>
    <w:p w14:paraId="2874530A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</w:t>
      </w:r>
      <w:r>
        <w:rPr>
          <w:rFonts w:ascii="Times New Roman" w:hAnsi="Times New Roman" w:eastAsia="仿宋_GB2312" w:cs="Times New Roman"/>
          <w:color w:val="000000"/>
          <w:kern w:val="2"/>
        </w:rPr>
        <w:t>1）加快资金拨付。按照专项资金类型限定拨付期限，对尚未明确具体项目的专项资金，要求主管部门在收到文件后15个工作日内确定项目计划。</w:t>
      </w:r>
    </w:p>
    <w:p w14:paraId="1B5BEB75">
      <w:pPr>
        <w:pStyle w:val="6"/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（</w:t>
      </w:r>
      <w:r>
        <w:rPr>
          <w:rFonts w:ascii="Times New Roman" w:hAnsi="Times New Roman" w:eastAsia="仿宋_GB2312" w:cs="Times New Roman"/>
          <w:color w:val="000000"/>
          <w:kern w:val="2"/>
        </w:rPr>
        <w:t>2）加快督促项目工程的实施和验收，完善财务报账手续，防止项目资金滞留。</w:t>
      </w:r>
    </w:p>
    <w:p w14:paraId="7BBB003B">
      <w:pPr>
        <w:pStyle w:val="6"/>
        <w:spacing w:line="560" w:lineRule="exact"/>
        <w:ind w:left="959" w:firstLine="640"/>
        <w:jc w:val="both"/>
        <w:rPr>
          <w:rFonts w:ascii="黑体" w:hAnsi="黑体" w:eastAsia="黑体" w:cs="黑体"/>
          <w:color w:val="000000"/>
          <w:kern w:val="2"/>
        </w:rPr>
      </w:pPr>
      <w:r>
        <w:rPr>
          <w:rFonts w:hint="eastAsia" w:ascii="黑体" w:hAnsi="黑体" w:eastAsia="黑体" w:cs="黑体"/>
          <w:color w:val="000000"/>
          <w:kern w:val="2"/>
        </w:rPr>
        <w:t>九、其他需要说明的情况</w:t>
      </w:r>
    </w:p>
    <w:p w14:paraId="21482AB7">
      <w:pPr>
        <w:pStyle w:val="6"/>
        <w:spacing w:line="560" w:lineRule="exact"/>
        <w:ind w:left="959" w:firstLine="640"/>
        <w:jc w:val="both"/>
        <w:rPr>
          <w:rFonts w:ascii="Times New Roman" w:hAnsi="Times New Roman" w:eastAsia="仿宋_GB2312" w:cs="Times New Roman"/>
          <w:color w:val="000000"/>
          <w:kern w:val="2"/>
        </w:rPr>
        <w:sectPr>
          <w:footerReference r:id="rId4" w:type="default"/>
          <w:footerReference r:id="rId5" w:type="even"/>
          <w:pgSz w:w="11900" w:h="16840"/>
          <w:pgMar w:top="1420" w:right="840" w:bottom="1260" w:left="840" w:header="0" w:footer="1074" w:gutter="0"/>
          <w:pgNumType w:start="10"/>
          <w:cols w:space="720" w:num="1"/>
        </w:sectPr>
      </w:pPr>
      <w:r>
        <w:rPr>
          <w:rFonts w:hint="eastAsia" w:ascii="Times New Roman" w:hAnsi="Times New Roman" w:eastAsia="仿宋_GB2312" w:cs="Times New Roman"/>
          <w:color w:val="000000"/>
          <w:kern w:val="2"/>
        </w:rPr>
        <w:t>无</w:t>
      </w:r>
    </w:p>
    <w:p w14:paraId="689B78A8">
      <w:pPr>
        <w:pStyle w:val="6"/>
        <w:spacing w:line="560" w:lineRule="exact"/>
        <w:jc w:val="both"/>
        <w:rPr>
          <w:rFonts w:ascii="黑体" w:hAnsi="黑体" w:eastAsia="黑体" w:cs="黑体"/>
          <w:color w:val="000000"/>
          <w:kern w:val="2"/>
        </w:rPr>
      </w:pPr>
    </w:p>
    <w:sectPr>
      <w:pgSz w:w="11900" w:h="16840"/>
      <w:pgMar w:top="1380" w:right="840" w:bottom="1260" w:left="840" w:header="0" w:footer="1074" w:gutter="0"/>
      <w:cols w:equalWidth="0" w:num="2">
        <w:col w:w="1880" w:space="153"/>
        <w:col w:w="818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3E83D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F1A075"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F1A075"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1121E">
    <w:pPr>
      <w:pStyle w:val="6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10356E">
                          <w:pPr>
                            <w:pStyle w:val="7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10356E">
                    <w:pPr>
                      <w:pStyle w:val="7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C1B75">
    <w:pPr>
      <w:pStyle w:val="6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1129665</wp:posOffset>
              </wp:positionH>
              <wp:positionV relativeFrom="page">
                <wp:posOffset>9866630</wp:posOffset>
              </wp:positionV>
              <wp:extent cx="411480" cy="223520"/>
              <wp:effectExtent l="0" t="0" r="0" b="0"/>
              <wp:wrapNone/>
              <wp:docPr id="83638460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49120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8"/>
                            </w:rPr>
                          </w:pPr>
                          <w:r>
                            <w:rPr>
                              <w:rFonts w:ascii="Times New Roman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10"/>
                              <w:sz w:val="28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88.95pt;margin-top:776.9pt;height:17.6pt;width:32.4pt;mso-position-horizontal-relative:page;mso-position-vertical-relative:page;z-index:-251655168;mso-width-relative:page;mso-height-relative:page;" filled="f" stroked="f" coordsize="21600,21600" o:gfxdata="UEsDBAoAAAAAAIdO4kAAAAAAAAAAAAAAAAAEAAAAZHJzL1BLAwQUAAAACACHTuJA8Zk1FNoAAAAN&#10;AQAADwAAAGRycy9kb3ducmV2LnhtbE2PzU7DMBCE70i8g7VI3KjdQJsmxKkQglMlRBoOHJ3YTazG&#10;6xC7f2/P9gS3nd3R7DfF+uwGdjRTsB4lzGcCmMHWa4udhK/6/WEFLESFWg0ejYSLCbAub28KlWt/&#10;wsoct7FjFIIhVxL6GMec89D2xqkw86NBuu385FQkOXVcT+pE4W7giRBL7pRF+tCr0bz2pt1vD07C&#10;yzdWb/bno/msdpWt60zgZrmX8v5uLp6BRXOOf2a44hM6lMTU+APqwAbSaZqRlYbF4pFKkCV5SlJg&#10;zXW1ygTwsuD/W5S/UEsDBBQAAAAIAIdO4kDDdPQDEwIAAAwEAAAOAAAAZHJzL2Uyb0RvYy54bWyt&#10;U0uOGyEU3EfKHRD7uP2LZbXcHk3GmijS5CNNcgBM026Uhkce2N3OAZIbZDWb7HMunyMP2vZ8splF&#10;NugBj6KqKBYXnWnYTqHXYAs+Ggw5U1ZCqe2m4F8+X7+ac+aDsKVowKqC75XnF8uXLxaty9UYamhK&#10;hYxArM9bV/A6BJdnmZe1MsIPwClLmxWgEYGmuMlKFC2hmyYbD4ezrAUsHYJU3tPqqt/kR0R8DiBU&#10;lZZqBXJrlA09KqpGBJLka+08Xya2VaVk+FhVXgXWFJyUhjTSJVSv45gtFyLfoHC1lkcK4jkUnmgy&#10;Qlu69Ay1EkGwLep/oIyWCB6qMJBgsl5IcoRUjIZPvLmthVNJC1nt3dl0//9g5YfdJ2S6LPh8MpvM&#10;p7PhhDMrDD384dfPw92fw+8fbBJtap3PqfvWUX/o3kBH4UmSvbsB+dUzC1e1sBt1iQhtrURJNEfx&#10;ZPbgaI/jI8i6fQ8l3SO2ARJQV6GJHpIrjNDpifbnJ1JdYJIWp6PRdE47krbG48nrcXrCTOSnww59&#10;eKvAsFgUHCkBCVzsbnyIZER+aol3WbjWTZNS0NhHC9QYVxL5yLdnHrp1dzRjDeWeZCD0oaIvRUUN&#10;+J2zlgJVcP9tK1Bx1ryzZEVM36nAU7E+FcJKOlrwwFlfXoU+pVuHelMTcm+2hUuyq9JJSvS1Z3Hk&#10;SSFJCo+Bjil8OE9d9594+R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xmTUU2gAAAA0BAAAPAAAA&#10;AAAAAAEAIAAAACIAAABkcnMvZG93bnJldi54bWxQSwECFAAUAAAACACHTuJAw3T0AxMCAAAMBAAA&#10;DgAAAAAAAAABACAAAAApAQAAZHJzL2Uyb0RvYy54bWxQSwUGAAAAAAYABgBZAQAAr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149120">
                    <w:pPr>
                      <w:spacing w:before="9"/>
                      <w:ind w:left="20"/>
                      <w:rPr>
                        <w:rFonts w:ascii="Times New Roman"/>
                        <w:sz w:val="28"/>
                      </w:rPr>
                    </w:pPr>
                    <w:r>
                      <w:rPr>
                        <w:rFonts w:ascii="Times New Roman"/>
                        <w:sz w:val="28"/>
                      </w:rPr>
                      <w:t>-</w:t>
                    </w:r>
                    <w:r>
                      <w:rPr>
                        <w:rFonts w:asci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/>
                        <w:sz w:val="28"/>
                      </w:rPr>
                      <w:t>10</w:t>
                    </w:r>
                    <w:r>
                      <w:rPr>
                        <w:rFonts w:asci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/>
                        <w:spacing w:val="-10"/>
                        <w:sz w:val="28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7A68AE"/>
    <w:multiLevelType w:val="multilevel"/>
    <w:tmpl w:val="467A68AE"/>
    <w:lvl w:ilvl="0" w:tentative="0">
      <w:start w:val="1"/>
      <w:numFmt w:val="japaneseCounting"/>
      <w:lvlText w:val="%1、"/>
      <w:lvlJc w:val="left"/>
      <w:pPr>
        <w:ind w:left="2319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479" w:hanging="440"/>
      </w:pPr>
    </w:lvl>
    <w:lvl w:ilvl="2" w:tentative="0">
      <w:start w:val="1"/>
      <w:numFmt w:val="lowerRoman"/>
      <w:lvlText w:val="%3."/>
      <w:lvlJc w:val="right"/>
      <w:pPr>
        <w:ind w:left="2919" w:hanging="440"/>
      </w:pPr>
    </w:lvl>
    <w:lvl w:ilvl="3" w:tentative="0">
      <w:start w:val="1"/>
      <w:numFmt w:val="decimal"/>
      <w:lvlText w:val="%4."/>
      <w:lvlJc w:val="left"/>
      <w:pPr>
        <w:ind w:left="3359" w:hanging="440"/>
      </w:pPr>
    </w:lvl>
    <w:lvl w:ilvl="4" w:tentative="0">
      <w:start w:val="1"/>
      <w:numFmt w:val="lowerLetter"/>
      <w:lvlText w:val="%5)"/>
      <w:lvlJc w:val="left"/>
      <w:pPr>
        <w:ind w:left="3799" w:hanging="440"/>
      </w:pPr>
    </w:lvl>
    <w:lvl w:ilvl="5" w:tentative="0">
      <w:start w:val="1"/>
      <w:numFmt w:val="lowerRoman"/>
      <w:lvlText w:val="%6."/>
      <w:lvlJc w:val="right"/>
      <w:pPr>
        <w:ind w:left="4239" w:hanging="440"/>
      </w:pPr>
    </w:lvl>
    <w:lvl w:ilvl="6" w:tentative="0">
      <w:start w:val="1"/>
      <w:numFmt w:val="decimal"/>
      <w:lvlText w:val="%7."/>
      <w:lvlJc w:val="left"/>
      <w:pPr>
        <w:ind w:left="4679" w:hanging="440"/>
      </w:pPr>
    </w:lvl>
    <w:lvl w:ilvl="7" w:tentative="0">
      <w:start w:val="1"/>
      <w:numFmt w:val="lowerLetter"/>
      <w:lvlText w:val="%8)"/>
      <w:lvlJc w:val="left"/>
      <w:pPr>
        <w:ind w:left="5119" w:hanging="440"/>
      </w:pPr>
    </w:lvl>
    <w:lvl w:ilvl="8" w:tentative="0">
      <w:start w:val="1"/>
      <w:numFmt w:val="lowerRoman"/>
      <w:lvlText w:val="%9."/>
      <w:lvlJc w:val="right"/>
      <w:pPr>
        <w:ind w:left="5559" w:hanging="440"/>
      </w:pPr>
    </w:lvl>
  </w:abstractNum>
  <w:abstractNum w:abstractNumId="1">
    <w:nsid w:val="4F6DAD7A"/>
    <w:multiLevelType w:val="singleLevel"/>
    <w:tmpl w:val="4F6DAD7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B8F"/>
    <w:rsid w:val="00135C83"/>
    <w:rsid w:val="00387331"/>
    <w:rsid w:val="0040340D"/>
    <w:rsid w:val="00562748"/>
    <w:rsid w:val="005A29C5"/>
    <w:rsid w:val="00692B8F"/>
    <w:rsid w:val="00AB0BB9"/>
    <w:rsid w:val="00B45334"/>
    <w:rsid w:val="00BA07FC"/>
    <w:rsid w:val="00BD270E"/>
    <w:rsid w:val="00D07206"/>
    <w:rsid w:val="00E14823"/>
    <w:rsid w:val="00EF0DFE"/>
    <w:rsid w:val="00FB78B2"/>
    <w:rsid w:val="01306CA7"/>
    <w:rsid w:val="06112117"/>
    <w:rsid w:val="0F2E78EE"/>
    <w:rsid w:val="186C0EE2"/>
    <w:rsid w:val="19DD7CC7"/>
    <w:rsid w:val="1BAC4A3A"/>
    <w:rsid w:val="1C5A7C23"/>
    <w:rsid w:val="25F14435"/>
    <w:rsid w:val="279F66FD"/>
    <w:rsid w:val="30C95960"/>
    <w:rsid w:val="3EEB264D"/>
    <w:rsid w:val="42845A0E"/>
    <w:rsid w:val="48C21A0D"/>
    <w:rsid w:val="49FF210A"/>
    <w:rsid w:val="4AE23A24"/>
    <w:rsid w:val="5F61295A"/>
    <w:rsid w:val="646B658C"/>
    <w:rsid w:val="6F702A58"/>
    <w:rsid w:val="72CC176D"/>
    <w:rsid w:val="7744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53"/>
      <w:ind w:left="30" w:right="27"/>
      <w:jc w:val="center"/>
      <w:outlineLvl w:val="0"/>
    </w:pPr>
    <w:rPr>
      <w:rFonts w:ascii="PMingLiU" w:hAnsi="PMingLiU" w:eastAsia="PMingLiU" w:cs="PMingLiU"/>
      <w:sz w:val="48"/>
      <w:szCs w:val="48"/>
    </w:rPr>
  </w:style>
  <w:style w:type="paragraph" w:styleId="4">
    <w:name w:val="heading 2"/>
    <w:basedOn w:val="1"/>
    <w:next w:val="1"/>
    <w:qFormat/>
    <w:uiPriority w:val="1"/>
    <w:pPr>
      <w:spacing w:before="45"/>
      <w:ind w:left="30" w:right="28"/>
      <w:jc w:val="center"/>
      <w:outlineLvl w:val="1"/>
    </w:pPr>
    <w:rPr>
      <w:rFonts w:ascii="PMingLiU" w:hAnsi="PMingLiU" w:eastAsia="PMingLiU" w:cs="PMingLiU"/>
      <w:sz w:val="44"/>
      <w:szCs w:val="44"/>
    </w:rPr>
  </w:style>
  <w:style w:type="paragraph" w:styleId="5">
    <w:name w:val="heading 3"/>
    <w:basedOn w:val="1"/>
    <w:next w:val="1"/>
    <w:qFormat/>
    <w:uiPriority w:val="1"/>
    <w:pPr>
      <w:ind w:left="30"/>
      <w:jc w:val="center"/>
      <w:outlineLvl w:val="2"/>
    </w:pPr>
    <w:rPr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Body Text"/>
    <w:basedOn w:val="1"/>
    <w:qFormat/>
    <w:uiPriority w:val="1"/>
    <w:rPr>
      <w:sz w:val="32"/>
      <w:szCs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spacing w:before="190"/>
      <w:ind w:left="1840" w:hanging="241"/>
    </w:pPr>
  </w:style>
  <w:style w:type="paragraph" w:customStyle="1" w:styleId="13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1093</Words>
  <Characters>1119</Characters>
  <Lines>8</Lines>
  <Paragraphs>2</Paragraphs>
  <TotalTime>39</TotalTime>
  <ScaleCrop>false</ScaleCrop>
  <LinksUpToDate>false</LinksUpToDate>
  <CharactersWithSpaces>1125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2024-06-13T07:27:00Z</dcterms:created>
  <dc:creator>Administrator</dc:creator>
  <cp:lastModifiedBy>邓婷</cp:lastModifiedBy>
  <cp:lastPrinted>2024-05-22T00:53:00Z</cp:lastPrinted>
  <dcterms:modified xsi:type="dcterms:W3CDTF">2025-12-02T02:52:34Z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Xpdf - https://xpdf.cn</vt:lpwstr>
  </property>
  <property fmtid="{D5CDD505-2E9C-101B-9397-08002B2CF9AE}" pid="3" name="Producer">
    <vt:lpwstr>Xpdf - https://xpdf.cn</vt:lpwstr>
  </property>
  <property fmtid="{D5CDD505-2E9C-101B-9397-08002B2CF9AE}" pid="4" name="KSOProductBuildVer">
    <vt:lpwstr>2052-12.1.0.23542</vt:lpwstr>
  </property>
  <property fmtid="{D5CDD505-2E9C-101B-9397-08002B2CF9AE}" pid="5" name="ICV">
    <vt:lpwstr>7A395336D78F4F98976FE2813E39701A_13</vt:lpwstr>
  </property>
  <property fmtid="{D5CDD505-2E9C-101B-9397-08002B2CF9AE}" pid="6" name="KSOTemplateDocerSaveRecord">
    <vt:lpwstr>eyJoZGlkIjoiZTY2MWM4MWY1Nzc3YTU2NWFiNzU3MWZmM2EwMGNkMjgiLCJ1c2VySWQiOiIxMDY5MjgzMDcxIn0=</vt:lpwstr>
  </property>
</Properties>
</file>