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17694">
      <w:pPr>
        <w:pStyle w:val="4"/>
        <w:rPr>
          <w:rFonts w:ascii="Times New Roman" w:hAnsi="Times New Roman" w:eastAsia="仿宋_GB2312" w:cs="Times New Roman"/>
          <w:b/>
          <w:bCs/>
          <w:color w:val="000000"/>
          <w:kern w:val="2"/>
        </w:rPr>
      </w:pPr>
      <w:r>
        <w:rPr>
          <w:rFonts w:hint="eastAsia" w:ascii="Times New Roman" w:hAnsi="Times New Roman" w:eastAsia="仿宋_GB2312" w:cs="Times New Roman"/>
          <w:b/>
          <w:bCs/>
          <w:color w:val="000000"/>
          <w:kern w:val="2"/>
        </w:rPr>
        <w:t>2024</w:t>
      </w:r>
      <w:r>
        <w:rPr>
          <w:rFonts w:ascii="Times New Roman" w:hAnsi="Times New Roman" w:eastAsia="仿宋_GB2312" w:cs="Times New Roman"/>
          <w:b/>
          <w:bCs/>
          <w:color w:val="000000"/>
          <w:kern w:val="2"/>
        </w:rPr>
        <w:t>年度</w:t>
      </w:r>
      <w:r>
        <w:rPr>
          <w:rFonts w:hint="eastAsia" w:ascii="Times New Roman" w:hAnsi="Times New Roman" w:eastAsia="仿宋_GB2312" w:cs="Times New Roman"/>
          <w:b/>
          <w:bCs/>
          <w:color w:val="000000"/>
          <w:kern w:val="2"/>
        </w:rPr>
        <w:t>石鼓区华耀小学</w:t>
      </w:r>
    </w:p>
    <w:p w14:paraId="059EF3B2">
      <w:pPr>
        <w:pStyle w:val="4"/>
        <w:rPr>
          <w:rFonts w:ascii="Times New Roman" w:hAnsi="Times New Roman" w:eastAsia="仿宋_GB2312" w:cs="Times New Roman"/>
          <w:b/>
          <w:bCs/>
          <w:color w:val="000000"/>
          <w:kern w:val="2"/>
        </w:rPr>
      </w:pPr>
      <w:r>
        <w:rPr>
          <w:rFonts w:hint="eastAsia" w:ascii="Times New Roman" w:hAnsi="Times New Roman" w:eastAsia="仿宋_GB2312" w:cs="Times New Roman"/>
          <w:b/>
          <w:bCs/>
          <w:color w:val="000000"/>
          <w:kern w:val="2"/>
        </w:rPr>
        <w:t>部门整体支出绩效自评报告</w:t>
      </w:r>
    </w:p>
    <w:p w14:paraId="3DF7A4BE">
      <w:pPr>
        <w:pStyle w:val="6"/>
        <w:spacing w:before="7"/>
        <w:rPr>
          <w:rFonts w:hint="eastAsia"/>
          <w:sz w:val="43"/>
        </w:rPr>
      </w:pPr>
    </w:p>
    <w:p w14:paraId="6077E5E3">
      <w:pPr>
        <w:pStyle w:val="6"/>
        <w:numPr>
          <w:ilvl w:val="0"/>
          <w:numId w:val="1"/>
        </w:numPr>
        <w:spacing w:line="560" w:lineRule="exact"/>
        <w:jc w:val="both"/>
        <w:rPr>
          <w:rFonts w:hint="eastAsia" w:ascii="黑体" w:hAnsi="黑体" w:eastAsia="黑体" w:cs="黑体"/>
          <w:color w:val="000000"/>
          <w:kern w:val="2"/>
        </w:rPr>
      </w:pPr>
      <w:r>
        <w:rPr>
          <w:rFonts w:hint="eastAsia" w:ascii="黑体" w:hAnsi="黑体" w:eastAsia="黑体" w:cs="黑体"/>
          <w:color w:val="000000"/>
          <w:kern w:val="2"/>
        </w:rPr>
        <w:t>单位基本情况</w:t>
      </w:r>
    </w:p>
    <w:p w14:paraId="72BB1FA3">
      <w:pPr>
        <w:pStyle w:val="6"/>
        <w:spacing w:line="560" w:lineRule="exact"/>
        <w:ind w:left="959" w:firstLine="640"/>
        <w:jc w:val="both"/>
        <w:rPr>
          <w:rFonts w:ascii="Times New Roman" w:hAnsi="Times New Roman" w:eastAsia="仿宋_GB2312" w:cs="Times New Roman"/>
          <w:color w:val="000000"/>
          <w:kern w:val="2"/>
        </w:rPr>
      </w:pPr>
      <w:r>
        <w:rPr>
          <w:rFonts w:hint="eastAsia" w:ascii="黑体" w:hAnsi="黑体" w:eastAsia="黑体" w:cs="黑体"/>
          <w:color w:val="000000"/>
          <w:kern w:val="2"/>
        </w:rPr>
        <w:t xml:space="preserve"> </w:t>
      </w:r>
      <w:r>
        <w:rPr>
          <w:rFonts w:hint="eastAsia" w:ascii="Times New Roman" w:hAnsi="Times New Roman" w:eastAsia="仿宋_GB2312" w:cs="Times New Roman"/>
          <w:color w:val="000000"/>
          <w:kern w:val="2"/>
        </w:rPr>
        <w:t>我单位全称为石鼓区华耀小学，</w:t>
      </w:r>
      <w:r>
        <w:rPr>
          <w:rFonts w:hint="default" w:ascii="Times New Roman" w:hAnsi="Times New Roman" w:eastAsia="仿宋_GB2312" w:cs="Times New Roman"/>
          <w:color w:val="000000"/>
          <w:kern w:val="2"/>
          <w:lang w:val="sq-AL"/>
        </w:rPr>
        <w:t>属于</w:t>
      </w:r>
      <w:r>
        <w:rPr>
          <w:rFonts w:hint="eastAsia" w:ascii="Times New Roman" w:hAnsi="Times New Roman" w:eastAsia="仿宋_GB2312" w:cs="Times New Roman"/>
          <w:color w:val="000000"/>
          <w:kern w:val="2"/>
        </w:rPr>
        <w:t>财政补助事业单位，现执行政府会计制度，主要职能为：</w:t>
      </w:r>
    </w:p>
    <w:p w14:paraId="49840DD8">
      <w:pPr>
        <w:pStyle w:val="6"/>
        <w:spacing w:line="560" w:lineRule="exact"/>
        <w:ind w:left="959" w:firstLine="640"/>
        <w:jc w:val="both"/>
        <w:rPr>
          <w:rFonts w:ascii="Times New Roman" w:hAnsi="Times New Roman" w:eastAsia="仿宋_GB2312" w:cs="Times New Roman"/>
          <w:color w:val="000000"/>
          <w:kern w:val="2"/>
        </w:rPr>
      </w:pPr>
      <w:r>
        <w:rPr>
          <w:rFonts w:hint="eastAsia" w:ascii="Times New Roman" w:hAnsi="Times New Roman" w:eastAsia="仿宋_GB2312" w:cs="Times New Roman"/>
          <w:color w:val="000000"/>
          <w:kern w:val="2"/>
        </w:rPr>
        <w:t>1、正确贯彻执行党和国家的教育方针、政策、法规。</w:t>
      </w:r>
    </w:p>
    <w:p w14:paraId="189646F6">
      <w:pPr>
        <w:pStyle w:val="6"/>
        <w:spacing w:line="560" w:lineRule="exact"/>
        <w:ind w:left="959" w:firstLine="640"/>
        <w:jc w:val="both"/>
        <w:rPr>
          <w:rFonts w:ascii="Times New Roman" w:hAnsi="Times New Roman" w:eastAsia="仿宋_GB2312" w:cs="Times New Roman"/>
          <w:color w:val="000000"/>
          <w:kern w:val="2"/>
        </w:rPr>
      </w:pPr>
      <w:r>
        <w:rPr>
          <w:rFonts w:hint="eastAsia" w:ascii="Times New Roman" w:hAnsi="Times New Roman" w:eastAsia="仿宋_GB2312" w:cs="Times New Roman"/>
          <w:color w:val="000000"/>
          <w:kern w:val="2"/>
        </w:rPr>
        <w:t>2、维护学校的教学秩序，为学生创造良好的学习环境。</w:t>
      </w:r>
    </w:p>
    <w:p w14:paraId="54A90E91">
      <w:pPr>
        <w:pStyle w:val="6"/>
        <w:spacing w:line="560" w:lineRule="exact"/>
        <w:ind w:left="959" w:firstLine="640"/>
        <w:jc w:val="both"/>
        <w:rPr>
          <w:rFonts w:ascii="Times New Roman" w:hAnsi="Times New Roman" w:eastAsia="仿宋_GB2312" w:cs="Times New Roman"/>
          <w:color w:val="000000"/>
          <w:kern w:val="2"/>
        </w:rPr>
      </w:pPr>
      <w:r>
        <w:rPr>
          <w:rFonts w:hint="eastAsia" w:ascii="Times New Roman" w:hAnsi="Times New Roman" w:eastAsia="仿宋_GB2312" w:cs="Times New Roman"/>
          <w:color w:val="000000"/>
          <w:kern w:val="2"/>
        </w:rPr>
        <w:t>3、积极稳妥地推进教育改革，按教育规律办事，不断提高教</w:t>
      </w:r>
      <w:bookmarkStart w:id="0" w:name="_GoBack"/>
      <w:bookmarkEnd w:id="0"/>
      <w:r>
        <w:rPr>
          <w:rFonts w:hint="eastAsia" w:ascii="Times New Roman" w:hAnsi="Times New Roman" w:eastAsia="仿宋_GB2312" w:cs="Times New Roman"/>
          <w:color w:val="000000"/>
          <w:kern w:val="2"/>
        </w:rPr>
        <w:t>育质量。</w:t>
      </w:r>
    </w:p>
    <w:p w14:paraId="5366D3DD">
      <w:pPr>
        <w:pStyle w:val="6"/>
        <w:spacing w:line="560" w:lineRule="exact"/>
        <w:ind w:left="959" w:firstLine="640"/>
        <w:jc w:val="both"/>
        <w:rPr>
          <w:rFonts w:ascii="Times New Roman" w:hAnsi="Times New Roman" w:eastAsia="仿宋_GB2312" w:cs="Times New Roman"/>
          <w:color w:val="000000"/>
          <w:kern w:val="2"/>
        </w:rPr>
      </w:pPr>
      <w:r>
        <w:rPr>
          <w:rFonts w:hint="eastAsia" w:ascii="Times New Roman" w:hAnsi="Times New Roman" w:eastAsia="仿宋_GB2312" w:cs="Times New Roman"/>
          <w:color w:val="000000"/>
          <w:kern w:val="2"/>
        </w:rPr>
        <w:t>4、根据学校规模，设置学校管理机构，建立健全各项规章制度和岗位责任制。</w:t>
      </w:r>
    </w:p>
    <w:p w14:paraId="233C3C16">
      <w:pPr>
        <w:pStyle w:val="6"/>
        <w:spacing w:line="560" w:lineRule="exact"/>
        <w:ind w:left="959" w:firstLine="640"/>
        <w:jc w:val="both"/>
        <w:rPr>
          <w:rFonts w:ascii="Times New Roman" w:hAnsi="Times New Roman" w:eastAsia="仿宋_GB2312" w:cs="Times New Roman"/>
          <w:color w:val="000000"/>
          <w:kern w:val="2"/>
        </w:rPr>
      </w:pPr>
      <w:r>
        <w:rPr>
          <w:rFonts w:hint="eastAsia" w:ascii="Times New Roman" w:hAnsi="Times New Roman" w:eastAsia="仿宋_GB2312" w:cs="Times New Roman"/>
          <w:color w:val="000000"/>
          <w:kern w:val="2"/>
        </w:rPr>
        <w:t>5、坚持教书育人，服务育人，环境育人方针，加强对学生的思想品德教育，使学生的德智体全面发展。</w:t>
      </w:r>
    </w:p>
    <w:p w14:paraId="3B9B1000">
      <w:pPr>
        <w:pStyle w:val="6"/>
        <w:spacing w:line="560" w:lineRule="exact"/>
        <w:ind w:left="959" w:firstLine="640"/>
        <w:jc w:val="both"/>
        <w:rPr>
          <w:rFonts w:ascii="Times New Roman" w:hAnsi="Times New Roman" w:eastAsia="仿宋_GB2312" w:cs="Times New Roman"/>
          <w:color w:val="000000"/>
          <w:kern w:val="2"/>
        </w:rPr>
      </w:pPr>
      <w:r>
        <w:rPr>
          <w:rFonts w:hint="eastAsia" w:ascii="Times New Roman" w:hAnsi="Times New Roman" w:eastAsia="仿宋_GB2312" w:cs="Times New Roman"/>
          <w:color w:val="000000"/>
          <w:kern w:val="2"/>
        </w:rPr>
        <w:t>6、抓好教师队伍建设，使每个教师都热心于教育事业。</w:t>
      </w:r>
    </w:p>
    <w:p w14:paraId="0E35F370">
      <w:pPr>
        <w:pStyle w:val="6"/>
        <w:spacing w:line="560" w:lineRule="exact"/>
        <w:ind w:left="959" w:firstLine="640"/>
        <w:jc w:val="both"/>
        <w:rPr>
          <w:rFonts w:ascii="Times New Roman" w:hAnsi="Times New Roman" w:eastAsia="仿宋_GB2312" w:cs="Times New Roman"/>
          <w:color w:val="000000"/>
          <w:kern w:val="2"/>
        </w:rPr>
      </w:pPr>
      <w:r>
        <w:rPr>
          <w:rFonts w:hint="eastAsia" w:ascii="Times New Roman" w:hAnsi="Times New Roman" w:eastAsia="仿宋_GB2312" w:cs="Times New Roman"/>
          <w:color w:val="000000"/>
          <w:kern w:val="2"/>
        </w:rPr>
        <w:t>7、做好安全防范，保证师生的人身安全。</w:t>
      </w:r>
    </w:p>
    <w:p w14:paraId="6DD2E467">
      <w:pPr>
        <w:pStyle w:val="6"/>
        <w:spacing w:line="560" w:lineRule="exact"/>
        <w:ind w:left="959" w:firstLine="640"/>
        <w:jc w:val="both"/>
        <w:rPr>
          <w:rFonts w:hint="eastAsia" w:ascii="黑体" w:hAnsi="黑体" w:eastAsia="黑体" w:cs="黑体"/>
          <w:color w:val="000000"/>
          <w:kern w:val="2"/>
        </w:rPr>
      </w:pPr>
      <w:r>
        <w:rPr>
          <w:rFonts w:hint="eastAsia" w:ascii="黑体" w:hAnsi="黑体" w:eastAsia="黑体" w:cs="黑体"/>
          <w:color w:val="000000"/>
          <w:kern w:val="2"/>
        </w:rPr>
        <w:t>二、一般公共预算支出情况</w:t>
      </w:r>
    </w:p>
    <w:p w14:paraId="4E913D67">
      <w:pPr>
        <w:pStyle w:val="6"/>
        <w:spacing w:line="560" w:lineRule="exact"/>
        <w:ind w:left="959" w:firstLine="640"/>
        <w:jc w:val="both"/>
        <w:rPr>
          <w:rFonts w:hint="eastAsia" w:ascii="Times New Roman" w:hAnsi="Times New Roman" w:eastAsia="仿宋_GB2312" w:cs="Times New Roman"/>
          <w:b/>
          <w:bCs/>
          <w:color w:val="000000"/>
          <w:kern w:val="2"/>
        </w:rPr>
      </w:pPr>
      <w:r>
        <w:rPr>
          <w:rFonts w:hint="eastAsia" w:ascii="Times New Roman" w:hAnsi="Times New Roman" w:eastAsia="仿宋_GB2312" w:cs="Times New Roman"/>
          <w:b/>
          <w:bCs/>
          <w:color w:val="000000"/>
          <w:kern w:val="2"/>
        </w:rPr>
        <w:t>（一）基本支出情况</w:t>
      </w:r>
    </w:p>
    <w:p w14:paraId="689A6DB1">
      <w:pPr>
        <w:pStyle w:val="6"/>
        <w:spacing w:line="560" w:lineRule="exact"/>
        <w:ind w:left="959" w:firstLine="640"/>
        <w:jc w:val="both"/>
        <w:rPr>
          <w:rFonts w:hint="eastAsia" w:ascii="Times New Roman" w:hAnsi="Times New Roman" w:eastAsia="仿宋_GB2312" w:cs="Times New Roman"/>
          <w:b w:val="0"/>
          <w:bCs w:val="0"/>
          <w:color w:val="000000"/>
          <w:kern w:val="2"/>
        </w:rPr>
      </w:pPr>
      <w:r>
        <w:rPr>
          <w:rFonts w:hint="eastAsia" w:ascii="Times New Roman" w:hAnsi="Times New Roman" w:eastAsia="仿宋_GB2312" w:cs="Times New Roman"/>
          <w:b w:val="0"/>
          <w:bCs w:val="0"/>
          <w:color w:val="000000"/>
          <w:kern w:val="2"/>
        </w:rPr>
        <w:t>1、整体支出情况</w:t>
      </w:r>
    </w:p>
    <w:p w14:paraId="4C6F827D">
      <w:pPr>
        <w:pStyle w:val="6"/>
        <w:spacing w:line="560" w:lineRule="exact"/>
        <w:ind w:left="959" w:firstLine="640"/>
        <w:jc w:val="both"/>
        <w:rPr>
          <w:rFonts w:hint="eastAsia" w:ascii="Times New Roman" w:hAnsi="Times New Roman" w:eastAsia="仿宋_GB2312" w:cs="Times New Roman"/>
          <w:b w:val="0"/>
          <w:bCs w:val="0"/>
          <w:color w:val="000000"/>
          <w:kern w:val="2"/>
        </w:rPr>
      </w:pPr>
      <w:r>
        <w:rPr>
          <w:rFonts w:hint="eastAsia" w:ascii="Times New Roman" w:hAnsi="Times New Roman" w:eastAsia="仿宋_GB2312" w:cs="Times New Roman"/>
          <w:color w:val="000000"/>
          <w:kern w:val="2"/>
        </w:rPr>
        <w:t>石鼓区华耀小学</w:t>
      </w:r>
      <w:r>
        <w:rPr>
          <w:rFonts w:hint="eastAsia" w:ascii="Times New Roman" w:hAnsi="Times New Roman" w:eastAsia="仿宋_GB2312" w:cs="Times New Roman"/>
          <w:b w:val="0"/>
          <w:bCs w:val="0"/>
          <w:color w:val="000000"/>
          <w:kern w:val="2"/>
        </w:rPr>
        <w:t>202</w:t>
      </w:r>
      <w:r>
        <w:rPr>
          <w:rFonts w:hint="eastAsia" w:ascii="Times New Roman" w:hAnsi="Times New Roman" w:eastAsia="仿宋_GB2312" w:cs="Times New Roman"/>
          <w:b w:val="0"/>
          <w:bCs w:val="0"/>
          <w:color w:val="000000"/>
          <w:kern w:val="2"/>
          <w:lang w:val="en-US" w:eastAsia="zh-CN"/>
        </w:rPr>
        <w:t>4</w:t>
      </w:r>
      <w:r>
        <w:rPr>
          <w:rFonts w:hint="eastAsia" w:ascii="Times New Roman" w:hAnsi="Times New Roman" w:eastAsia="仿宋_GB2312" w:cs="Times New Roman"/>
          <w:b w:val="0"/>
          <w:bCs w:val="0"/>
          <w:color w:val="000000"/>
          <w:kern w:val="2"/>
        </w:rPr>
        <w:t>年初预算金额为</w:t>
      </w:r>
      <w:r>
        <w:rPr>
          <w:rFonts w:hint="eastAsia" w:ascii="Times New Roman" w:hAnsi="Times New Roman" w:eastAsia="仿宋_GB2312" w:cs="Times New Roman"/>
          <w:b w:val="0"/>
          <w:bCs w:val="0"/>
          <w:color w:val="000000"/>
          <w:kern w:val="2"/>
          <w:lang w:val="en-US" w:eastAsia="zh-CN"/>
        </w:rPr>
        <w:t>918.57</w:t>
      </w:r>
      <w:r>
        <w:rPr>
          <w:rFonts w:hint="eastAsia" w:ascii="Times New Roman" w:hAnsi="Times New Roman" w:eastAsia="仿宋_GB2312" w:cs="Times New Roman"/>
          <w:b w:val="0"/>
          <w:bCs w:val="0"/>
          <w:color w:val="000000"/>
          <w:kern w:val="2"/>
        </w:rPr>
        <w:t>万元，年终决算支出</w:t>
      </w:r>
      <w:r>
        <w:rPr>
          <w:rFonts w:hint="eastAsia" w:ascii="Times New Roman" w:hAnsi="Times New Roman" w:eastAsia="仿宋_GB2312" w:cs="Times New Roman"/>
          <w:b w:val="0"/>
          <w:bCs w:val="0"/>
          <w:color w:val="000000"/>
          <w:kern w:val="2"/>
          <w:lang w:val="en-US" w:eastAsia="zh-CN"/>
        </w:rPr>
        <w:t>1493.41</w:t>
      </w:r>
      <w:r>
        <w:rPr>
          <w:rFonts w:hint="eastAsia" w:ascii="Times New Roman" w:hAnsi="Times New Roman" w:eastAsia="仿宋_GB2312" w:cs="Times New Roman"/>
          <w:b w:val="0"/>
          <w:bCs w:val="0"/>
          <w:color w:val="000000"/>
          <w:kern w:val="2"/>
        </w:rPr>
        <w:t>万元。</w:t>
      </w:r>
    </w:p>
    <w:p w14:paraId="145775CF">
      <w:pPr>
        <w:pStyle w:val="6"/>
        <w:spacing w:line="560" w:lineRule="exact"/>
        <w:ind w:left="959" w:firstLine="640"/>
        <w:jc w:val="both"/>
        <w:rPr>
          <w:rFonts w:hint="default" w:ascii="Times New Roman" w:hAnsi="Times New Roman" w:eastAsia="仿宋_GB2312" w:cs="Times New Roman"/>
          <w:b w:val="0"/>
          <w:bCs w:val="0"/>
          <w:color w:val="000000"/>
          <w:kern w:val="2"/>
          <w:lang w:val="en-US" w:eastAsia="zh-CN"/>
        </w:rPr>
      </w:pPr>
      <w:r>
        <w:rPr>
          <w:rFonts w:hint="eastAsia" w:ascii="Times New Roman" w:hAnsi="Times New Roman" w:eastAsia="仿宋_GB2312" w:cs="Times New Roman"/>
          <w:color w:val="000000"/>
          <w:kern w:val="2"/>
        </w:rPr>
        <w:t>石鼓区华耀小学</w:t>
      </w:r>
      <w:r>
        <w:rPr>
          <w:rFonts w:hint="eastAsia" w:ascii="Times New Roman" w:hAnsi="Times New Roman" w:eastAsia="仿宋_GB2312" w:cs="Times New Roman"/>
          <w:b w:val="0"/>
          <w:bCs w:val="0"/>
          <w:color w:val="000000"/>
          <w:kern w:val="2"/>
        </w:rPr>
        <w:t>的部门整体支出主要用于单位的正常办公及日常公用经费等方面的开支，包括：工资及福利支出、商品和服务支出、对个人和家庭的补助支出</w:t>
      </w:r>
      <w:r>
        <w:rPr>
          <w:rFonts w:hint="eastAsia" w:ascii="Times New Roman" w:hAnsi="Times New Roman" w:eastAsia="仿宋_GB2312" w:cs="Times New Roman"/>
          <w:b w:val="0"/>
          <w:bCs w:val="0"/>
          <w:color w:val="000000"/>
          <w:kern w:val="2"/>
          <w:lang w:eastAsia="zh-CN"/>
        </w:rPr>
        <w:t>、</w:t>
      </w:r>
      <w:r>
        <w:rPr>
          <w:rFonts w:hint="eastAsia" w:ascii="Times New Roman" w:hAnsi="Times New Roman" w:eastAsia="仿宋_GB2312" w:cs="Times New Roman"/>
          <w:b w:val="0"/>
          <w:bCs w:val="0"/>
          <w:color w:val="000000"/>
          <w:kern w:val="2"/>
          <w:lang w:val="en-US" w:eastAsia="zh-CN"/>
        </w:rPr>
        <w:t>资本性支出</w:t>
      </w:r>
      <w:r>
        <w:rPr>
          <w:rFonts w:hint="eastAsia" w:ascii="Times New Roman" w:hAnsi="Times New Roman" w:eastAsia="仿宋_GB2312" w:cs="Times New Roman"/>
          <w:b w:val="0"/>
          <w:bCs w:val="0"/>
          <w:color w:val="000000"/>
          <w:kern w:val="2"/>
        </w:rPr>
        <w:t>等。其中:工资福利支出</w:t>
      </w:r>
      <w:r>
        <w:rPr>
          <w:rFonts w:hint="eastAsia" w:ascii="Times New Roman" w:hAnsi="Times New Roman" w:eastAsia="仿宋_GB2312" w:cs="Times New Roman"/>
          <w:b w:val="0"/>
          <w:bCs w:val="0"/>
          <w:color w:val="000000"/>
          <w:kern w:val="2"/>
          <w:lang w:val="en-US" w:eastAsia="zh-CN"/>
        </w:rPr>
        <w:t>942.16</w:t>
      </w:r>
      <w:r>
        <w:rPr>
          <w:rFonts w:hint="eastAsia" w:ascii="Times New Roman" w:hAnsi="Times New Roman" w:eastAsia="仿宋_GB2312" w:cs="Times New Roman"/>
          <w:b w:val="0"/>
          <w:bCs w:val="0"/>
          <w:color w:val="000000"/>
          <w:kern w:val="2"/>
        </w:rPr>
        <w:t>万元，占总支出的</w:t>
      </w:r>
      <w:r>
        <w:rPr>
          <w:rFonts w:hint="eastAsia" w:ascii="Times New Roman" w:hAnsi="Times New Roman" w:eastAsia="仿宋_GB2312" w:cs="Times New Roman"/>
          <w:b w:val="0"/>
          <w:bCs w:val="0"/>
          <w:color w:val="000000"/>
          <w:kern w:val="2"/>
          <w:lang w:val="en-US" w:eastAsia="zh-CN"/>
        </w:rPr>
        <w:t>63.09</w:t>
      </w:r>
      <w:r>
        <w:rPr>
          <w:rFonts w:hint="eastAsia" w:ascii="Times New Roman" w:hAnsi="Times New Roman" w:eastAsia="仿宋_GB2312" w:cs="Times New Roman"/>
          <w:b w:val="0"/>
          <w:bCs w:val="0"/>
          <w:color w:val="000000"/>
          <w:kern w:val="2"/>
        </w:rPr>
        <w:t>%；商品和服务支出</w:t>
      </w:r>
      <w:r>
        <w:rPr>
          <w:rFonts w:hint="eastAsia" w:ascii="Times New Roman" w:hAnsi="Times New Roman" w:eastAsia="仿宋_GB2312" w:cs="Times New Roman"/>
          <w:b w:val="0"/>
          <w:bCs w:val="0"/>
          <w:color w:val="000000"/>
          <w:kern w:val="2"/>
          <w:lang w:val="en-US" w:eastAsia="zh-CN"/>
        </w:rPr>
        <w:t>522.04</w:t>
      </w:r>
      <w:r>
        <w:rPr>
          <w:rFonts w:hint="eastAsia" w:ascii="Times New Roman" w:hAnsi="Times New Roman" w:eastAsia="仿宋_GB2312" w:cs="Times New Roman"/>
          <w:b w:val="0"/>
          <w:bCs w:val="0"/>
          <w:color w:val="000000"/>
          <w:kern w:val="2"/>
        </w:rPr>
        <w:t>万元，占总支出的</w:t>
      </w:r>
      <w:r>
        <w:rPr>
          <w:rFonts w:hint="eastAsia" w:ascii="Times New Roman" w:hAnsi="Times New Roman" w:eastAsia="仿宋_GB2312" w:cs="Times New Roman"/>
          <w:b w:val="0"/>
          <w:bCs w:val="0"/>
          <w:color w:val="000000"/>
          <w:kern w:val="2"/>
          <w:lang w:val="en-US" w:eastAsia="zh-CN"/>
        </w:rPr>
        <w:t>34.96</w:t>
      </w:r>
      <w:r>
        <w:rPr>
          <w:rFonts w:hint="eastAsia" w:ascii="Times New Roman" w:hAnsi="Times New Roman" w:eastAsia="仿宋_GB2312" w:cs="Times New Roman"/>
          <w:b w:val="0"/>
          <w:bCs w:val="0"/>
          <w:color w:val="000000"/>
          <w:kern w:val="2"/>
        </w:rPr>
        <w:t>%；对个人和家庭的补助</w:t>
      </w:r>
      <w:r>
        <w:rPr>
          <w:rFonts w:hint="eastAsia" w:ascii="Times New Roman" w:hAnsi="Times New Roman" w:eastAsia="仿宋_GB2312" w:cs="Times New Roman"/>
          <w:b w:val="0"/>
          <w:bCs w:val="0"/>
          <w:color w:val="000000"/>
          <w:kern w:val="2"/>
          <w:lang w:val="en-US" w:eastAsia="zh-CN"/>
        </w:rPr>
        <w:t>24.03</w:t>
      </w:r>
      <w:r>
        <w:rPr>
          <w:rFonts w:hint="eastAsia" w:ascii="Times New Roman" w:hAnsi="Times New Roman" w:eastAsia="仿宋_GB2312" w:cs="Times New Roman"/>
          <w:b w:val="0"/>
          <w:bCs w:val="0"/>
          <w:color w:val="000000"/>
          <w:kern w:val="2"/>
        </w:rPr>
        <w:t>万元，占总支出</w:t>
      </w:r>
      <w:r>
        <w:rPr>
          <w:rFonts w:hint="eastAsia" w:ascii="Times New Roman" w:hAnsi="Times New Roman" w:eastAsia="仿宋_GB2312" w:cs="Times New Roman"/>
          <w:b w:val="0"/>
          <w:bCs w:val="0"/>
          <w:color w:val="000000"/>
          <w:kern w:val="2"/>
          <w:lang w:val="en-US" w:eastAsia="zh-CN"/>
        </w:rPr>
        <w:t>1.6</w:t>
      </w:r>
      <w:r>
        <w:rPr>
          <w:rFonts w:hint="eastAsia" w:ascii="Times New Roman" w:hAnsi="Times New Roman" w:eastAsia="仿宋_GB2312" w:cs="Times New Roman"/>
          <w:b w:val="0"/>
          <w:bCs w:val="0"/>
          <w:color w:val="000000"/>
          <w:kern w:val="2"/>
        </w:rPr>
        <w:t>%</w:t>
      </w:r>
      <w:r>
        <w:rPr>
          <w:rFonts w:hint="eastAsia" w:ascii="Times New Roman" w:hAnsi="Times New Roman" w:eastAsia="仿宋_GB2312" w:cs="Times New Roman"/>
          <w:b w:val="0"/>
          <w:bCs w:val="0"/>
          <w:color w:val="000000"/>
          <w:kern w:val="2"/>
          <w:lang w:eastAsia="zh-CN"/>
        </w:rPr>
        <w:t>；</w:t>
      </w:r>
      <w:r>
        <w:rPr>
          <w:rFonts w:hint="eastAsia" w:ascii="Times New Roman" w:hAnsi="Times New Roman" w:eastAsia="仿宋_GB2312" w:cs="Times New Roman"/>
          <w:b w:val="0"/>
          <w:bCs w:val="0"/>
          <w:color w:val="000000"/>
          <w:kern w:val="2"/>
          <w:lang w:val="en-US" w:eastAsia="zh-CN"/>
        </w:rPr>
        <w:t>资本性支出5.18万元，占总支出的0.35%。</w:t>
      </w:r>
    </w:p>
    <w:p w14:paraId="3BD5CF73">
      <w:pPr>
        <w:pStyle w:val="6"/>
        <w:spacing w:line="560" w:lineRule="exact"/>
        <w:ind w:left="959" w:firstLine="640"/>
        <w:jc w:val="both"/>
        <w:rPr>
          <w:rFonts w:hint="eastAsia" w:ascii="Times New Roman" w:hAnsi="Times New Roman" w:eastAsia="仿宋_GB2312" w:cs="Times New Roman"/>
          <w:b w:val="0"/>
          <w:bCs w:val="0"/>
          <w:color w:val="000000"/>
          <w:kern w:val="2"/>
        </w:rPr>
      </w:pPr>
      <w:r>
        <w:rPr>
          <w:rFonts w:hint="eastAsia" w:ascii="Times New Roman" w:hAnsi="Times New Roman" w:eastAsia="仿宋_GB2312" w:cs="Times New Roman"/>
          <w:b w:val="0"/>
          <w:bCs w:val="0"/>
          <w:color w:val="000000"/>
          <w:kern w:val="2"/>
        </w:rPr>
        <w:t>全年，</w:t>
      </w:r>
      <w:r>
        <w:rPr>
          <w:rFonts w:hint="eastAsia" w:ascii="Times New Roman" w:hAnsi="Times New Roman" w:eastAsia="仿宋_GB2312" w:cs="Times New Roman"/>
          <w:color w:val="000000"/>
          <w:kern w:val="2"/>
        </w:rPr>
        <w:t>石鼓区华耀小学</w:t>
      </w:r>
      <w:r>
        <w:rPr>
          <w:rFonts w:hint="eastAsia" w:ascii="Times New Roman" w:hAnsi="Times New Roman" w:eastAsia="仿宋_GB2312" w:cs="Times New Roman"/>
          <w:b w:val="0"/>
          <w:bCs w:val="0"/>
          <w:color w:val="000000"/>
          <w:kern w:val="2"/>
        </w:rPr>
        <w:t>202</w:t>
      </w:r>
      <w:r>
        <w:rPr>
          <w:rFonts w:hint="eastAsia" w:ascii="Times New Roman" w:hAnsi="Times New Roman" w:eastAsia="仿宋_GB2312" w:cs="Times New Roman"/>
          <w:b w:val="0"/>
          <w:bCs w:val="0"/>
          <w:color w:val="000000"/>
          <w:kern w:val="2"/>
          <w:lang w:val="en-US" w:eastAsia="zh-CN"/>
        </w:rPr>
        <w:t>4</w:t>
      </w:r>
      <w:r>
        <w:rPr>
          <w:rFonts w:hint="eastAsia" w:ascii="Times New Roman" w:hAnsi="Times New Roman" w:eastAsia="仿宋_GB2312" w:cs="Times New Roman"/>
          <w:b w:val="0"/>
          <w:bCs w:val="0"/>
          <w:color w:val="000000"/>
          <w:kern w:val="2"/>
        </w:rPr>
        <w:t>年度共发生支出</w:t>
      </w:r>
      <w:r>
        <w:rPr>
          <w:rFonts w:hint="eastAsia" w:ascii="Times New Roman" w:hAnsi="Times New Roman" w:eastAsia="仿宋_GB2312" w:cs="Times New Roman"/>
          <w:b w:val="0"/>
          <w:bCs w:val="0"/>
          <w:color w:val="000000"/>
          <w:kern w:val="2"/>
          <w:lang w:val="en-US" w:eastAsia="zh-CN"/>
        </w:rPr>
        <w:t>1493.41</w:t>
      </w:r>
      <w:r>
        <w:rPr>
          <w:rFonts w:hint="eastAsia" w:ascii="Times New Roman" w:hAnsi="Times New Roman" w:eastAsia="仿宋_GB2312" w:cs="Times New Roman"/>
          <w:b w:val="0"/>
          <w:bCs w:val="0"/>
          <w:color w:val="000000"/>
          <w:kern w:val="2"/>
        </w:rPr>
        <w:t>万元，其中基本支出</w:t>
      </w:r>
      <w:r>
        <w:rPr>
          <w:rFonts w:hint="eastAsia" w:ascii="Times New Roman" w:hAnsi="Times New Roman" w:eastAsia="仿宋_GB2312" w:cs="Times New Roman"/>
          <w:b w:val="0"/>
          <w:bCs w:val="0"/>
          <w:color w:val="000000"/>
          <w:kern w:val="2"/>
          <w:lang w:val="en-US" w:eastAsia="zh-CN"/>
        </w:rPr>
        <w:t>970.84</w:t>
      </w:r>
      <w:r>
        <w:rPr>
          <w:rFonts w:hint="eastAsia" w:ascii="Times New Roman" w:hAnsi="Times New Roman" w:eastAsia="仿宋_GB2312" w:cs="Times New Roman"/>
          <w:b w:val="0"/>
          <w:bCs w:val="0"/>
          <w:color w:val="000000"/>
          <w:kern w:val="2"/>
        </w:rPr>
        <w:t>万元，占总支出</w:t>
      </w:r>
      <w:r>
        <w:rPr>
          <w:rFonts w:hint="eastAsia" w:ascii="Times New Roman" w:hAnsi="Times New Roman" w:eastAsia="仿宋_GB2312" w:cs="Times New Roman"/>
          <w:b w:val="0"/>
          <w:bCs w:val="0"/>
          <w:color w:val="000000"/>
          <w:kern w:val="2"/>
          <w:lang w:val="en-US" w:eastAsia="zh-CN"/>
        </w:rPr>
        <w:t>65.01</w:t>
      </w:r>
      <w:r>
        <w:rPr>
          <w:rFonts w:hint="eastAsia" w:ascii="Times New Roman" w:hAnsi="Times New Roman" w:eastAsia="仿宋_GB2312" w:cs="Times New Roman"/>
          <w:b w:val="0"/>
          <w:bCs w:val="0"/>
          <w:color w:val="000000"/>
          <w:kern w:val="2"/>
        </w:rPr>
        <w:t>%；项目支出</w:t>
      </w:r>
      <w:r>
        <w:rPr>
          <w:rFonts w:hint="eastAsia" w:ascii="Times New Roman" w:hAnsi="Times New Roman" w:eastAsia="仿宋_GB2312" w:cs="Times New Roman"/>
          <w:b w:val="0"/>
          <w:bCs w:val="0"/>
          <w:color w:val="000000"/>
          <w:kern w:val="2"/>
          <w:lang w:val="en-US" w:eastAsia="zh-CN"/>
        </w:rPr>
        <w:t>522.57</w:t>
      </w:r>
      <w:r>
        <w:rPr>
          <w:rFonts w:hint="eastAsia" w:ascii="Times New Roman" w:hAnsi="Times New Roman" w:eastAsia="仿宋_GB2312" w:cs="Times New Roman"/>
          <w:b w:val="0"/>
          <w:bCs w:val="0"/>
          <w:color w:val="000000"/>
          <w:kern w:val="2"/>
        </w:rPr>
        <w:t>万元，占总支出</w:t>
      </w:r>
      <w:r>
        <w:rPr>
          <w:rFonts w:hint="eastAsia" w:ascii="Times New Roman" w:hAnsi="Times New Roman" w:eastAsia="仿宋_GB2312" w:cs="Times New Roman"/>
          <w:b w:val="0"/>
          <w:bCs w:val="0"/>
          <w:color w:val="000000"/>
          <w:kern w:val="2"/>
          <w:lang w:val="en-US" w:eastAsia="zh-CN"/>
        </w:rPr>
        <w:t>35</w:t>
      </w:r>
      <w:r>
        <w:rPr>
          <w:rFonts w:hint="eastAsia" w:ascii="Times New Roman" w:hAnsi="Times New Roman" w:eastAsia="仿宋_GB2312" w:cs="Times New Roman"/>
          <w:b w:val="0"/>
          <w:bCs w:val="0"/>
          <w:color w:val="000000"/>
          <w:kern w:val="2"/>
        </w:rPr>
        <w:t>%，主要用于学校生均经费、社保支出等。</w:t>
      </w:r>
    </w:p>
    <w:p w14:paraId="77C33675">
      <w:pPr>
        <w:pStyle w:val="6"/>
        <w:spacing w:line="560" w:lineRule="exact"/>
        <w:ind w:left="959" w:firstLine="640"/>
        <w:jc w:val="both"/>
        <w:rPr>
          <w:rFonts w:hint="eastAsia" w:ascii="Times New Roman" w:hAnsi="Times New Roman" w:eastAsia="仿宋_GB2312" w:cs="Times New Roman"/>
          <w:b w:val="0"/>
          <w:bCs w:val="0"/>
          <w:color w:val="000000"/>
          <w:kern w:val="2"/>
        </w:rPr>
      </w:pPr>
      <w:r>
        <w:rPr>
          <w:rFonts w:hint="eastAsia" w:ascii="Times New Roman" w:hAnsi="Times New Roman" w:eastAsia="仿宋_GB2312" w:cs="Times New Roman"/>
          <w:b w:val="0"/>
          <w:bCs w:val="0"/>
          <w:color w:val="000000"/>
          <w:kern w:val="2"/>
        </w:rPr>
        <w:t>2、基本支出情况</w:t>
      </w:r>
    </w:p>
    <w:p w14:paraId="7BDFB181">
      <w:pPr>
        <w:pStyle w:val="6"/>
        <w:spacing w:line="560" w:lineRule="exact"/>
        <w:ind w:left="959" w:firstLine="640"/>
        <w:jc w:val="both"/>
        <w:rPr>
          <w:rFonts w:hint="eastAsia" w:ascii="Times New Roman" w:hAnsi="Times New Roman" w:eastAsia="仿宋_GB2312" w:cs="Times New Roman"/>
          <w:b w:val="0"/>
          <w:bCs w:val="0"/>
          <w:color w:val="000000"/>
          <w:kern w:val="2"/>
        </w:rPr>
      </w:pPr>
      <w:r>
        <w:rPr>
          <w:rFonts w:hint="eastAsia" w:ascii="Times New Roman" w:hAnsi="Times New Roman" w:eastAsia="仿宋_GB2312" w:cs="Times New Roman"/>
          <w:b w:val="0"/>
          <w:bCs w:val="0"/>
          <w:color w:val="000000"/>
          <w:kern w:val="2"/>
        </w:rPr>
        <w:t>202</w:t>
      </w:r>
      <w:r>
        <w:rPr>
          <w:rFonts w:hint="eastAsia" w:ascii="Times New Roman" w:hAnsi="Times New Roman" w:eastAsia="仿宋_GB2312" w:cs="Times New Roman"/>
          <w:b w:val="0"/>
          <w:bCs w:val="0"/>
          <w:color w:val="000000"/>
          <w:kern w:val="2"/>
          <w:lang w:val="en-US" w:eastAsia="zh-CN"/>
        </w:rPr>
        <w:t>4</w:t>
      </w:r>
      <w:r>
        <w:rPr>
          <w:rFonts w:hint="eastAsia" w:ascii="Times New Roman" w:hAnsi="Times New Roman" w:eastAsia="仿宋_GB2312" w:cs="Times New Roman"/>
          <w:b w:val="0"/>
          <w:bCs w:val="0"/>
          <w:color w:val="000000"/>
          <w:kern w:val="2"/>
        </w:rPr>
        <w:t>年，年初预算为</w:t>
      </w:r>
      <w:r>
        <w:rPr>
          <w:rFonts w:hint="eastAsia" w:ascii="Times New Roman" w:hAnsi="Times New Roman" w:eastAsia="仿宋_GB2312" w:cs="Times New Roman"/>
          <w:b w:val="0"/>
          <w:bCs w:val="0"/>
          <w:color w:val="000000"/>
          <w:kern w:val="2"/>
          <w:lang w:val="en-US" w:eastAsia="zh-CN"/>
        </w:rPr>
        <w:t>918.57</w:t>
      </w:r>
      <w:r>
        <w:rPr>
          <w:rFonts w:hint="eastAsia" w:ascii="Times New Roman" w:hAnsi="Times New Roman" w:eastAsia="仿宋_GB2312" w:cs="Times New Roman"/>
          <w:b w:val="0"/>
          <w:bCs w:val="0"/>
          <w:color w:val="000000"/>
          <w:kern w:val="2"/>
        </w:rPr>
        <w:t>万元，实际基本支出数为</w:t>
      </w:r>
      <w:r>
        <w:rPr>
          <w:rFonts w:hint="eastAsia" w:ascii="Times New Roman" w:hAnsi="Times New Roman" w:eastAsia="仿宋_GB2312" w:cs="Times New Roman"/>
          <w:b w:val="0"/>
          <w:bCs w:val="0"/>
          <w:color w:val="000000"/>
          <w:kern w:val="2"/>
          <w:lang w:val="en-US" w:eastAsia="zh-CN"/>
        </w:rPr>
        <w:t>970.84</w:t>
      </w:r>
      <w:r>
        <w:rPr>
          <w:rFonts w:hint="eastAsia" w:ascii="Times New Roman" w:hAnsi="Times New Roman" w:eastAsia="仿宋_GB2312" w:cs="Times New Roman"/>
          <w:b w:val="0"/>
          <w:bCs w:val="0"/>
          <w:color w:val="000000"/>
          <w:kern w:val="2"/>
        </w:rPr>
        <w:t>万元。</w:t>
      </w:r>
    </w:p>
    <w:p w14:paraId="4A5B2B93">
      <w:pPr>
        <w:pStyle w:val="6"/>
        <w:spacing w:line="560" w:lineRule="exact"/>
        <w:ind w:left="959" w:firstLine="640"/>
        <w:jc w:val="both"/>
        <w:rPr>
          <w:rFonts w:hint="eastAsia" w:ascii="Times New Roman" w:hAnsi="Times New Roman" w:eastAsia="仿宋_GB2312" w:cs="Times New Roman"/>
          <w:b w:val="0"/>
          <w:bCs w:val="0"/>
          <w:color w:val="000000"/>
          <w:kern w:val="2"/>
          <w:lang w:val="en-US" w:eastAsia="zh-CN"/>
        </w:rPr>
      </w:pPr>
      <w:r>
        <w:rPr>
          <w:rFonts w:hint="eastAsia" w:ascii="Times New Roman" w:hAnsi="Times New Roman" w:eastAsia="仿宋_GB2312" w:cs="Times New Roman"/>
          <w:b w:val="0"/>
          <w:bCs w:val="0"/>
          <w:color w:val="000000"/>
          <w:kern w:val="2"/>
        </w:rPr>
        <w:t>基本支出决算数为</w:t>
      </w:r>
      <w:r>
        <w:rPr>
          <w:rFonts w:hint="eastAsia" w:ascii="Times New Roman" w:hAnsi="Times New Roman" w:eastAsia="仿宋_GB2312" w:cs="Times New Roman"/>
          <w:b w:val="0"/>
          <w:bCs w:val="0"/>
          <w:color w:val="000000"/>
          <w:kern w:val="2"/>
          <w:lang w:val="en-US" w:eastAsia="zh-CN"/>
        </w:rPr>
        <w:t>970.84</w:t>
      </w:r>
      <w:r>
        <w:rPr>
          <w:rFonts w:hint="eastAsia" w:ascii="Times New Roman" w:hAnsi="Times New Roman" w:eastAsia="仿宋_GB2312" w:cs="Times New Roman"/>
          <w:b w:val="0"/>
          <w:bCs w:val="0"/>
          <w:color w:val="000000"/>
          <w:kern w:val="2"/>
        </w:rPr>
        <w:t>万元，其中工资福利支出</w:t>
      </w:r>
      <w:r>
        <w:rPr>
          <w:rFonts w:hint="eastAsia" w:ascii="Times New Roman" w:hAnsi="Times New Roman" w:eastAsia="仿宋_GB2312" w:cs="Times New Roman"/>
          <w:b w:val="0"/>
          <w:bCs w:val="0"/>
          <w:color w:val="000000"/>
          <w:kern w:val="2"/>
          <w:lang w:val="en-US" w:eastAsia="zh-CN"/>
        </w:rPr>
        <w:t>888.19</w:t>
      </w:r>
      <w:r>
        <w:rPr>
          <w:rFonts w:hint="eastAsia" w:ascii="Times New Roman" w:hAnsi="Times New Roman" w:eastAsia="仿宋_GB2312" w:cs="Times New Roman"/>
          <w:b w:val="0"/>
          <w:bCs w:val="0"/>
          <w:color w:val="000000"/>
          <w:kern w:val="2"/>
        </w:rPr>
        <w:t>万元、商品和服务支出</w:t>
      </w:r>
      <w:r>
        <w:rPr>
          <w:rFonts w:hint="eastAsia" w:ascii="Times New Roman" w:hAnsi="Times New Roman" w:eastAsia="仿宋_GB2312" w:cs="Times New Roman"/>
          <w:b w:val="0"/>
          <w:bCs w:val="0"/>
          <w:color w:val="000000"/>
          <w:kern w:val="2"/>
          <w:lang w:val="en-US" w:eastAsia="zh-CN"/>
        </w:rPr>
        <w:t>63.26</w:t>
      </w:r>
      <w:r>
        <w:rPr>
          <w:rFonts w:hint="eastAsia" w:ascii="Times New Roman" w:hAnsi="Times New Roman" w:eastAsia="仿宋_GB2312" w:cs="Times New Roman"/>
          <w:b w:val="0"/>
          <w:bCs w:val="0"/>
          <w:color w:val="000000"/>
          <w:kern w:val="2"/>
        </w:rPr>
        <w:t>万元、对个人和家庭的补助</w:t>
      </w:r>
      <w:r>
        <w:rPr>
          <w:rFonts w:hint="eastAsia" w:ascii="Times New Roman" w:hAnsi="Times New Roman" w:eastAsia="仿宋_GB2312" w:cs="Times New Roman"/>
          <w:b w:val="0"/>
          <w:bCs w:val="0"/>
          <w:color w:val="000000"/>
          <w:kern w:val="2"/>
          <w:lang w:val="en-US" w:eastAsia="zh-CN"/>
        </w:rPr>
        <w:t>19.39</w:t>
      </w:r>
      <w:r>
        <w:rPr>
          <w:rFonts w:hint="eastAsia" w:ascii="Times New Roman" w:hAnsi="Times New Roman" w:eastAsia="仿宋_GB2312" w:cs="Times New Roman"/>
          <w:b w:val="0"/>
          <w:bCs w:val="0"/>
          <w:color w:val="000000"/>
          <w:kern w:val="2"/>
        </w:rPr>
        <w:t>万元</w:t>
      </w:r>
      <w:r>
        <w:rPr>
          <w:rFonts w:hint="eastAsia" w:ascii="Times New Roman" w:hAnsi="Times New Roman" w:eastAsia="仿宋_GB2312" w:cs="Times New Roman"/>
          <w:b w:val="0"/>
          <w:bCs w:val="0"/>
          <w:color w:val="000000"/>
          <w:kern w:val="2"/>
          <w:lang w:eastAsia="zh-CN"/>
        </w:rPr>
        <w:t>。</w:t>
      </w:r>
    </w:p>
    <w:p w14:paraId="52FEA0B8">
      <w:pPr>
        <w:pStyle w:val="6"/>
        <w:spacing w:line="560" w:lineRule="exact"/>
        <w:ind w:left="959" w:firstLine="640"/>
        <w:jc w:val="both"/>
        <w:rPr>
          <w:rFonts w:hint="eastAsia" w:ascii="Times New Roman" w:hAnsi="Times New Roman" w:eastAsia="仿宋_GB2312" w:cs="Times New Roman"/>
          <w:b w:val="0"/>
          <w:bCs w:val="0"/>
          <w:color w:val="000000"/>
          <w:kern w:val="2"/>
        </w:rPr>
      </w:pPr>
      <w:r>
        <w:rPr>
          <w:rFonts w:hint="eastAsia" w:ascii="Times New Roman" w:hAnsi="Times New Roman" w:eastAsia="仿宋_GB2312" w:cs="Times New Roman"/>
          <w:b w:val="0"/>
          <w:bCs w:val="0"/>
          <w:color w:val="000000"/>
          <w:kern w:val="2"/>
        </w:rPr>
        <w:t>3、“三公”经费财政拨款支出决算总体情况 </w:t>
      </w:r>
    </w:p>
    <w:p w14:paraId="6C9AA62E">
      <w:pPr>
        <w:pStyle w:val="6"/>
        <w:spacing w:line="560" w:lineRule="exact"/>
        <w:ind w:left="959" w:firstLine="640"/>
        <w:jc w:val="both"/>
        <w:rPr>
          <w:rFonts w:hint="eastAsia" w:ascii="Times New Roman" w:hAnsi="Times New Roman" w:eastAsia="仿宋_GB2312" w:cs="Times New Roman"/>
          <w:b w:val="0"/>
          <w:bCs w:val="0"/>
          <w:color w:val="000000"/>
          <w:kern w:val="2"/>
        </w:rPr>
      </w:pPr>
      <w:r>
        <w:rPr>
          <w:rFonts w:hint="eastAsia" w:ascii="Times New Roman" w:hAnsi="Times New Roman" w:eastAsia="仿宋_GB2312" w:cs="Times New Roman"/>
          <w:b w:val="0"/>
          <w:bCs w:val="0"/>
          <w:color w:val="000000"/>
          <w:kern w:val="2"/>
        </w:rPr>
        <w:t xml:space="preserve">2023年度一般公共预算财政拨款的“三公”经费支出0万元，其中公务接待费0万元。本年度未发生公务用车运行和维护费支出；未发生因公出国（境）费支出。本年度公务接待共0次，接待人数0人。 </w:t>
      </w:r>
    </w:p>
    <w:p w14:paraId="129BB2CB">
      <w:pPr>
        <w:pStyle w:val="6"/>
        <w:spacing w:line="560" w:lineRule="exact"/>
        <w:ind w:left="959" w:firstLine="640"/>
        <w:jc w:val="both"/>
        <w:rPr>
          <w:rFonts w:ascii="Times New Roman" w:hAnsi="Times New Roman" w:eastAsia="仿宋_GB2312" w:cs="Times New Roman"/>
          <w:b/>
          <w:bCs/>
          <w:kern w:val="2"/>
        </w:rPr>
      </w:pPr>
      <w:r>
        <w:rPr>
          <w:rFonts w:hint="eastAsia" w:ascii="Times New Roman" w:hAnsi="Times New Roman" w:eastAsia="仿宋_GB2312" w:cs="Times New Roman"/>
          <w:b/>
          <w:bCs/>
          <w:kern w:val="2"/>
        </w:rPr>
        <w:t>（二）项目支出情况</w:t>
      </w:r>
    </w:p>
    <w:p w14:paraId="7D58ADC5">
      <w:pPr>
        <w:pStyle w:val="6"/>
        <w:spacing w:line="560" w:lineRule="exact"/>
        <w:ind w:left="959" w:firstLine="640"/>
        <w:jc w:val="both"/>
        <w:rPr>
          <w:rFonts w:hint="eastAsia" w:ascii="Times New Roman" w:hAnsi="Times New Roman" w:eastAsia="仿宋_GB2312" w:cs="Times New Roman"/>
          <w:b/>
          <w:bCs/>
          <w:color w:val="000000"/>
          <w:kern w:val="2"/>
        </w:rPr>
      </w:pPr>
      <w:r>
        <w:rPr>
          <w:rFonts w:hint="eastAsia" w:ascii="Times New Roman" w:hAnsi="Times New Roman" w:eastAsia="仿宋_GB2312" w:cs="Times New Roman"/>
          <w:kern w:val="2"/>
        </w:rPr>
        <w:t>202</w:t>
      </w:r>
      <w:r>
        <w:rPr>
          <w:rFonts w:hint="eastAsia" w:ascii="Times New Roman" w:hAnsi="Times New Roman" w:eastAsia="仿宋_GB2312" w:cs="Times New Roman"/>
          <w:kern w:val="2"/>
          <w:lang w:val="en-US" w:eastAsia="zh-CN"/>
        </w:rPr>
        <w:t>4</w:t>
      </w:r>
      <w:r>
        <w:rPr>
          <w:rFonts w:hint="eastAsia" w:ascii="Times New Roman" w:hAnsi="Times New Roman" w:eastAsia="仿宋_GB2312" w:cs="Times New Roman"/>
          <w:kern w:val="2"/>
        </w:rPr>
        <w:t>年，实际项目支出数为</w:t>
      </w:r>
      <w:r>
        <w:rPr>
          <w:rFonts w:hint="eastAsia" w:ascii="Times New Roman" w:hAnsi="Times New Roman" w:eastAsia="仿宋_GB2312" w:cs="Times New Roman"/>
          <w:kern w:val="2"/>
          <w:lang w:val="en-US" w:eastAsia="zh-CN"/>
        </w:rPr>
        <w:t>522.57</w:t>
      </w:r>
      <w:r>
        <w:rPr>
          <w:rFonts w:hint="eastAsia" w:ascii="Times New Roman" w:hAnsi="Times New Roman" w:eastAsia="仿宋_GB2312" w:cs="Times New Roman"/>
          <w:kern w:val="2"/>
        </w:rPr>
        <w:t>万元，占总支出</w:t>
      </w:r>
      <w:r>
        <w:rPr>
          <w:rFonts w:hint="eastAsia" w:ascii="Times New Roman" w:hAnsi="Times New Roman" w:eastAsia="仿宋_GB2312" w:cs="Times New Roman"/>
          <w:kern w:val="2"/>
          <w:lang w:val="en-US" w:eastAsia="zh-CN"/>
        </w:rPr>
        <w:t>34.99</w:t>
      </w:r>
      <w:r>
        <w:rPr>
          <w:rFonts w:hint="eastAsia" w:ascii="Times New Roman" w:hAnsi="Times New Roman" w:eastAsia="仿宋_GB2312" w:cs="Times New Roman"/>
          <w:kern w:val="2"/>
        </w:rPr>
        <w:t>%，</w:t>
      </w:r>
      <w:r>
        <w:rPr>
          <w:rFonts w:hint="eastAsia" w:ascii="Times New Roman" w:hAnsi="Times New Roman" w:eastAsia="仿宋_GB2312" w:cs="Times New Roman"/>
          <w:kern w:val="2"/>
          <w:lang w:eastAsia="zh-CN"/>
        </w:rPr>
        <w:t>主要</w:t>
      </w:r>
      <w:r>
        <w:rPr>
          <w:rFonts w:hint="eastAsia" w:ascii="Times New Roman" w:hAnsi="Times New Roman" w:eastAsia="仿宋_GB2312" w:cs="Times New Roman"/>
          <w:kern w:val="2"/>
        </w:rPr>
        <w:t>是为保障部门正常运转、完成日常工作任务而发生的各项支出，包括用于基本工资、津贴补贴等人员经费以及办公费、印刷费、水电费、办公设备购置等公用经费。</w:t>
      </w:r>
    </w:p>
    <w:p w14:paraId="3C5BA8E1">
      <w:pPr>
        <w:pStyle w:val="6"/>
        <w:numPr>
          <w:ilvl w:val="0"/>
          <w:numId w:val="2"/>
        </w:numPr>
        <w:spacing w:line="560" w:lineRule="exact"/>
        <w:ind w:left="959" w:firstLine="640"/>
        <w:jc w:val="both"/>
        <w:rPr>
          <w:rFonts w:hint="eastAsia" w:ascii="黑体" w:hAnsi="黑体" w:eastAsia="黑体" w:cs="黑体"/>
          <w:color w:val="000000"/>
          <w:kern w:val="2"/>
        </w:rPr>
      </w:pPr>
      <w:r>
        <w:rPr>
          <w:rFonts w:hint="eastAsia" w:ascii="黑体" w:hAnsi="黑体" w:eastAsia="黑体" w:cs="黑体"/>
          <w:color w:val="000000"/>
          <w:kern w:val="2"/>
        </w:rPr>
        <w:t>政府性基金预算支出情况</w:t>
      </w:r>
    </w:p>
    <w:p w14:paraId="236AA1F9">
      <w:pPr>
        <w:pStyle w:val="6"/>
        <w:spacing w:line="560" w:lineRule="exact"/>
        <w:ind w:left="959" w:firstLine="640" w:firstLineChars="200"/>
        <w:jc w:val="both"/>
        <w:rPr>
          <w:rFonts w:ascii="Times New Roman" w:hAnsi="Times New Roman" w:eastAsia="仿宋_GB2312" w:cs="Times New Roman"/>
          <w:color w:val="000000"/>
          <w:kern w:val="2"/>
        </w:rPr>
      </w:pPr>
      <w:r>
        <w:rPr>
          <w:rFonts w:hint="eastAsia" w:ascii="Times New Roman" w:hAnsi="Times New Roman" w:eastAsia="仿宋_GB2312" w:cs="Times New Roman"/>
          <w:color w:val="000000"/>
          <w:kern w:val="2"/>
        </w:rPr>
        <w:t>无</w:t>
      </w:r>
    </w:p>
    <w:p w14:paraId="4CD485F4">
      <w:pPr>
        <w:pStyle w:val="6"/>
        <w:numPr>
          <w:ilvl w:val="0"/>
          <w:numId w:val="2"/>
        </w:numPr>
        <w:spacing w:line="560" w:lineRule="exact"/>
        <w:ind w:left="959" w:firstLine="640"/>
        <w:jc w:val="both"/>
        <w:rPr>
          <w:rFonts w:hint="eastAsia" w:ascii="黑体" w:hAnsi="黑体" w:eastAsia="黑体" w:cs="黑体"/>
          <w:color w:val="000000"/>
          <w:kern w:val="2"/>
        </w:rPr>
      </w:pPr>
      <w:r>
        <w:rPr>
          <w:rFonts w:hint="eastAsia" w:ascii="黑体" w:hAnsi="黑体" w:eastAsia="黑体" w:cs="黑体"/>
          <w:color w:val="000000"/>
          <w:kern w:val="2"/>
        </w:rPr>
        <w:t>国有资本经营预算支出情况</w:t>
      </w:r>
    </w:p>
    <w:p w14:paraId="1023B9D6">
      <w:pPr>
        <w:pStyle w:val="6"/>
        <w:spacing w:line="560" w:lineRule="exact"/>
        <w:ind w:left="959" w:firstLine="640" w:firstLineChars="200"/>
        <w:jc w:val="both"/>
        <w:rPr>
          <w:rFonts w:hint="eastAsia" w:ascii="黑体" w:hAnsi="黑体" w:eastAsia="黑体" w:cs="黑体"/>
          <w:color w:val="000000"/>
          <w:kern w:val="2"/>
        </w:rPr>
      </w:pPr>
      <w:r>
        <w:rPr>
          <w:rFonts w:hint="eastAsia" w:ascii="Times New Roman" w:hAnsi="Times New Roman" w:eastAsia="仿宋_GB2312" w:cs="Times New Roman"/>
          <w:color w:val="000000"/>
          <w:kern w:val="2"/>
        </w:rPr>
        <w:t>无</w:t>
      </w:r>
    </w:p>
    <w:p w14:paraId="459CF233">
      <w:pPr>
        <w:pStyle w:val="6"/>
        <w:numPr>
          <w:ilvl w:val="0"/>
          <w:numId w:val="2"/>
        </w:numPr>
        <w:spacing w:line="560" w:lineRule="exact"/>
        <w:ind w:left="959" w:firstLine="640"/>
        <w:jc w:val="both"/>
        <w:rPr>
          <w:rFonts w:hint="eastAsia" w:ascii="黑体" w:hAnsi="黑体" w:eastAsia="黑体" w:cs="黑体"/>
          <w:color w:val="000000"/>
          <w:kern w:val="2"/>
        </w:rPr>
      </w:pPr>
      <w:r>
        <w:rPr>
          <w:rFonts w:hint="eastAsia" w:ascii="黑体" w:hAnsi="黑体" w:eastAsia="黑体" w:cs="黑体"/>
          <w:color w:val="000000"/>
          <w:kern w:val="2"/>
        </w:rPr>
        <w:t>社会保险基金预算支出情况</w:t>
      </w:r>
    </w:p>
    <w:p w14:paraId="310475DB">
      <w:pPr>
        <w:pStyle w:val="6"/>
        <w:spacing w:line="560" w:lineRule="exact"/>
        <w:ind w:left="959" w:firstLine="640" w:firstLineChars="200"/>
        <w:jc w:val="both"/>
        <w:rPr>
          <w:rFonts w:ascii="Times New Roman" w:hAnsi="Times New Roman" w:eastAsia="仿宋_GB2312" w:cs="Times New Roman"/>
          <w:color w:val="000000"/>
          <w:kern w:val="2"/>
        </w:rPr>
      </w:pPr>
      <w:r>
        <w:rPr>
          <w:rFonts w:hint="eastAsia" w:ascii="Times New Roman" w:hAnsi="Times New Roman" w:eastAsia="仿宋_GB2312" w:cs="Times New Roman"/>
          <w:color w:val="000000"/>
          <w:kern w:val="2"/>
        </w:rPr>
        <w:t>无</w:t>
      </w:r>
    </w:p>
    <w:p w14:paraId="132A188B">
      <w:pPr>
        <w:pStyle w:val="6"/>
        <w:numPr>
          <w:ilvl w:val="0"/>
          <w:numId w:val="2"/>
        </w:numPr>
        <w:spacing w:line="560" w:lineRule="exact"/>
        <w:ind w:left="959" w:firstLine="640"/>
        <w:jc w:val="both"/>
        <w:rPr>
          <w:rFonts w:hint="eastAsia" w:ascii="黑体" w:hAnsi="黑体" w:eastAsia="黑体" w:cs="黑体"/>
          <w:color w:val="000000"/>
          <w:kern w:val="2"/>
        </w:rPr>
      </w:pPr>
      <w:r>
        <w:rPr>
          <w:rFonts w:hint="eastAsia" w:ascii="黑体" w:hAnsi="黑体" w:eastAsia="黑体" w:cs="黑体"/>
          <w:color w:val="000000"/>
          <w:kern w:val="2"/>
        </w:rPr>
        <w:t>部门整体支出绩效情况</w:t>
      </w:r>
    </w:p>
    <w:p w14:paraId="50FC58FF">
      <w:pPr>
        <w:pStyle w:val="6"/>
        <w:spacing w:line="560" w:lineRule="exact"/>
        <w:ind w:left="959" w:firstLine="640"/>
        <w:jc w:val="both"/>
        <w:rPr>
          <w:rFonts w:ascii="Times New Roman" w:hAnsi="Times New Roman" w:eastAsia="仿宋_GB2312" w:cs="Times New Roman"/>
          <w:color w:val="000000"/>
          <w:kern w:val="2"/>
        </w:rPr>
      </w:pPr>
      <w:r>
        <w:rPr>
          <w:rFonts w:hint="eastAsia" w:ascii="Times New Roman" w:hAnsi="Times New Roman" w:eastAsia="仿宋_GB2312" w:cs="Times New Roman"/>
          <w:color w:val="000000"/>
          <w:kern w:val="2"/>
        </w:rPr>
        <w:t>我校履职及履职效益情况良好。</w:t>
      </w:r>
    </w:p>
    <w:p w14:paraId="7BEF19EE">
      <w:pPr>
        <w:pStyle w:val="6"/>
        <w:spacing w:line="560" w:lineRule="exact"/>
        <w:ind w:left="959" w:firstLine="640"/>
        <w:jc w:val="both"/>
        <w:rPr>
          <w:rFonts w:ascii="Times New Roman" w:hAnsi="Times New Roman" w:eastAsia="仿宋_GB2312" w:cs="Times New Roman"/>
          <w:color w:val="000000"/>
          <w:kern w:val="2"/>
        </w:rPr>
      </w:pPr>
      <w:r>
        <w:rPr>
          <w:rFonts w:ascii="Times New Roman" w:hAnsi="Times New Roman" w:eastAsia="仿宋_GB2312" w:cs="Times New Roman"/>
          <w:color w:val="000000"/>
          <w:kern w:val="2"/>
        </w:rPr>
        <w:t>1、</w:t>
      </w:r>
      <w:r>
        <w:rPr>
          <w:rFonts w:hint="eastAsia" w:ascii="Times New Roman" w:hAnsi="Times New Roman" w:eastAsia="仿宋_GB2312" w:cs="Times New Roman"/>
          <w:color w:val="000000"/>
          <w:kern w:val="2"/>
        </w:rPr>
        <w:t>各项开支上严格照着预算额度来把控，尽力节省经费</w:t>
      </w:r>
      <w:r>
        <w:rPr>
          <w:rFonts w:ascii="Times New Roman" w:hAnsi="Times New Roman" w:eastAsia="仿宋_GB2312" w:cs="Times New Roman"/>
          <w:color w:val="000000"/>
          <w:kern w:val="2"/>
        </w:rPr>
        <w:t>；</w:t>
      </w:r>
    </w:p>
    <w:p w14:paraId="1EC2C3DD">
      <w:pPr>
        <w:pStyle w:val="6"/>
        <w:spacing w:line="560" w:lineRule="exact"/>
        <w:ind w:left="959" w:firstLine="640"/>
        <w:jc w:val="both"/>
        <w:rPr>
          <w:rFonts w:ascii="Times New Roman" w:hAnsi="Times New Roman" w:eastAsia="仿宋_GB2312" w:cs="Times New Roman"/>
          <w:color w:val="000000"/>
          <w:kern w:val="2"/>
        </w:rPr>
      </w:pPr>
      <w:r>
        <w:rPr>
          <w:rFonts w:ascii="Times New Roman" w:hAnsi="Times New Roman" w:eastAsia="仿宋_GB2312" w:cs="Times New Roman"/>
          <w:color w:val="000000"/>
          <w:kern w:val="2"/>
        </w:rPr>
        <w:t>2、各项工作均能够按时完成，且质量</w:t>
      </w:r>
      <w:r>
        <w:rPr>
          <w:rFonts w:hint="eastAsia" w:ascii="Times New Roman" w:hAnsi="Times New Roman" w:eastAsia="仿宋_GB2312" w:cs="Times New Roman"/>
          <w:color w:val="000000"/>
          <w:kern w:val="2"/>
        </w:rPr>
        <w:t>良好</w:t>
      </w:r>
      <w:r>
        <w:rPr>
          <w:rFonts w:ascii="Times New Roman" w:hAnsi="Times New Roman" w:eastAsia="仿宋_GB2312" w:cs="Times New Roman"/>
          <w:color w:val="000000"/>
          <w:kern w:val="2"/>
        </w:rPr>
        <w:t>；</w:t>
      </w:r>
    </w:p>
    <w:p w14:paraId="30E0A743">
      <w:pPr>
        <w:pStyle w:val="6"/>
        <w:spacing w:line="560" w:lineRule="exact"/>
        <w:ind w:left="959" w:firstLine="640"/>
        <w:jc w:val="both"/>
        <w:rPr>
          <w:rFonts w:ascii="Times New Roman" w:hAnsi="Times New Roman" w:eastAsia="仿宋_GB2312" w:cs="Times New Roman"/>
          <w:color w:val="000000"/>
          <w:kern w:val="2"/>
        </w:rPr>
      </w:pPr>
      <w:r>
        <w:rPr>
          <w:rFonts w:ascii="Times New Roman" w:hAnsi="Times New Roman" w:eastAsia="仿宋_GB2312" w:cs="Times New Roman"/>
          <w:color w:val="000000"/>
          <w:kern w:val="2"/>
        </w:rPr>
        <w:t>3、部门整体支出使用效果达到了预期</w:t>
      </w:r>
      <w:r>
        <w:rPr>
          <w:rFonts w:hint="eastAsia" w:ascii="Times New Roman" w:hAnsi="Times New Roman" w:eastAsia="仿宋_GB2312" w:cs="Times New Roman"/>
          <w:color w:val="000000"/>
          <w:kern w:val="2"/>
        </w:rPr>
        <w:t>。</w:t>
      </w:r>
    </w:p>
    <w:p w14:paraId="357D9519">
      <w:pPr>
        <w:pStyle w:val="6"/>
        <w:numPr>
          <w:ilvl w:val="0"/>
          <w:numId w:val="2"/>
        </w:numPr>
        <w:spacing w:line="560" w:lineRule="exact"/>
        <w:ind w:left="959" w:firstLine="640"/>
        <w:jc w:val="both"/>
        <w:rPr>
          <w:rFonts w:hint="eastAsia" w:ascii="黑体" w:hAnsi="黑体" w:eastAsia="黑体" w:cs="黑体"/>
          <w:color w:val="000000"/>
          <w:kern w:val="2"/>
        </w:rPr>
      </w:pPr>
      <w:r>
        <w:rPr>
          <w:rFonts w:hint="eastAsia" w:ascii="黑体" w:hAnsi="黑体" w:eastAsia="黑体" w:cs="黑体"/>
          <w:color w:val="000000"/>
          <w:kern w:val="2"/>
        </w:rPr>
        <w:t>存在的问题及原因分析</w:t>
      </w:r>
    </w:p>
    <w:p w14:paraId="2DCDBF2B">
      <w:pPr>
        <w:pStyle w:val="6"/>
        <w:spacing w:line="560" w:lineRule="exact"/>
        <w:ind w:left="959" w:firstLine="640"/>
        <w:jc w:val="both"/>
        <w:rPr>
          <w:rFonts w:ascii="Times New Roman" w:hAnsi="Times New Roman" w:eastAsia="仿宋_GB2312" w:cs="Times New Roman"/>
          <w:color w:val="000000"/>
          <w:kern w:val="2"/>
        </w:rPr>
      </w:pPr>
      <w:r>
        <w:rPr>
          <w:rFonts w:hint="eastAsia" w:ascii="Times New Roman" w:hAnsi="Times New Roman" w:eastAsia="仿宋_GB2312" w:cs="Times New Roman"/>
          <w:color w:val="000000"/>
          <w:kern w:val="2"/>
        </w:rPr>
        <w:t>进一步编实项目年初预算，细化项目年初目标，规范项目管理，强化项目监督，提高专项资金使用效益，让每一分钱都花在刀刃上，让每一笔支出都产出成果。</w:t>
      </w:r>
    </w:p>
    <w:p w14:paraId="492B9B5A">
      <w:pPr>
        <w:pStyle w:val="6"/>
        <w:spacing w:line="560" w:lineRule="exact"/>
        <w:ind w:left="959" w:firstLine="640"/>
        <w:jc w:val="both"/>
        <w:rPr>
          <w:rFonts w:hint="eastAsia" w:ascii="黑体" w:hAnsi="黑体" w:eastAsia="黑体" w:cs="黑体"/>
          <w:color w:val="000000"/>
          <w:kern w:val="2"/>
        </w:rPr>
      </w:pPr>
      <w:r>
        <w:rPr>
          <w:rFonts w:hint="eastAsia" w:ascii="黑体" w:hAnsi="黑体" w:eastAsia="黑体" w:cs="黑体"/>
          <w:color w:val="000000"/>
          <w:kern w:val="2"/>
        </w:rPr>
        <w:t>八、下一步改进措施</w:t>
      </w:r>
    </w:p>
    <w:p w14:paraId="28F3B785">
      <w:pPr>
        <w:pStyle w:val="6"/>
        <w:spacing w:line="560" w:lineRule="exact"/>
        <w:ind w:left="959" w:firstLine="640"/>
        <w:jc w:val="both"/>
        <w:rPr>
          <w:rFonts w:ascii="Times New Roman" w:hAnsi="Times New Roman" w:eastAsia="仿宋_GB2312" w:cs="Times New Roman"/>
          <w:color w:val="000000"/>
          <w:kern w:val="2"/>
        </w:rPr>
      </w:pPr>
      <w:r>
        <w:rPr>
          <w:rFonts w:ascii="Times New Roman" w:hAnsi="Times New Roman" w:eastAsia="仿宋_GB2312" w:cs="Times New Roman"/>
          <w:color w:val="000000"/>
          <w:kern w:val="2"/>
        </w:rPr>
        <w:t>1、准确编制预算</w:t>
      </w:r>
    </w:p>
    <w:p w14:paraId="28D42B68">
      <w:pPr>
        <w:pStyle w:val="6"/>
        <w:spacing w:line="560" w:lineRule="exact"/>
        <w:ind w:left="959" w:firstLine="640"/>
        <w:jc w:val="both"/>
        <w:rPr>
          <w:rFonts w:ascii="Times New Roman" w:hAnsi="Times New Roman" w:eastAsia="仿宋_GB2312" w:cs="Times New Roman"/>
          <w:color w:val="000000"/>
          <w:kern w:val="2"/>
        </w:rPr>
      </w:pPr>
      <w:r>
        <w:rPr>
          <w:rFonts w:hint="eastAsia" w:ascii="Times New Roman" w:hAnsi="Times New Roman" w:eastAsia="仿宋_GB2312" w:cs="Times New Roman"/>
          <w:color w:val="000000"/>
          <w:kern w:val="2"/>
        </w:rPr>
        <w:t>细化预算编制工作，认真做好预算的编制。进一步加强学校内部门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14:paraId="6E91F032">
      <w:pPr>
        <w:pStyle w:val="6"/>
        <w:spacing w:line="560" w:lineRule="exact"/>
        <w:ind w:left="959" w:firstLine="640"/>
        <w:jc w:val="both"/>
        <w:rPr>
          <w:rFonts w:ascii="Times New Roman" w:hAnsi="Times New Roman" w:eastAsia="仿宋_GB2312" w:cs="Times New Roman"/>
          <w:color w:val="000000"/>
          <w:kern w:val="2"/>
        </w:rPr>
      </w:pPr>
      <w:r>
        <w:rPr>
          <w:rFonts w:ascii="Times New Roman" w:hAnsi="Times New Roman" w:eastAsia="仿宋_GB2312" w:cs="Times New Roman"/>
          <w:color w:val="000000"/>
          <w:kern w:val="2"/>
        </w:rPr>
        <w:t>2、加强财务管理，认真学习政策</w:t>
      </w:r>
    </w:p>
    <w:p w14:paraId="6FB8AFF0">
      <w:pPr>
        <w:pStyle w:val="6"/>
        <w:spacing w:line="560" w:lineRule="exact"/>
        <w:ind w:left="959" w:firstLine="640"/>
        <w:jc w:val="both"/>
        <w:rPr>
          <w:rFonts w:ascii="Times New Roman" w:hAnsi="Times New Roman" w:eastAsia="仿宋_GB2312" w:cs="Times New Roman"/>
          <w:color w:val="000000"/>
          <w:kern w:val="2"/>
        </w:rPr>
      </w:pPr>
      <w:r>
        <w:rPr>
          <w:rFonts w:hint="eastAsia" w:ascii="Times New Roman" w:hAnsi="Times New Roman" w:eastAsia="仿宋_GB2312" w:cs="Times New Roman"/>
          <w:color w:val="000000"/>
          <w:kern w:val="2"/>
        </w:rPr>
        <w:t>（</w:t>
      </w:r>
      <w:r>
        <w:rPr>
          <w:rFonts w:ascii="Times New Roman" w:hAnsi="Times New Roman" w:eastAsia="仿宋_GB2312" w:cs="Times New Roman"/>
          <w:color w:val="000000"/>
          <w:kern w:val="2"/>
        </w:rPr>
        <w:t>1）要加强单位财务管理，健全学校财务管理制度体系，规范学校财务行为。在费用报账支付时，按照预算规定的费用项目和用途进行资金使用审核、列报支付、财务核算，杜绝超支现象的发生。</w:t>
      </w:r>
    </w:p>
    <w:p w14:paraId="1B427B1B">
      <w:pPr>
        <w:pStyle w:val="6"/>
        <w:spacing w:line="560" w:lineRule="exact"/>
        <w:ind w:left="959" w:firstLine="640"/>
        <w:jc w:val="both"/>
        <w:rPr>
          <w:rFonts w:ascii="Times New Roman" w:hAnsi="Times New Roman" w:eastAsia="仿宋_GB2312" w:cs="Times New Roman"/>
          <w:color w:val="000000"/>
          <w:kern w:val="2"/>
        </w:rPr>
      </w:pPr>
      <w:r>
        <w:rPr>
          <w:rFonts w:hint="eastAsia" w:ascii="Times New Roman" w:hAnsi="Times New Roman" w:eastAsia="仿宋_GB2312" w:cs="Times New Roman"/>
          <w:color w:val="000000"/>
          <w:kern w:val="2"/>
        </w:rPr>
        <w:t>（</w:t>
      </w:r>
      <w:r>
        <w:rPr>
          <w:rFonts w:ascii="Times New Roman" w:hAnsi="Times New Roman" w:eastAsia="仿宋_GB2312" w:cs="Times New Roman"/>
          <w:color w:val="000000"/>
          <w:kern w:val="2"/>
        </w:rPr>
        <w:t>2）建议加强政策学习，提高思想认识。组织相关人员认真学习</w:t>
      </w:r>
      <w:r>
        <w:rPr>
          <w:rFonts w:hint="eastAsia" w:ascii="Times New Roman" w:hAnsi="Times New Roman" w:eastAsia="仿宋_GB2312" w:cs="Times New Roman"/>
          <w:color w:val="000000"/>
          <w:kern w:val="2"/>
          <w:lang w:eastAsia="zh-CN"/>
        </w:rPr>
        <w:t>《中华人民共和国预算法》</w:t>
      </w:r>
      <w:r>
        <w:rPr>
          <w:rFonts w:ascii="Times New Roman" w:hAnsi="Times New Roman" w:eastAsia="仿宋_GB2312" w:cs="Times New Roman"/>
          <w:color w:val="000000"/>
          <w:kern w:val="2"/>
        </w:rPr>
        <w:t>等相关法规、制度。</w:t>
      </w:r>
    </w:p>
    <w:p w14:paraId="60798A75">
      <w:pPr>
        <w:pStyle w:val="6"/>
        <w:spacing w:line="560" w:lineRule="exact"/>
        <w:ind w:left="959" w:firstLine="640"/>
        <w:jc w:val="both"/>
        <w:rPr>
          <w:rFonts w:ascii="Times New Roman" w:hAnsi="Times New Roman" w:eastAsia="仿宋_GB2312" w:cs="Times New Roman"/>
          <w:color w:val="000000"/>
          <w:kern w:val="2"/>
        </w:rPr>
      </w:pPr>
      <w:r>
        <w:rPr>
          <w:rFonts w:ascii="Times New Roman" w:hAnsi="Times New Roman" w:eastAsia="仿宋_GB2312" w:cs="Times New Roman"/>
          <w:color w:val="000000"/>
          <w:kern w:val="2"/>
        </w:rPr>
        <w:t>3、加强预算执行力度，以减少沉淀资金</w:t>
      </w:r>
    </w:p>
    <w:p w14:paraId="31C18791">
      <w:pPr>
        <w:pStyle w:val="6"/>
        <w:spacing w:line="560" w:lineRule="exact"/>
        <w:ind w:left="959" w:firstLine="640"/>
        <w:jc w:val="both"/>
        <w:rPr>
          <w:rFonts w:ascii="Times New Roman" w:hAnsi="Times New Roman" w:eastAsia="仿宋_GB2312" w:cs="Times New Roman"/>
          <w:color w:val="000000"/>
          <w:kern w:val="2"/>
        </w:rPr>
      </w:pPr>
      <w:r>
        <w:rPr>
          <w:rFonts w:hint="eastAsia" w:ascii="Times New Roman" w:hAnsi="Times New Roman" w:eastAsia="仿宋_GB2312" w:cs="Times New Roman"/>
          <w:color w:val="000000"/>
          <w:kern w:val="2"/>
        </w:rPr>
        <w:t>（</w:t>
      </w:r>
      <w:r>
        <w:rPr>
          <w:rFonts w:ascii="Times New Roman" w:hAnsi="Times New Roman" w:eastAsia="仿宋_GB2312" w:cs="Times New Roman"/>
          <w:color w:val="000000"/>
          <w:kern w:val="2"/>
        </w:rPr>
        <w:t>1）加快资金拨付。按照专项资金类型限定拨付期限，对尚未明确具体项目的专项资金，要求主管部门在收到文件后15个工作日内确定项目计划。</w:t>
      </w:r>
    </w:p>
    <w:p w14:paraId="687A9014">
      <w:pPr>
        <w:pStyle w:val="6"/>
        <w:spacing w:line="560" w:lineRule="exact"/>
        <w:ind w:left="959" w:firstLine="640"/>
        <w:jc w:val="both"/>
        <w:rPr>
          <w:rFonts w:hint="eastAsia" w:ascii="黑体" w:hAnsi="黑体" w:eastAsia="黑体" w:cs="黑体"/>
          <w:color w:val="000000"/>
          <w:kern w:val="2"/>
        </w:rPr>
      </w:pPr>
      <w:r>
        <w:rPr>
          <w:rFonts w:hint="eastAsia" w:ascii="Times New Roman" w:hAnsi="Times New Roman" w:eastAsia="仿宋_GB2312" w:cs="Times New Roman"/>
          <w:color w:val="000000"/>
          <w:kern w:val="2"/>
        </w:rPr>
        <w:t>（</w:t>
      </w:r>
      <w:r>
        <w:rPr>
          <w:rFonts w:ascii="Times New Roman" w:hAnsi="Times New Roman" w:eastAsia="仿宋_GB2312" w:cs="Times New Roman"/>
          <w:color w:val="000000"/>
          <w:kern w:val="2"/>
        </w:rPr>
        <w:t>2）加快督促项目工程的实施和验收，完善财务报账手续，防止项目资金滞留。</w:t>
      </w:r>
    </w:p>
    <w:p w14:paraId="40F63744">
      <w:pPr>
        <w:pStyle w:val="6"/>
        <w:spacing w:line="560" w:lineRule="exact"/>
        <w:ind w:left="959" w:firstLine="640"/>
        <w:jc w:val="both"/>
        <w:rPr>
          <w:rFonts w:hint="eastAsia" w:ascii="黑体" w:hAnsi="黑体" w:eastAsia="黑体" w:cs="黑体"/>
          <w:color w:val="000000"/>
          <w:kern w:val="2"/>
        </w:rPr>
      </w:pPr>
      <w:r>
        <w:rPr>
          <w:rFonts w:hint="eastAsia" w:ascii="黑体" w:hAnsi="黑体" w:eastAsia="黑体" w:cs="黑体"/>
          <w:color w:val="000000"/>
          <w:kern w:val="2"/>
        </w:rPr>
        <w:t>九、其他需要说明的情况</w:t>
      </w:r>
    </w:p>
    <w:p w14:paraId="40B30A0A">
      <w:pPr>
        <w:pStyle w:val="6"/>
        <w:spacing w:line="560" w:lineRule="exact"/>
        <w:ind w:left="959" w:firstLine="640"/>
        <w:jc w:val="both"/>
        <w:rPr>
          <w:rFonts w:ascii="Times New Roman" w:hAnsi="Times New Roman" w:eastAsia="仿宋_GB2312" w:cs="Times New Roman"/>
          <w:color w:val="000000"/>
          <w:kern w:val="2"/>
        </w:rPr>
        <w:sectPr>
          <w:footerReference r:id="rId3" w:type="default"/>
          <w:footerReference r:id="rId4" w:type="even"/>
          <w:pgSz w:w="11900" w:h="16840"/>
          <w:pgMar w:top="1420" w:right="840" w:bottom="1260" w:left="840" w:header="0" w:footer="1074" w:gutter="0"/>
          <w:pgNumType w:start="10"/>
          <w:cols w:space="720" w:num="1"/>
        </w:sectPr>
      </w:pPr>
      <w:r>
        <w:rPr>
          <w:rFonts w:hint="eastAsia" w:ascii="Times New Roman" w:hAnsi="Times New Roman" w:eastAsia="仿宋_GB2312" w:cs="Times New Roman"/>
          <w:color w:val="000000"/>
          <w:kern w:val="2"/>
        </w:rPr>
        <w:t>无</w:t>
      </w:r>
    </w:p>
    <w:p w14:paraId="2F94EF69">
      <w:pPr>
        <w:pStyle w:val="6"/>
        <w:spacing w:line="560" w:lineRule="exact"/>
        <w:jc w:val="both"/>
        <w:rPr>
          <w:rFonts w:hint="eastAsia" w:ascii="黑体" w:hAnsi="黑体" w:eastAsia="黑体" w:cs="黑体"/>
          <w:color w:val="000000"/>
          <w:kern w:val="2"/>
        </w:rPr>
      </w:pPr>
    </w:p>
    <w:sectPr>
      <w:pgSz w:w="11900" w:h="16840"/>
      <w:pgMar w:top="1380" w:right="840" w:bottom="1260" w:left="840" w:header="0" w:footer="1074" w:gutter="0"/>
      <w:cols w:equalWidth="0" w:num="2">
        <w:col w:w="1880" w:space="153"/>
        <w:col w:w="818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D29E9">
    <w:pPr>
      <w:pStyle w:val="6"/>
      <w:spacing w:line="14" w:lineRule="auto"/>
      <w:rPr>
        <w:rFonts w:hint="eastAsia"/>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6347C">
                          <w:pPr>
                            <w:pStyle w:val="7"/>
                            <w:rPr>
                              <w:rFonts w:hint="eastAsia"/>
                            </w:rPr>
                          </w:pPr>
                          <w:r>
                            <w:rPr>
                              <w:rFonts w:ascii="Times New Roman" w:hAnsi="Times New Roman" w:cs="Times New Roman"/>
                              <w:sz w:val="28"/>
                              <w:szCs w:val="28"/>
                            </w:rPr>
                            <w:t>—</w:t>
                          </w:r>
                          <w: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t xml:space="preserve"> </w:t>
                          </w:r>
                          <w:r>
                            <w:rPr>
                              <w:rFonts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4C6347C">
                    <w:pPr>
                      <w:pStyle w:val="7"/>
                      <w:rPr>
                        <w:rFonts w:hint="eastAsia"/>
                      </w:rPr>
                    </w:pPr>
                    <w:r>
                      <w:rPr>
                        <w:rFonts w:ascii="Times New Roman" w:hAnsi="Times New Roman" w:cs="Times New Roman"/>
                        <w:sz w:val="28"/>
                        <w:szCs w:val="28"/>
                      </w:rPr>
                      <w:t>—</w:t>
                    </w:r>
                    <w: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t xml:space="preserve"> </w:t>
                    </w:r>
                    <w:r>
                      <w:rPr>
                        <w:rFonts w:ascii="Times New Roman" w:hAnsi="Times New Roman" w:cs="Times New Roman"/>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B1F9C">
    <w:pPr>
      <w:pStyle w:val="6"/>
      <w:spacing w:line="14" w:lineRule="auto"/>
      <w:rPr>
        <w:rFonts w:hint="eastAsia"/>
        <w:sz w:val="20"/>
      </w:rPr>
    </w:pPr>
    <w:r>
      <mc:AlternateContent>
        <mc:Choice Requires="wps">
          <w:drawing>
            <wp:anchor distT="0" distB="0" distL="114300" distR="114300" simplePos="0" relativeHeight="251660288" behindDoc="1" locked="0" layoutInCell="1" allowOverlap="1">
              <wp:simplePos x="0" y="0"/>
              <wp:positionH relativeFrom="page">
                <wp:posOffset>1129665</wp:posOffset>
              </wp:positionH>
              <wp:positionV relativeFrom="page">
                <wp:posOffset>9866630</wp:posOffset>
              </wp:positionV>
              <wp:extent cx="411480" cy="223520"/>
              <wp:effectExtent l="0" t="0" r="0" b="0"/>
              <wp:wrapNone/>
              <wp:docPr id="83638460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11480" cy="223520"/>
                      </a:xfrm>
                      <a:prstGeom prst="rect">
                        <a:avLst/>
                      </a:prstGeom>
                      <a:noFill/>
                      <a:ln>
                        <a:noFill/>
                      </a:ln>
                    </wps:spPr>
                    <wps:txbx>
                      <w:txbxContent>
                        <w:p w14:paraId="0AFFD90B">
                          <w:pPr>
                            <w:spacing w:before="9"/>
                            <w:ind w:left="20"/>
                            <w:rPr>
                              <w:rFonts w:hint="eastAsia" w:ascii="Times New Roman"/>
                              <w:sz w:val="28"/>
                            </w:rPr>
                          </w:pPr>
                          <w:r>
                            <w:rPr>
                              <w:rFonts w:ascii="Times New Roman"/>
                              <w:sz w:val="28"/>
                            </w:rPr>
                            <w:t>-</w:t>
                          </w:r>
                          <w:r>
                            <w:rPr>
                              <w:rFonts w:ascii="Times New Roman"/>
                              <w:sz w:val="28"/>
                            </w:rPr>
                            <w:fldChar w:fldCharType="begin"/>
                          </w:r>
                          <w:r>
                            <w:rPr>
                              <w:rFonts w:ascii="Times New Roman"/>
                              <w:sz w:val="28"/>
                            </w:rPr>
                            <w:instrText xml:space="preserve"> PAGE </w:instrText>
                          </w:r>
                          <w:r>
                            <w:rPr>
                              <w:rFonts w:ascii="Times New Roman"/>
                              <w:sz w:val="28"/>
                            </w:rPr>
                            <w:fldChar w:fldCharType="separate"/>
                          </w:r>
                          <w:r>
                            <w:rPr>
                              <w:rFonts w:ascii="Times New Roman"/>
                              <w:sz w:val="28"/>
                            </w:rPr>
                            <w:t>10</w:t>
                          </w:r>
                          <w:r>
                            <w:rPr>
                              <w:rFonts w:ascii="Times New Roman"/>
                              <w:sz w:val="28"/>
                            </w:rPr>
                            <w:fldChar w:fldCharType="end"/>
                          </w:r>
                          <w:r>
                            <w:rPr>
                              <w:rFonts w:ascii="Times New Roman"/>
                              <w:spacing w:val="-10"/>
                              <w:sz w:val="28"/>
                            </w:rPr>
                            <w:t>-</w:t>
                          </w:r>
                        </w:p>
                      </w:txbxContent>
                    </wps:txbx>
                    <wps:bodyPr rot="0" vert="horz" wrap="square" lIns="0" tIns="0" rIns="0" bIns="0" anchor="t" anchorCtr="0" upright="1">
                      <a:noAutofit/>
                    </wps:bodyPr>
                  </wps:wsp>
                </a:graphicData>
              </a:graphic>
            </wp:anchor>
          </w:drawing>
        </mc:Choice>
        <mc:Fallback>
          <w:pict>
            <v:shape id="文本框 3" o:spid="_x0000_s1026" o:spt="202" type="#_x0000_t202" style="position:absolute;left:0pt;margin-left:88.95pt;margin-top:776.9pt;height:17.6pt;width:32.4pt;mso-position-horizontal-relative:page;mso-position-vertical-relative:page;z-index:-251656192;mso-width-relative:page;mso-height-relative:page;" filled="f" stroked="f" coordsize="21600,21600" o:gfxdata="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xmTUU2gAAAA0BAAAPAAAA&#10;AAAAAAEAIAAAACIAAABkcnMvZG93bnJldi54bWxQSwECFAAUAAAACACHTuJAw3T0AxMCAAAMBAAA&#10;DgAAAAAAAAABACAAAAApAQAAZHJzL2Uyb0RvYy54bWxQSwUGAAAAAAYABgBZAQAArgUAAAAA&#10;">
              <v:fill on="f" focussize="0,0"/>
              <v:stroke on="f"/>
              <v:imagedata o:title=""/>
              <o:lock v:ext="edit" aspectratio="f"/>
              <v:textbox inset="0mm,0mm,0mm,0mm">
                <w:txbxContent>
                  <w:p w14:paraId="0AFFD90B">
                    <w:pPr>
                      <w:spacing w:before="9"/>
                      <w:ind w:left="20"/>
                      <w:rPr>
                        <w:rFonts w:hint="eastAsia" w:ascii="Times New Roman"/>
                        <w:sz w:val="28"/>
                      </w:rPr>
                    </w:pPr>
                    <w:r>
                      <w:rPr>
                        <w:rFonts w:ascii="Times New Roman"/>
                        <w:sz w:val="28"/>
                      </w:rPr>
                      <w:t>-</w:t>
                    </w:r>
                    <w:r>
                      <w:rPr>
                        <w:rFonts w:ascii="Times New Roman"/>
                        <w:sz w:val="28"/>
                      </w:rPr>
                      <w:fldChar w:fldCharType="begin"/>
                    </w:r>
                    <w:r>
                      <w:rPr>
                        <w:rFonts w:ascii="Times New Roman"/>
                        <w:sz w:val="28"/>
                      </w:rPr>
                      <w:instrText xml:space="preserve"> PAGE </w:instrText>
                    </w:r>
                    <w:r>
                      <w:rPr>
                        <w:rFonts w:ascii="Times New Roman"/>
                        <w:sz w:val="28"/>
                      </w:rPr>
                      <w:fldChar w:fldCharType="separate"/>
                    </w:r>
                    <w:r>
                      <w:rPr>
                        <w:rFonts w:ascii="Times New Roman"/>
                        <w:sz w:val="28"/>
                      </w:rPr>
                      <w:t>10</w:t>
                    </w:r>
                    <w:r>
                      <w:rPr>
                        <w:rFonts w:ascii="Times New Roman"/>
                        <w:sz w:val="28"/>
                      </w:rPr>
                      <w:fldChar w:fldCharType="end"/>
                    </w:r>
                    <w:r>
                      <w:rPr>
                        <w:rFonts w:ascii="Times New Roman"/>
                        <w:spacing w:val="-10"/>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7A68AE"/>
    <w:multiLevelType w:val="multilevel"/>
    <w:tmpl w:val="467A68AE"/>
    <w:lvl w:ilvl="0" w:tentative="0">
      <w:start w:val="1"/>
      <w:numFmt w:val="japaneseCounting"/>
      <w:lvlText w:val="%1、"/>
      <w:lvlJc w:val="left"/>
      <w:pPr>
        <w:ind w:left="2319" w:hanging="720"/>
      </w:pPr>
      <w:rPr>
        <w:rFonts w:hint="default"/>
      </w:rPr>
    </w:lvl>
    <w:lvl w:ilvl="1" w:tentative="0">
      <w:start w:val="1"/>
      <w:numFmt w:val="lowerLetter"/>
      <w:lvlText w:val="%2)"/>
      <w:lvlJc w:val="left"/>
      <w:pPr>
        <w:ind w:left="2479" w:hanging="440"/>
      </w:pPr>
    </w:lvl>
    <w:lvl w:ilvl="2" w:tentative="0">
      <w:start w:val="1"/>
      <w:numFmt w:val="lowerRoman"/>
      <w:lvlText w:val="%3."/>
      <w:lvlJc w:val="right"/>
      <w:pPr>
        <w:ind w:left="2919" w:hanging="440"/>
      </w:pPr>
    </w:lvl>
    <w:lvl w:ilvl="3" w:tentative="0">
      <w:start w:val="1"/>
      <w:numFmt w:val="decimal"/>
      <w:lvlText w:val="%4."/>
      <w:lvlJc w:val="left"/>
      <w:pPr>
        <w:ind w:left="3359" w:hanging="440"/>
      </w:pPr>
    </w:lvl>
    <w:lvl w:ilvl="4" w:tentative="0">
      <w:start w:val="1"/>
      <w:numFmt w:val="lowerLetter"/>
      <w:lvlText w:val="%5)"/>
      <w:lvlJc w:val="left"/>
      <w:pPr>
        <w:ind w:left="3799" w:hanging="440"/>
      </w:pPr>
    </w:lvl>
    <w:lvl w:ilvl="5" w:tentative="0">
      <w:start w:val="1"/>
      <w:numFmt w:val="lowerRoman"/>
      <w:lvlText w:val="%6."/>
      <w:lvlJc w:val="right"/>
      <w:pPr>
        <w:ind w:left="4239" w:hanging="440"/>
      </w:pPr>
    </w:lvl>
    <w:lvl w:ilvl="6" w:tentative="0">
      <w:start w:val="1"/>
      <w:numFmt w:val="decimal"/>
      <w:lvlText w:val="%7."/>
      <w:lvlJc w:val="left"/>
      <w:pPr>
        <w:ind w:left="4679" w:hanging="440"/>
      </w:pPr>
    </w:lvl>
    <w:lvl w:ilvl="7" w:tentative="0">
      <w:start w:val="1"/>
      <w:numFmt w:val="lowerLetter"/>
      <w:lvlText w:val="%8)"/>
      <w:lvlJc w:val="left"/>
      <w:pPr>
        <w:ind w:left="5119" w:hanging="440"/>
      </w:pPr>
    </w:lvl>
    <w:lvl w:ilvl="8" w:tentative="0">
      <w:start w:val="1"/>
      <w:numFmt w:val="lowerRoman"/>
      <w:lvlText w:val="%9."/>
      <w:lvlJc w:val="right"/>
      <w:pPr>
        <w:ind w:left="5559" w:hanging="440"/>
      </w:pPr>
    </w:lvl>
  </w:abstractNum>
  <w:abstractNum w:abstractNumId="1">
    <w:nsid w:val="4F6DAD7A"/>
    <w:multiLevelType w:val="singleLevel"/>
    <w:tmpl w:val="4F6DAD7A"/>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B8F"/>
    <w:rsid w:val="00135C83"/>
    <w:rsid w:val="002561F1"/>
    <w:rsid w:val="00387331"/>
    <w:rsid w:val="0040340D"/>
    <w:rsid w:val="00422FC2"/>
    <w:rsid w:val="0055473E"/>
    <w:rsid w:val="00562748"/>
    <w:rsid w:val="005A29C5"/>
    <w:rsid w:val="00632CB9"/>
    <w:rsid w:val="00692B8F"/>
    <w:rsid w:val="006F4931"/>
    <w:rsid w:val="007C7DFB"/>
    <w:rsid w:val="00884982"/>
    <w:rsid w:val="00AB0BB9"/>
    <w:rsid w:val="00B45334"/>
    <w:rsid w:val="00B561F6"/>
    <w:rsid w:val="00BA07FC"/>
    <w:rsid w:val="00BD270E"/>
    <w:rsid w:val="00D07206"/>
    <w:rsid w:val="00E14823"/>
    <w:rsid w:val="00EF0DFE"/>
    <w:rsid w:val="00F141EB"/>
    <w:rsid w:val="00FB78B2"/>
    <w:rsid w:val="01306CA7"/>
    <w:rsid w:val="06112117"/>
    <w:rsid w:val="0D593679"/>
    <w:rsid w:val="0FCF3BC7"/>
    <w:rsid w:val="186C0EE2"/>
    <w:rsid w:val="19DD7CC7"/>
    <w:rsid w:val="1BAC4A3A"/>
    <w:rsid w:val="1C5A7C23"/>
    <w:rsid w:val="25F14435"/>
    <w:rsid w:val="279F66FD"/>
    <w:rsid w:val="2F833148"/>
    <w:rsid w:val="30C95960"/>
    <w:rsid w:val="3829474B"/>
    <w:rsid w:val="3B344ACC"/>
    <w:rsid w:val="3EEB264D"/>
    <w:rsid w:val="42845A0E"/>
    <w:rsid w:val="46F30993"/>
    <w:rsid w:val="48C21A0D"/>
    <w:rsid w:val="49FF210A"/>
    <w:rsid w:val="4AE23A24"/>
    <w:rsid w:val="5F61295A"/>
    <w:rsid w:val="646B658C"/>
    <w:rsid w:val="68851B43"/>
    <w:rsid w:val="6F702A58"/>
    <w:rsid w:val="72CC176D"/>
    <w:rsid w:val="77441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paragraph" w:styleId="3">
    <w:name w:val="heading 1"/>
    <w:basedOn w:val="1"/>
    <w:next w:val="1"/>
    <w:qFormat/>
    <w:uiPriority w:val="1"/>
    <w:pPr>
      <w:spacing w:before="53"/>
      <w:ind w:left="30" w:right="27"/>
      <w:jc w:val="center"/>
      <w:outlineLvl w:val="0"/>
    </w:pPr>
    <w:rPr>
      <w:rFonts w:ascii="PMingLiU" w:hAnsi="PMingLiU" w:eastAsia="PMingLiU" w:cs="PMingLiU"/>
      <w:sz w:val="48"/>
      <w:szCs w:val="48"/>
    </w:rPr>
  </w:style>
  <w:style w:type="paragraph" w:styleId="4">
    <w:name w:val="heading 2"/>
    <w:basedOn w:val="1"/>
    <w:next w:val="1"/>
    <w:qFormat/>
    <w:uiPriority w:val="1"/>
    <w:pPr>
      <w:spacing w:before="45"/>
      <w:ind w:left="30" w:right="28"/>
      <w:jc w:val="center"/>
      <w:outlineLvl w:val="1"/>
    </w:pPr>
    <w:rPr>
      <w:rFonts w:ascii="PMingLiU" w:hAnsi="PMingLiU" w:eastAsia="PMingLiU" w:cs="PMingLiU"/>
      <w:sz w:val="44"/>
      <w:szCs w:val="44"/>
    </w:rPr>
  </w:style>
  <w:style w:type="paragraph" w:styleId="5">
    <w:name w:val="heading 3"/>
    <w:basedOn w:val="1"/>
    <w:next w:val="1"/>
    <w:qFormat/>
    <w:uiPriority w:val="1"/>
    <w:pPr>
      <w:ind w:left="30"/>
      <w:jc w:val="center"/>
      <w:outlineLvl w:val="2"/>
    </w:pPr>
    <w:rPr>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6">
    <w:name w:val="Body Text"/>
    <w:basedOn w:val="1"/>
    <w:qFormat/>
    <w:uiPriority w:val="1"/>
    <w:rPr>
      <w:sz w:val="32"/>
      <w:szCs w:val="32"/>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spacing w:before="190"/>
      <w:ind w:left="1840" w:hanging="241"/>
    </w:pPr>
  </w:style>
  <w:style w:type="paragraph" w:customStyle="1" w:styleId="13">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1483</Words>
  <Characters>1608</Characters>
  <Lines>8</Lines>
  <Paragraphs>2</Paragraphs>
  <TotalTime>4</TotalTime>
  <ScaleCrop>false</ScaleCrop>
  <LinksUpToDate>false</LinksUpToDate>
  <CharactersWithSpaces>1611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2025-06-11T01:51:00Z</dcterms:created>
  <dc:creator>Administrator</dc:creator>
  <cp:lastModifiedBy>邓婷</cp:lastModifiedBy>
  <cp:lastPrinted>2024-05-22T00:53:00Z</cp:lastPrinted>
  <dcterms:modified xsi:type="dcterms:W3CDTF">2025-12-24T01:26:53Z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https://xpdf.cn</vt:lpwstr>
  </property>
  <property fmtid="{D5CDD505-2E9C-101B-9397-08002B2CF9AE}" pid="3" name="Producer">
    <vt:lpwstr>Xpdf - https://xpdf.cn</vt:lpwstr>
  </property>
  <property fmtid="{D5CDD505-2E9C-101B-9397-08002B2CF9AE}" pid="4" name="KSOProductBuildVer">
    <vt:lpwstr>2052-12.1.0.24034</vt:lpwstr>
  </property>
  <property fmtid="{D5CDD505-2E9C-101B-9397-08002B2CF9AE}" pid="5" name="ICV">
    <vt:lpwstr>7A395336D78F4F98976FE2813E39701A_13</vt:lpwstr>
  </property>
  <property fmtid="{D5CDD505-2E9C-101B-9397-08002B2CF9AE}" pid="6" name="KSOTemplateDocerSaveRecord">
    <vt:lpwstr>eyJoZGlkIjoiZTY2MWM4MWY1Nzc3YTU2NWFiNzU3MWZmM2EwMGNkMjgiLCJ1c2VySWQiOiIxMDY5MjgzMDcxIn0=</vt:lpwstr>
  </property>
</Properties>
</file>