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49"/>
        <w:ind w:left="959"/>
        <w:rPr>
          <w:rFonts w:ascii="Times New Roman" w:eastAsia="Times New Roman"/>
          <w:b/>
          <w:bCs/>
        </w:rPr>
      </w:pPr>
      <w:r>
        <w:rPr>
          <w:b/>
          <w:bCs/>
          <w:w w:val="95"/>
        </w:rPr>
        <w:t>附件</w:t>
      </w:r>
      <w:r>
        <w:rPr>
          <w:rFonts w:ascii="Times New Roman" w:eastAsia="Times New Roman"/>
          <w:b/>
          <w:bCs/>
          <w:spacing w:val="-10"/>
          <w:w w:val="95"/>
        </w:rPr>
        <w:t>2</w:t>
      </w:r>
    </w:p>
    <w:p>
      <w:pPr>
        <w:pStyle w:val="6"/>
        <w:rPr>
          <w:rFonts w:hint="eastAsia" w:ascii="Times New Roman"/>
          <w:sz w:val="20"/>
        </w:rPr>
      </w:pPr>
    </w:p>
    <w:p>
      <w:pPr>
        <w:pStyle w:val="6"/>
        <w:rPr>
          <w:rFonts w:hint="eastAsia" w:ascii="Times New Roman"/>
          <w:sz w:val="20"/>
        </w:rPr>
      </w:pPr>
    </w:p>
    <w:p>
      <w:pPr>
        <w:pStyle w:val="6"/>
        <w:rPr>
          <w:rFonts w:hint="eastAsia" w:ascii="Times New Roman"/>
          <w:sz w:val="20"/>
        </w:rPr>
      </w:pPr>
    </w:p>
    <w:p>
      <w:pPr>
        <w:pStyle w:val="6"/>
        <w:rPr>
          <w:rFonts w:hint="eastAsia" w:ascii="Times New Roman"/>
          <w:sz w:val="20"/>
        </w:rPr>
      </w:pPr>
    </w:p>
    <w:p>
      <w:pPr>
        <w:pStyle w:val="6"/>
        <w:rPr>
          <w:rFonts w:hint="eastAsia" w:ascii="Times New Roman"/>
          <w:sz w:val="20"/>
        </w:rPr>
      </w:pPr>
    </w:p>
    <w:p>
      <w:pPr>
        <w:pStyle w:val="6"/>
        <w:rPr>
          <w:rFonts w:hint="eastAsia" w:ascii="Times New Roman"/>
          <w:sz w:val="20"/>
        </w:rPr>
      </w:pPr>
    </w:p>
    <w:p>
      <w:pPr>
        <w:pStyle w:val="6"/>
        <w:rPr>
          <w:rFonts w:hint="eastAsia" w:ascii="Times New Roman"/>
          <w:sz w:val="20"/>
        </w:rPr>
      </w:pPr>
    </w:p>
    <w:p>
      <w:pPr>
        <w:pStyle w:val="6"/>
        <w:rPr>
          <w:rFonts w:hint="eastAsia" w:ascii="Times New Roman"/>
          <w:sz w:val="20"/>
        </w:rPr>
      </w:pPr>
    </w:p>
    <w:p>
      <w:pPr>
        <w:pStyle w:val="6"/>
        <w:rPr>
          <w:rFonts w:hint="eastAsia" w:ascii="Times New Roman"/>
          <w:sz w:val="20"/>
        </w:rPr>
      </w:pPr>
    </w:p>
    <w:p>
      <w:pPr>
        <w:pStyle w:val="6"/>
        <w:rPr>
          <w:rFonts w:hint="eastAsia" w:ascii="Times New Roman"/>
          <w:sz w:val="20"/>
        </w:rPr>
      </w:pPr>
    </w:p>
    <w:p>
      <w:pPr>
        <w:pStyle w:val="6"/>
        <w:spacing w:before="4"/>
        <w:rPr>
          <w:rFonts w:hint="eastAsia" w:ascii="Times New Roman"/>
          <w:sz w:val="21"/>
        </w:rPr>
      </w:pPr>
    </w:p>
    <w:p>
      <w:pPr>
        <w:pStyle w:val="3"/>
        <w:rPr>
          <w:rFonts w:ascii="Times New Roman" w:hAnsi="Times New Roman" w:eastAsia="仿宋_GB2312" w:cs="Times New Roman"/>
          <w:b/>
          <w:bCs/>
          <w:color w:val="000000"/>
          <w:kern w:val="2"/>
        </w:rPr>
      </w:pPr>
      <w:r>
        <w:rPr>
          <w:rFonts w:hint="eastAsia" w:ascii="Times New Roman" w:hAnsi="Times New Roman" w:eastAsia="仿宋_GB2312" w:cs="Times New Roman"/>
          <w:b/>
          <w:bCs/>
          <w:color w:val="000000"/>
          <w:kern w:val="2"/>
        </w:rPr>
        <w:t>部门整体支出绩效自评报告</w:t>
      </w:r>
    </w:p>
    <w:p>
      <w:pPr>
        <w:pStyle w:val="5"/>
        <w:spacing w:before="66"/>
        <w:ind w:right="27"/>
        <w:rPr>
          <w:rFonts w:hint="eastAsia" w:ascii="PMingLiU" w:eastAsia="PMingLiU"/>
        </w:rPr>
      </w:pPr>
      <w:r>
        <w:rPr>
          <w:rFonts w:hint="eastAsia" w:ascii="PMingLiU" w:eastAsia="PMingLiU"/>
        </w:rPr>
        <w:t>（</w:t>
      </w:r>
      <w:r>
        <w:rPr>
          <w:rFonts w:hint="eastAsia" w:ascii="Times New Roman"/>
        </w:rPr>
        <w:t>2024</w:t>
      </w:r>
      <w:r>
        <w:rPr>
          <w:rFonts w:hint="eastAsia" w:ascii="PMingLiU" w:eastAsia="PMingLiU"/>
        </w:rPr>
        <w:t>年度</w:t>
      </w:r>
      <w:r>
        <w:rPr>
          <w:rFonts w:hint="eastAsia" w:ascii="PMingLiU" w:eastAsia="PMingLiU"/>
          <w:spacing w:val="-10"/>
        </w:rPr>
        <w:t>）</w:t>
      </w:r>
    </w:p>
    <w:p>
      <w:pPr>
        <w:pStyle w:val="6"/>
        <w:rPr>
          <w:rFonts w:hint="eastAsia" w:ascii="PMingLiU"/>
          <w:sz w:val="42"/>
        </w:rPr>
      </w:pPr>
    </w:p>
    <w:p>
      <w:pPr>
        <w:pStyle w:val="6"/>
        <w:rPr>
          <w:rFonts w:hint="eastAsia" w:ascii="PMingLiU"/>
          <w:sz w:val="42"/>
        </w:rPr>
      </w:pPr>
    </w:p>
    <w:p>
      <w:pPr>
        <w:pStyle w:val="6"/>
        <w:rPr>
          <w:rFonts w:hint="eastAsia" w:ascii="PMingLiU"/>
          <w:sz w:val="42"/>
        </w:rPr>
      </w:pPr>
    </w:p>
    <w:p>
      <w:pPr>
        <w:pStyle w:val="6"/>
        <w:rPr>
          <w:rFonts w:hint="eastAsia" w:ascii="PMingLiU"/>
          <w:sz w:val="42"/>
        </w:rPr>
      </w:pPr>
    </w:p>
    <w:p>
      <w:pPr>
        <w:pStyle w:val="6"/>
        <w:spacing w:before="6"/>
        <w:rPr>
          <w:rFonts w:hint="eastAsia" w:ascii="PMingLiU"/>
          <w:sz w:val="54"/>
        </w:rPr>
      </w:pPr>
    </w:p>
    <w:p>
      <w:pPr>
        <w:pStyle w:val="6"/>
        <w:spacing w:before="6"/>
        <w:rPr>
          <w:rFonts w:hint="eastAsia" w:ascii="PMingLiU"/>
          <w:sz w:val="54"/>
        </w:rPr>
      </w:pPr>
    </w:p>
    <w:p>
      <w:pPr>
        <w:pStyle w:val="6"/>
        <w:spacing w:before="6"/>
        <w:rPr>
          <w:rFonts w:hint="eastAsia" w:ascii="PMingLiU"/>
          <w:sz w:val="54"/>
        </w:rPr>
      </w:pPr>
    </w:p>
    <w:p>
      <w:pPr>
        <w:spacing w:line="580" w:lineRule="exact"/>
        <w:ind w:left="3577" w:right="3577"/>
        <w:jc w:val="center"/>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单位名称：（盖章）</w:t>
      </w:r>
    </w:p>
    <w:p>
      <w:pPr>
        <w:spacing w:line="580" w:lineRule="exact"/>
        <w:ind w:left="3577" w:right="3577"/>
        <w:jc w:val="center"/>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主要负责人签字：</w:t>
      </w:r>
    </w:p>
    <w:p>
      <w:pPr>
        <w:pStyle w:val="6"/>
        <w:spacing w:before="6"/>
        <w:rPr>
          <w:rFonts w:hint="eastAsia"/>
        </w:rPr>
      </w:pPr>
    </w:p>
    <w:p>
      <w:pPr>
        <w:pStyle w:val="6"/>
        <w:tabs>
          <w:tab w:val="left" w:pos="802"/>
        </w:tabs>
        <w:ind w:left="1"/>
        <w:jc w:val="center"/>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年</w:t>
      </w:r>
      <w:r>
        <w:rPr>
          <w:rFonts w:hint="eastAsia" w:ascii="Times New Roman" w:hAnsi="Times New Roman" w:eastAsia="仿宋_GB2312" w:cs="Times New Roman"/>
          <w:color w:val="000000"/>
          <w:kern w:val="2"/>
        </w:rPr>
        <w:tab/>
      </w:r>
      <w:r>
        <w:rPr>
          <w:rFonts w:hint="eastAsia" w:ascii="Times New Roman" w:hAnsi="Times New Roman" w:eastAsia="仿宋_GB2312" w:cs="Times New Roman"/>
          <w:color w:val="000000"/>
          <w:kern w:val="2"/>
        </w:rPr>
        <w:t>月    日</w:t>
      </w:r>
    </w:p>
    <w:p>
      <w:pPr>
        <w:jc w:val="center"/>
        <w:rPr>
          <w:rFonts w:ascii="Times New Roman" w:hAnsi="Times New Roman" w:eastAsia="仿宋_GB2312" w:cs="Times New Roman"/>
          <w:color w:val="000000"/>
          <w:kern w:val="2"/>
          <w:sz w:val="32"/>
          <w:szCs w:val="32"/>
        </w:rPr>
        <w:sectPr>
          <w:footerReference r:id="rId3" w:type="default"/>
          <w:pgSz w:w="11900" w:h="16840"/>
          <w:pgMar w:top="1380" w:right="840" w:bottom="1260" w:left="840" w:header="0" w:footer="1074" w:gutter="0"/>
          <w:cols w:space="720" w:num="1"/>
        </w:sectPr>
      </w:pPr>
    </w:p>
    <w:p>
      <w:pPr>
        <w:pStyle w:val="4"/>
        <w:rPr>
          <w:rFonts w:hint="eastAsia" w:ascii="Times New Roman" w:hAnsi="Times New Roman" w:eastAsia="仿宋_GB2312" w:cs="Times New Roman"/>
          <w:b/>
          <w:bCs/>
          <w:color w:val="000000"/>
          <w:kern w:val="2"/>
          <w:lang w:val="en-US" w:eastAsia="zh-CN"/>
        </w:rPr>
      </w:pPr>
      <w:r>
        <w:rPr>
          <w:rFonts w:hint="eastAsia" w:ascii="Times New Roman" w:hAnsi="Times New Roman" w:eastAsia="仿宋_GB2312" w:cs="Times New Roman"/>
          <w:b/>
          <w:bCs/>
          <w:color w:val="000000"/>
          <w:kern w:val="2"/>
        </w:rPr>
        <w:t>2024</w:t>
      </w:r>
      <w:r>
        <w:rPr>
          <w:rFonts w:ascii="Times New Roman" w:hAnsi="Times New Roman" w:eastAsia="仿宋_GB2312" w:cs="Times New Roman"/>
          <w:b/>
          <w:bCs/>
          <w:color w:val="000000"/>
          <w:kern w:val="2"/>
        </w:rPr>
        <w:t>年度</w:t>
      </w:r>
      <w:r>
        <w:rPr>
          <w:rFonts w:hint="eastAsia" w:ascii="Times New Roman" w:hAnsi="Times New Roman" w:eastAsia="仿宋_GB2312" w:cs="Times New Roman"/>
          <w:b/>
          <w:bCs/>
          <w:color w:val="000000"/>
          <w:kern w:val="2"/>
          <w:lang w:val="en-US" w:eastAsia="zh-CN"/>
        </w:rPr>
        <w:t>石鼓区江霞小学</w:t>
      </w:r>
    </w:p>
    <w:p>
      <w:pPr>
        <w:pStyle w:val="4"/>
        <w:rPr>
          <w:rFonts w:ascii="Times New Roman" w:hAnsi="Times New Roman" w:eastAsia="仿宋_GB2312" w:cs="Times New Roman"/>
          <w:b/>
          <w:bCs/>
          <w:color w:val="000000"/>
          <w:kern w:val="2"/>
        </w:rPr>
      </w:pPr>
      <w:r>
        <w:rPr>
          <w:rFonts w:hint="eastAsia" w:ascii="Times New Roman" w:hAnsi="Times New Roman" w:eastAsia="仿宋_GB2312" w:cs="Times New Roman"/>
          <w:b/>
          <w:bCs/>
          <w:color w:val="000000"/>
          <w:kern w:val="2"/>
        </w:rPr>
        <w:t>部门整体支出绩效自评报告</w:t>
      </w:r>
    </w:p>
    <w:p>
      <w:pPr>
        <w:pStyle w:val="6"/>
        <w:spacing w:before="7"/>
        <w:rPr>
          <w:rFonts w:hint="eastAsia"/>
          <w:sz w:val="43"/>
        </w:rPr>
      </w:pPr>
    </w:p>
    <w:p>
      <w:pPr>
        <w:pStyle w:val="6"/>
        <w:numPr>
          <w:ilvl w:val="0"/>
          <w:numId w:val="1"/>
        </w:numPr>
        <w:spacing w:line="560" w:lineRule="exact"/>
        <w:jc w:val="both"/>
        <w:rPr>
          <w:rFonts w:hint="eastAsia" w:ascii="黑体" w:hAnsi="黑体" w:eastAsia="黑体" w:cs="黑体"/>
          <w:b/>
          <w:bCs/>
          <w:color w:val="000000"/>
          <w:kern w:val="2"/>
        </w:rPr>
      </w:pPr>
      <w:r>
        <w:rPr>
          <w:rFonts w:hint="eastAsia" w:ascii="黑体" w:hAnsi="黑体" w:eastAsia="黑体" w:cs="黑体"/>
          <w:b/>
          <w:bCs/>
          <w:color w:val="000000"/>
          <w:kern w:val="2"/>
        </w:rPr>
        <w:t>单位基本情况</w:t>
      </w:r>
    </w:p>
    <w:p>
      <w:pPr>
        <w:pStyle w:val="6"/>
        <w:spacing w:line="560" w:lineRule="exact"/>
        <w:ind w:left="959" w:firstLine="640"/>
        <w:jc w:val="both"/>
        <w:rPr>
          <w:rFonts w:hint="eastAsia" w:ascii="仿宋gb2312" w:hAnsi="仿宋gb2312" w:eastAsia="仿宋gb2312" w:cs="仿宋gb2312"/>
          <w:color w:val="000000"/>
          <w:kern w:val="2"/>
        </w:rPr>
      </w:pPr>
      <w:r>
        <w:rPr>
          <w:rFonts w:hint="eastAsia" w:ascii="仿宋gb2312" w:hAnsi="仿宋gb2312" w:eastAsia="仿宋gb2312" w:cs="仿宋gb2312"/>
          <w:color w:val="000000"/>
          <w:kern w:val="2"/>
        </w:rPr>
        <w:t>石鼓区江霞小学作为独立的一级预算事业单位，在财政管理与业务运行上具备自主性，无下设分支机构。学校内部管理架构清晰，由校长办公室统筹决策与行政事务，教导处负责教学管理与教研活动，总务处承担后勤保障与资产管理职能，大队部则专注于学生德育与少先队工作，四大内设机构协同运转，保障学校各项工作有序开展。</w:t>
      </w:r>
    </w:p>
    <w:p>
      <w:pPr>
        <w:pStyle w:val="6"/>
        <w:spacing w:line="560" w:lineRule="exact"/>
        <w:ind w:left="959" w:firstLine="640"/>
        <w:jc w:val="both"/>
        <w:rPr>
          <w:rFonts w:hint="eastAsia" w:ascii="仿宋" w:hAnsi="仿宋" w:eastAsia="仿宋" w:cs="仿宋"/>
          <w:b/>
          <w:bCs/>
          <w:color w:val="000000"/>
          <w:kern w:val="2"/>
        </w:rPr>
      </w:pPr>
      <w:r>
        <w:rPr>
          <w:rFonts w:hint="eastAsia" w:ascii="仿宋" w:hAnsi="仿宋" w:eastAsia="仿宋" w:cs="仿宋"/>
          <w:b/>
          <w:bCs/>
          <w:color w:val="000000"/>
          <w:kern w:val="2"/>
        </w:rPr>
        <w:t>（一）职能职责</w:t>
      </w:r>
    </w:p>
    <w:p>
      <w:pPr>
        <w:pStyle w:val="6"/>
        <w:spacing w:line="560" w:lineRule="exact"/>
        <w:ind w:left="959" w:firstLine="640"/>
        <w:jc w:val="both"/>
        <w:rPr>
          <w:rFonts w:hint="eastAsia" w:ascii="仿宋gb2132" w:hAnsi="仿宋gb2132" w:eastAsia="仿宋gb2132" w:cs="仿宋gb2132"/>
          <w:color w:val="000000"/>
          <w:kern w:val="2"/>
        </w:rPr>
      </w:pPr>
      <w:r>
        <w:rPr>
          <w:rFonts w:hint="eastAsia" w:ascii="仿宋gb2132" w:hAnsi="仿宋gb2132" w:eastAsia="仿宋gb2132" w:cs="仿宋gb2132"/>
          <w:color w:val="000000"/>
          <w:kern w:val="2"/>
          <w:lang w:val="en-US" w:eastAsia="zh-CN"/>
        </w:rPr>
        <w:t>石鼓区江霞小学</w:t>
      </w:r>
      <w:r>
        <w:rPr>
          <w:rFonts w:hint="eastAsia" w:ascii="仿宋gb2132" w:hAnsi="仿宋gb2132" w:eastAsia="仿宋gb2132" w:cs="仿宋gb2132"/>
          <w:color w:val="000000"/>
          <w:kern w:val="2"/>
        </w:rPr>
        <w:t>的主要职责是：</w:t>
      </w:r>
    </w:p>
    <w:p>
      <w:pPr>
        <w:pStyle w:val="6"/>
        <w:numPr>
          <w:ilvl w:val="0"/>
          <w:numId w:val="0"/>
        </w:numPr>
        <w:spacing w:line="560" w:lineRule="exact"/>
        <w:ind w:left="959" w:leftChars="0" w:firstLine="640" w:firstLineChars="0"/>
        <w:jc w:val="both"/>
        <w:rPr>
          <w:rFonts w:hint="eastAsia" w:ascii="仿宋gb2132" w:hAnsi="仿宋gb2132" w:eastAsia="仿宋gb2132" w:cs="仿宋gb2132"/>
          <w:color w:val="000000"/>
          <w:kern w:val="2"/>
        </w:rPr>
      </w:pPr>
      <w:r>
        <w:rPr>
          <w:rFonts w:hint="eastAsia" w:ascii="仿宋gb2132" w:hAnsi="仿宋gb2132" w:eastAsia="仿宋gb2132" w:cs="仿宋gb2132"/>
          <w:color w:val="000000"/>
          <w:kern w:val="2"/>
          <w:sz w:val="32"/>
          <w:szCs w:val="32"/>
          <w:lang w:val="en-US" w:eastAsia="zh-CN" w:bidi="ar-SA"/>
        </w:rPr>
        <w:t>1.</w:t>
      </w:r>
      <w:r>
        <w:rPr>
          <w:rFonts w:hint="eastAsia" w:ascii="仿宋gb2132" w:hAnsi="仿宋gb2132" w:eastAsia="仿宋gb2132" w:cs="仿宋gb2132"/>
          <w:color w:val="000000"/>
          <w:kern w:val="2"/>
        </w:rPr>
        <w:t>以高度的政治自觉与责任担当，全面、精准落实党和国家的教育方针、政策及法律法规，确保办学方向与国家教育战略保持高度一致，为教育教学工作筑牢政策根基。</w:t>
      </w:r>
    </w:p>
    <w:p>
      <w:pPr>
        <w:pStyle w:val="6"/>
        <w:numPr>
          <w:ilvl w:val="0"/>
          <w:numId w:val="0"/>
        </w:numPr>
        <w:spacing w:line="560" w:lineRule="exact"/>
        <w:ind w:left="959" w:leftChars="0" w:firstLine="640" w:firstLineChars="0"/>
        <w:jc w:val="both"/>
        <w:rPr>
          <w:rFonts w:hint="eastAsia" w:ascii="仿宋gb2132" w:hAnsi="仿宋gb2132" w:eastAsia="仿宋gb2132" w:cs="仿宋gb2132"/>
          <w:color w:val="000000"/>
          <w:kern w:val="2"/>
        </w:rPr>
      </w:pPr>
      <w:r>
        <w:rPr>
          <w:rFonts w:hint="eastAsia" w:ascii="仿宋gb2132" w:hAnsi="仿宋gb2132" w:eastAsia="仿宋gb2132" w:cs="仿宋gb2132"/>
          <w:color w:val="000000"/>
          <w:kern w:val="2"/>
          <w:sz w:val="32"/>
          <w:szCs w:val="32"/>
          <w:lang w:val="en-US" w:eastAsia="zh-CN" w:bidi="ar-SA"/>
        </w:rPr>
        <w:t>2.</w:t>
      </w:r>
      <w:r>
        <w:rPr>
          <w:rFonts w:hint="eastAsia" w:ascii="仿宋gb2132" w:hAnsi="仿宋gb2132" w:eastAsia="仿宋gb2132" w:cs="仿宋gb2132"/>
          <w:color w:val="000000"/>
          <w:kern w:val="2"/>
        </w:rPr>
        <w:t>强化校园秩序综合治理，构建科学化、规范化的教学管理体系，从硬件设施优化到人文环境营造，全方位为学生打造安全、有序、积极向上的学习空间。</w:t>
      </w:r>
    </w:p>
    <w:p>
      <w:pPr>
        <w:pStyle w:val="6"/>
        <w:spacing w:line="560" w:lineRule="exact"/>
        <w:ind w:left="959" w:firstLine="640"/>
        <w:jc w:val="both"/>
        <w:rPr>
          <w:rFonts w:hint="eastAsia" w:ascii="仿宋gb2132" w:hAnsi="仿宋gb2132" w:eastAsia="仿宋gb2132" w:cs="仿宋gb2132"/>
          <w:color w:val="000000"/>
          <w:kern w:val="2"/>
        </w:rPr>
      </w:pPr>
      <w:r>
        <w:rPr>
          <w:rFonts w:hint="eastAsia" w:ascii="仿宋gb2132" w:hAnsi="仿宋gb2132" w:eastAsia="仿宋gb2132" w:cs="仿宋gb2132"/>
          <w:color w:val="000000"/>
          <w:kern w:val="2"/>
        </w:rPr>
        <w:t>3.秉持创新发展理念，遵循教育教学规律，系统推进教育教学改革。通过深化课程体系、教学方法及评价机制创新，持续提升教育教学质量，培育时代新人。</w:t>
      </w:r>
    </w:p>
    <w:p>
      <w:pPr>
        <w:pStyle w:val="6"/>
        <w:spacing w:line="560" w:lineRule="exact"/>
        <w:ind w:left="959" w:firstLine="640"/>
        <w:jc w:val="both"/>
        <w:rPr>
          <w:rFonts w:hint="eastAsia" w:ascii="仿宋gb2132" w:hAnsi="仿宋gb2132" w:eastAsia="仿宋gb2132" w:cs="仿宋gb2132"/>
          <w:color w:val="000000"/>
          <w:kern w:val="2"/>
          <w:lang w:val="en-US" w:eastAsia="zh-CN"/>
        </w:rPr>
      </w:pPr>
      <w:r>
        <w:rPr>
          <w:rFonts w:hint="eastAsia" w:ascii="仿宋gb2132" w:hAnsi="仿宋gb2132" w:eastAsia="仿宋gb2132" w:cs="仿宋gb2132"/>
          <w:color w:val="000000"/>
          <w:kern w:val="2"/>
          <w:lang w:val="en-US" w:eastAsia="zh-CN"/>
        </w:rPr>
        <w:t>4.深化 “三全育人” 理念，将教书育人、服务育人、环境育人有机融合，构建全员、全过程、全方位的德育工作格局，促进学生思想品德、学业水平、身体素质协同发展，实现德智体美劳全面进步。</w:t>
      </w:r>
    </w:p>
    <w:p>
      <w:pPr>
        <w:pStyle w:val="6"/>
        <w:spacing w:line="560" w:lineRule="exact"/>
        <w:ind w:left="959" w:firstLine="640"/>
        <w:jc w:val="both"/>
        <w:rPr>
          <w:rFonts w:hint="eastAsia" w:ascii="仿宋gb2132" w:hAnsi="仿宋gb2132" w:eastAsia="仿宋gb2132" w:cs="仿宋gb2132"/>
          <w:color w:val="000000"/>
          <w:kern w:val="2"/>
          <w:lang w:val="en-US" w:eastAsia="zh-CN"/>
        </w:rPr>
      </w:pPr>
      <w:r>
        <w:rPr>
          <w:rFonts w:hint="eastAsia" w:ascii="仿宋gb2132" w:hAnsi="仿宋gb2132" w:eastAsia="仿宋gb2132" w:cs="仿宋gb2132"/>
          <w:color w:val="000000"/>
          <w:kern w:val="2"/>
          <w:lang w:val="en-US" w:eastAsia="zh-CN"/>
        </w:rPr>
        <w:t>5.实施教师队伍专业化提升工程，通过完善师德师风建设机制、搭建多元培训平台、优化激励评价体系，激发教师教育热情，塑造一支师德高尚、业务精湛、充满活力的高素质教师队伍。</w:t>
      </w:r>
    </w:p>
    <w:p>
      <w:pPr>
        <w:pStyle w:val="6"/>
        <w:spacing w:line="560" w:lineRule="exact"/>
        <w:ind w:left="959" w:firstLine="640"/>
        <w:jc w:val="both"/>
        <w:rPr>
          <w:rFonts w:hint="default" w:ascii="仿宋gb2132" w:hAnsi="仿宋gb2132" w:eastAsia="仿宋gb2132" w:cs="仿宋gb2132"/>
          <w:color w:val="000000"/>
          <w:kern w:val="2"/>
          <w:lang w:val="en-US" w:eastAsia="zh-CN"/>
        </w:rPr>
      </w:pPr>
      <w:r>
        <w:rPr>
          <w:rFonts w:hint="eastAsia" w:ascii="仿宋gb2132" w:hAnsi="仿宋gb2132" w:eastAsia="仿宋gb2132" w:cs="仿宋gb2132"/>
          <w:color w:val="000000"/>
          <w:kern w:val="2"/>
          <w:lang w:val="en-US" w:eastAsia="zh-CN"/>
        </w:rPr>
        <w:t>6.牢固树立安全发展理念，建立健全校园安全风险防控体系，强化安全教育、隐患排查与应急管理，织密校园安全防护网，切实保障学生生命安全与身心健康。</w:t>
      </w:r>
    </w:p>
    <w:p>
      <w:pPr>
        <w:pStyle w:val="6"/>
        <w:spacing w:line="560" w:lineRule="exact"/>
        <w:ind w:left="959" w:firstLine="640"/>
        <w:jc w:val="both"/>
        <w:rPr>
          <w:rFonts w:hint="eastAsia" w:ascii="仿宋" w:hAnsi="仿宋" w:eastAsia="仿宋" w:cs="仿宋"/>
          <w:b/>
          <w:bCs/>
          <w:color w:val="000000"/>
          <w:kern w:val="2"/>
        </w:rPr>
      </w:pPr>
      <w:r>
        <w:rPr>
          <w:rFonts w:hint="eastAsia" w:ascii="黑体" w:hAnsi="黑体" w:eastAsia="黑体" w:cs="黑体"/>
          <w:color w:val="000000"/>
          <w:kern w:val="2"/>
        </w:rPr>
        <w:t>（二）</w:t>
      </w:r>
      <w:r>
        <w:rPr>
          <w:rFonts w:hint="eastAsia" w:ascii="仿宋" w:hAnsi="仿宋" w:eastAsia="仿宋" w:cs="仿宋"/>
          <w:b/>
          <w:bCs/>
          <w:color w:val="000000"/>
          <w:kern w:val="2"/>
        </w:rPr>
        <w:t>机构设置</w:t>
      </w:r>
    </w:p>
    <w:p>
      <w:pPr>
        <w:pStyle w:val="6"/>
        <w:spacing w:line="560" w:lineRule="exact"/>
        <w:ind w:left="959" w:firstLine="640"/>
        <w:jc w:val="both"/>
        <w:rPr>
          <w:rFonts w:hint="eastAsia" w:ascii="仿宋gb2312" w:hAnsi="仿宋gb2312" w:eastAsia="仿宋gb2312" w:cs="仿宋gb2312"/>
          <w:color w:val="000000"/>
          <w:kern w:val="2"/>
          <w:lang w:val="en-US" w:eastAsia="zh-CN"/>
        </w:rPr>
      </w:pPr>
      <w:r>
        <w:rPr>
          <w:rFonts w:hint="eastAsia" w:ascii="仿宋gb2312" w:hAnsi="仿宋gb2312" w:eastAsia="仿宋gb2312" w:cs="仿宋gb2312"/>
          <w:color w:val="000000"/>
          <w:kern w:val="2"/>
          <w:lang w:val="en-US" w:eastAsia="zh-CN"/>
        </w:rPr>
        <w:t>校长办公室、教导处、总务处和大队部。</w:t>
      </w:r>
    </w:p>
    <w:p>
      <w:pPr>
        <w:pStyle w:val="6"/>
        <w:spacing w:line="560" w:lineRule="exact"/>
        <w:ind w:left="959" w:firstLine="640"/>
        <w:jc w:val="both"/>
        <w:rPr>
          <w:rFonts w:hint="eastAsia" w:ascii="黑体" w:hAnsi="黑体" w:eastAsia="黑体" w:cs="黑体"/>
          <w:b/>
          <w:bCs/>
          <w:color w:val="000000"/>
          <w:kern w:val="2"/>
        </w:rPr>
      </w:pPr>
      <w:r>
        <w:rPr>
          <w:rFonts w:hint="eastAsia" w:ascii="黑体" w:hAnsi="黑体" w:eastAsia="黑体" w:cs="Times New Roman"/>
          <w:b/>
          <w:bCs/>
          <w:color w:val="000000"/>
          <w:kern w:val="2"/>
        </w:rPr>
        <w:t>二、</w:t>
      </w:r>
      <w:r>
        <w:rPr>
          <w:rFonts w:hint="eastAsia" w:ascii="黑体" w:hAnsi="黑体" w:eastAsia="黑体" w:cs="黑体"/>
          <w:b/>
          <w:bCs/>
          <w:color w:val="000000"/>
          <w:kern w:val="2"/>
        </w:rPr>
        <w:t>基本支出情况</w:t>
      </w:r>
    </w:p>
    <w:p>
      <w:pPr>
        <w:pStyle w:val="6"/>
        <w:spacing w:line="560" w:lineRule="exact"/>
        <w:ind w:left="959" w:firstLine="640"/>
        <w:jc w:val="both"/>
        <w:rPr>
          <w:rFonts w:hint="eastAsia" w:ascii="仿宋" w:hAnsi="仿宋" w:eastAsia="仿宋" w:cs="仿宋"/>
          <w:b/>
          <w:bCs/>
          <w:kern w:val="2"/>
        </w:rPr>
      </w:pPr>
      <w:r>
        <w:rPr>
          <w:rFonts w:hint="eastAsia" w:ascii="黑体" w:hAnsi="黑体" w:eastAsia="黑体" w:cs="Times New Roman"/>
          <w:kern w:val="2"/>
        </w:rPr>
        <w:t>1、</w:t>
      </w:r>
      <w:r>
        <w:rPr>
          <w:rFonts w:hint="eastAsia" w:ascii="仿宋" w:hAnsi="仿宋" w:eastAsia="仿宋" w:cs="仿宋"/>
          <w:b/>
          <w:bCs/>
          <w:kern w:val="2"/>
        </w:rPr>
        <w:t>年度预算与决算总体概况</w:t>
      </w:r>
    </w:p>
    <w:p>
      <w:pPr>
        <w:pStyle w:val="6"/>
        <w:spacing w:line="560" w:lineRule="exact"/>
        <w:ind w:left="959" w:firstLine="640"/>
        <w:jc w:val="both"/>
        <w:rPr>
          <w:rFonts w:hint="eastAsia" w:ascii="Times New Roman" w:hAnsi="Times New Roman" w:eastAsia="仿宋_GB2312" w:cs="Times New Roman"/>
          <w:kern w:val="2"/>
          <w:lang w:val="en-US" w:eastAsia="zh-CN"/>
        </w:rPr>
      </w:pPr>
      <w:r>
        <w:rPr>
          <w:rFonts w:hint="eastAsia" w:ascii="Times New Roman" w:hAnsi="Times New Roman" w:eastAsia="仿宋_GB2312" w:cs="Times New Roman"/>
          <w:kern w:val="2"/>
          <w:lang w:val="en-US" w:eastAsia="zh-CN"/>
        </w:rPr>
        <w:t>2024 年初，学校经科学编制核定预算金额为 90.36 万元；至年末，决算支出达 205.84 万元，超预算部分通过合理调配资源，切实保障了教育教学活动的顺利开展。</w:t>
      </w:r>
    </w:p>
    <w:p>
      <w:pPr>
        <w:pStyle w:val="6"/>
        <w:spacing w:line="560" w:lineRule="exact"/>
        <w:ind w:left="959" w:firstLine="640"/>
        <w:jc w:val="both"/>
        <w:rPr>
          <w:rFonts w:hint="default" w:ascii="Times New Roman" w:hAnsi="Times New Roman" w:eastAsia="仿宋_GB2312" w:cs="Times New Roman"/>
          <w:kern w:val="2"/>
          <w:lang w:val="en-US" w:eastAsia="zh-CN"/>
        </w:rPr>
      </w:pPr>
      <w:r>
        <w:rPr>
          <w:rFonts w:hint="eastAsia" w:ascii="Times New Roman" w:hAnsi="Times New Roman" w:eastAsia="仿宋_GB2312" w:cs="Times New Roman"/>
          <w:kern w:val="2"/>
          <w:lang w:val="en-US" w:eastAsia="zh-CN"/>
        </w:rPr>
        <w:t>2、</w:t>
      </w:r>
      <w:r>
        <w:rPr>
          <w:rFonts w:hint="eastAsia" w:ascii="Times New Roman" w:hAnsi="Times New Roman" w:eastAsia="仿宋_GB2312" w:cs="Times New Roman"/>
          <w:b/>
          <w:bCs/>
          <w:kern w:val="2"/>
          <w:lang w:val="en-US" w:eastAsia="zh-CN"/>
        </w:rPr>
        <w:t>部门整体支出结构解析</w:t>
      </w:r>
    </w:p>
    <w:p>
      <w:pPr>
        <w:pStyle w:val="6"/>
        <w:spacing w:line="560" w:lineRule="exact"/>
        <w:ind w:left="959" w:firstLine="640"/>
        <w:jc w:val="both"/>
        <w:rPr>
          <w:rFonts w:hint="eastAsia" w:ascii="Times New Roman" w:hAnsi="Times New Roman" w:eastAsia="仿宋_GB2312" w:cs="Times New Roman"/>
          <w:kern w:val="2"/>
          <w:lang w:val="en-US" w:eastAsia="zh-CN"/>
        </w:rPr>
      </w:pPr>
      <w:r>
        <w:rPr>
          <w:rFonts w:hint="eastAsia" w:ascii="Times New Roman" w:hAnsi="Times New Roman" w:eastAsia="仿宋_GB2312" w:cs="Times New Roman"/>
          <w:kern w:val="2"/>
          <w:lang w:val="en-US" w:eastAsia="zh-CN"/>
        </w:rPr>
        <w:t>本年度部门整体支出聚焦单位日常办公及公用经费保障，主要涵盖工资福利支出与商品和服务支出两大板块。其中，工资福利支出 100.11 万元，占总支出的 48.63%，有效落实教职工薪酬待遇，稳定师资队伍；商品和服务支出 88.34 万元，占比 42.92%，用于保障教学活动、行政事务等日常运转需求。</w:t>
      </w:r>
    </w:p>
    <w:p>
      <w:pPr>
        <w:pStyle w:val="6"/>
        <w:spacing w:line="560" w:lineRule="exact"/>
        <w:ind w:left="959" w:firstLine="640"/>
        <w:jc w:val="both"/>
        <w:rPr>
          <w:rFonts w:hint="default" w:ascii="Times New Roman" w:hAnsi="Times New Roman" w:eastAsia="仿宋_GB2312" w:cs="Times New Roman"/>
          <w:b/>
          <w:bCs/>
          <w:kern w:val="2"/>
          <w:lang w:val="en-US" w:eastAsia="zh-CN"/>
        </w:rPr>
      </w:pPr>
      <w:r>
        <w:rPr>
          <w:rFonts w:hint="eastAsia" w:ascii="Times New Roman" w:hAnsi="Times New Roman" w:eastAsia="仿宋_GB2312" w:cs="Times New Roman"/>
          <w:kern w:val="2"/>
          <w:lang w:val="en-US" w:eastAsia="zh-CN"/>
        </w:rPr>
        <w:t>3、</w:t>
      </w:r>
      <w:r>
        <w:rPr>
          <w:rFonts w:hint="eastAsia" w:ascii="Times New Roman" w:hAnsi="Times New Roman" w:eastAsia="仿宋_GB2312" w:cs="Times New Roman"/>
          <w:b/>
          <w:bCs/>
          <w:kern w:val="2"/>
          <w:lang w:val="en-US" w:eastAsia="zh-CN"/>
        </w:rPr>
        <w:t>年度支出资金用途构成</w:t>
      </w:r>
    </w:p>
    <w:p>
      <w:pPr>
        <w:pStyle w:val="6"/>
        <w:spacing w:line="560" w:lineRule="exact"/>
        <w:ind w:left="959" w:firstLine="640"/>
        <w:jc w:val="both"/>
        <w:rPr>
          <w:rFonts w:hint="eastAsia" w:ascii="Times New Roman" w:hAnsi="Times New Roman" w:eastAsia="仿宋_GB2312" w:cs="Times New Roman"/>
          <w:kern w:val="2"/>
        </w:rPr>
      </w:pPr>
      <w:r>
        <w:rPr>
          <w:rFonts w:hint="eastAsia" w:ascii="Times New Roman" w:hAnsi="Times New Roman" w:eastAsia="仿宋_GB2312" w:cs="Times New Roman"/>
          <w:kern w:val="2"/>
        </w:rPr>
        <w:t>全年累计支出 205.84 万元，按资金性质划分：基本支出 118.22 万元，占总支出 57.43%，主要用于人员工资发放及日常公用开支；项目支出 87.62 万元，占比 42.57%，重点投入学校生均经费保障、教育教学专项等领域，为提升办学质量提供资金支持。</w:t>
      </w:r>
    </w:p>
    <w:p>
      <w:pPr>
        <w:pStyle w:val="6"/>
        <w:numPr>
          <w:ilvl w:val="0"/>
          <w:numId w:val="0"/>
        </w:numPr>
        <w:spacing w:line="560" w:lineRule="exact"/>
        <w:ind w:left="959" w:leftChars="0" w:firstLine="640" w:firstLineChars="0"/>
        <w:jc w:val="both"/>
        <w:rPr>
          <w:rFonts w:hint="eastAsia" w:ascii="Times New Roman" w:hAnsi="Times New Roman" w:eastAsia="仿宋_GB2312" w:cs="Times New Roman"/>
          <w:b/>
          <w:bCs/>
          <w:kern w:val="2"/>
          <w:lang w:val="en-US" w:eastAsia="zh-CN"/>
        </w:rPr>
      </w:pPr>
      <w:r>
        <w:rPr>
          <w:rFonts w:hint="eastAsia" w:ascii="Times New Roman" w:hAnsi="Times New Roman" w:eastAsia="仿宋_GB2312" w:cs="Times New Roman"/>
          <w:b/>
          <w:bCs/>
          <w:kern w:val="2"/>
          <w:sz w:val="32"/>
          <w:szCs w:val="32"/>
          <w:lang w:val="en-US" w:eastAsia="zh-CN" w:bidi="ar-SA"/>
        </w:rPr>
        <w:t>4、</w:t>
      </w:r>
      <w:r>
        <w:rPr>
          <w:rFonts w:hint="eastAsia" w:ascii="Times New Roman" w:hAnsi="Times New Roman" w:eastAsia="仿宋_GB2312" w:cs="Times New Roman"/>
          <w:b/>
          <w:bCs/>
          <w:kern w:val="2"/>
          <w:lang w:val="en-US" w:eastAsia="zh-CN"/>
        </w:rPr>
        <w:t>基本支出执行详情</w:t>
      </w:r>
    </w:p>
    <w:p>
      <w:pPr>
        <w:pStyle w:val="6"/>
        <w:numPr>
          <w:numId w:val="0"/>
        </w:numPr>
        <w:spacing w:line="560" w:lineRule="exact"/>
        <w:ind w:left="959" w:leftChars="436" w:firstLine="640" w:firstLineChars="200"/>
        <w:jc w:val="both"/>
        <w:rPr>
          <w:rFonts w:hint="eastAsia" w:ascii="仿宋" w:hAnsi="仿宋" w:eastAsia="仿宋" w:cs="仿宋"/>
          <w:b w:val="0"/>
          <w:bCs w:val="0"/>
          <w:kern w:val="2"/>
          <w:lang w:val="en-US" w:eastAsia="zh-CN"/>
        </w:rPr>
      </w:pPr>
      <w:r>
        <w:rPr>
          <w:rFonts w:hint="eastAsia" w:ascii="仿宋" w:hAnsi="仿宋" w:eastAsia="仿宋" w:cs="仿宋"/>
          <w:b w:val="0"/>
          <w:bCs w:val="0"/>
          <w:kern w:val="2"/>
          <w:lang w:val="en-US" w:eastAsia="zh-CN"/>
        </w:rPr>
        <w:t>2024 年基本支出年初预算 90.36 万元，实际决算支出 118.22 万元。从决算构成来看，工资福利支出 100.11 万元，切实保障教职工收入；商品和服务支出 88.34 万元，满足日常办公、教学耗材等需求；资本性支出 17.40 万元，用于教学设施设备购置及校园环境改造，助力学校硬件条件升级。</w:t>
      </w:r>
    </w:p>
    <w:p>
      <w:pPr>
        <w:pStyle w:val="6"/>
        <w:numPr>
          <w:numId w:val="0"/>
        </w:numPr>
        <w:spacing w:line="560" w:lineRule="exact"/>
        <w:ind w:left="1599" w:leftChars="727" w:firstLine="0" w:firstLineChars="0"/>
        <w:jc w:val="both"/>
        <w:rPr>
          <w:rFonts w:hint="eastAsia" w:ascii="仿宋" w:hAnsi="仿宋" w:eastAsia="仿宋" w:cs="仿宋"/>
          <w:b/>
          <w:bCs/>
          <w:kern w:val="2"/>
        </w:rPr>
      </w:pPr>
      <w:r>
        <w:rPr>
          <w:rFonts w:hint="eastAsia" w:ascii="Times New Roman" w:hAnsi="Times New Roman" w:eastAsia="仿宋_GB2312" w:cs="Times New Roman"/>
          <w:b/>
          <w:bCs/>
          <w:kern w:val="2"/>
          <w:sz w:val="32"/>
          <w:szCs w:val="32"/>
          <w:lang w:val="en-US" w:eastAsia="zh-CN" w:bidi="ar-SA"/>
        </w:rPr>
        <w:t>5、</w:t>
      </w:r>
      <w:r>
        <w:rPr>
          <w:rFonts w:hint="eastAsia" w:ascii="仿宋" w:hAnsi="仿宋" w:eastAsia="仿宋" w:cs="仿宋"/>
          <w:b/>
          <w:bCs/>
          <w:kern w:val="2"/>
        </w:rPr>
        <w:t>项目支出情况</w:t>
      </w:r>
    </w:p>
    <w:p>
      <w:pPr>
        <w:pStyle w:val="19"/>
        <w:ind w:left="1027" w:leftChars="467" w:firstLine="640" w:firstLineChars="200"/>
        <w:jc w:val="both"/>
        <w:rPr>
          <w:rFonts w:hint="eastAsia" w:ascii="仿宋_GB2312" w:hAnsi="黑体" w:eastAsia="仿宋_GB2312"/>
          <w:b/>
          <w:bCs/>
          <w:color w:val="auto"/>
          <w:sz w:val="32"/>
          <w:szCs w:val="32"/>
        </w:rPr>
      </w:pPr>
      <w:r>
        <w:rPr>
          <w:rFonts w:hint="eastAsia" w:ascii="仿宋_GB2312" w:eastAsia="仿宋_GB2312"/>
          <w:sz w:val="32"/>
          <w:szCs w:val="32"/>
        </w:rPr>
        <w:t>2024项目支出年初预算金额为106.26万元，全年实际支出87.62 万元</w:t>
      </w:r>
      <w:r>
        <w:rPr>
          <w:rFonts w:hint="eastAsia" w:ascii="仿宋_GB2312" w:eastAsia="仿宋_GB2312"/>
          <w:sz w:val="32"/>
          <w:szCs w:val="32"/>
          <w:lang w:eastAsia="zh-CN"/>
        </w:rPr>
        <w:t>，</w:t>
      </w:r>
      <w:r>
        <w:rPr>
          <w:rFonts w:hint="eastAsia" w:ascii="仿宋_GB2312" w:eastAsia="仿宋_GB2312"/>
          <w:sz w:val="32"/>
          <w:szCs w:val="32"/>
        </w:rPr>
        <w:t>占年度总支出的42.57%。学校通过科学规划资金使用，严格控制支出范围，在保障工作任务完成的同时，实现资金的合理调配与高效利用。项目支出主要用于保障学校日常运转及工作任务推进，资金构成涵盖人员经费与公用经费两大类别。其中，人员经费聚焦基本工资、津贴补贴等方面，确保教职工待遇落实；公用经费包含办公费、印刷费、水电费、办公设备购置等支出，为教学及行政工作提供基础保障，全方位支撑学校各项工作的顺利开展。</w:t>
      </w:r>
    </w:p>
    <w:p>
      <w:pPr>
        <w:pStyle w:val="6"/>
        <w:numPr>
          <w:ilvl w:val="0"/>
          <w:numId w:val="2"/>
        </w:numPr>
        <w:spacing w:line="560" w:lineRule="exact"/>
        <w:ind w:left="959" w:firstLine="640"/>
        <w:jc w:val="both"/>
        <w:rPr>
          <w:rFonts w:hint="eastAsia" w:ascii="黑体" w:hAnsi="黑体" w:eastAsia="黑体" w:cs="黑体"/>
          <w:b/>
          <w:bCs/>
          <w:color w:val="000000"/>
          <w:kern w:val="2"/>
        </w:rPr>
      </w:pPr>
      <w:r>
        <w:rPr>
          <w:rFonts w:hint="eastAsia" w:ascii="黑体" w:hAnsi="黑体" w:eastAsia="黑体" w:cs="黑体"/>
          <w:b/>
          <w:bCs/>
          <w:color w:val="000000"/>
          <w:kern w:val="2"/>
        </w:rPr>
        <w:t>部门整体支出绩效</w:t>
      </w:r>
      <w:r>
        <w:rPr>
          <w:rFonts w:hint="eastAsia" w:ascii="黑体" w:hAnsi="黑体" w:eastAsia="黑体" w:cs="黑体"/>
          <w:b/>
          <w:bCs/>
          <w:color w:val="000000"/>
          <w:kern w:val="2"/>
          <w:lang w:val="en-US" w:eastAsia="zh-CN"/>
        </w:rPr>
        <w:t>目标</w:t>
      </w:r>
    </w:p>
    <w:p>
      <w:pPr>
        <w:pStyle w:val="6"/>
        <w:spacing w:line="560" w:lineRule="exact"/>
        <w:ind w:left="959" w:firstLine="640"/>
        <w:jc w:val="both"/>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我校将以教育高质量发展为核心目标，立足内部管理优化，系统推进教育教学各项工作：</w:t>
      </w:r>
    </w:p>
    <w:p>
      <w:pPr>
        <w:pStyle w:val="6"/>
        <w:numPr>
          <w:ilvl w:val="0"/>
          <w:numId w:val="0"/>
        </w:numPr>
        <w:spacing w:line="560" w:lineRule="exact"/>
        <w:ind w:left="959" w:leftChars="0" w:firstLine="640" w:firstLineChars="0"/>
        <w:jc w:val="both"/>
        <w:rPr>
          <w:rFonts w:hint="eastAsia" w:ascii="Times New Roman" w:hAnsi="Times New Roman" w:eastAsia="仿宋_GB2312" w:cs="Times New Roman"/>
          <w:color w:val="000000"/>
          <w:kern w:val="2"/>
        </w:rPr>
      </w:pPr>
      <w:r>
        <w:rPr>
          <w:rFonts w:hint="eastAsia" w:ascii="Times New Roman" w:hAnsi="Times New Roman" w:eastAsia="仿宋_GB2312" w:cs="Times New Roman"/>
          <w:color w:val="000000"/>
          <w:kern w:val="2"/>
          <w:sz w:val="32"/>
          <w:szCs w:val="32"/>
          <w:lang w:val="en-US" w:eastAsia="zh-CN" w:bidi="ar-SA"/>
        </w:rPr>
        <w:t>1、</w:t>
      </w:r>
      <w:r>
        <w:rPr>
          <w:rFonts w:hint="eastAsia" w:ascii="Times New Roman" w:hAnsi="Times New Roman" w:eastAsia="仿宋_GB2312" w:cs="Times New Roman"/>
          <w:color w:val="000000"/>
          <w:kern w:val="2"/>
        </w:rPr>
        <w:t>深化教学管理提质增效：严格落实教学常规管理制度，完善电子学籍动态管理机制，确保申报工作精准高效。以课题研究为驱动，开展多元化教研活动与教学竞赛，鼓励教师撰写高质量教育论文，构建 “研、教、赛、写” 一体化教学提升体系，持续提升教育教学质量。</w:t>
      </w:r>
    </w:p>
    <w:p>
      <w:pPr>
        <w:pStyle w:val="6"/>
        <w:numPr>
          <w:numId w:val="0"/>
        </w:numPr>
        <w:spacing w:line="560" w:lineRule="exact"/>
        <w:ind w:left="1012" w:leftChars="460" w:firstLine="585" w:firstLineChars="183"/>
        <w:jc w:val="both"/>
        <w:rPr>
          <w:rFonts w:ascii="Times New Roman" w:hAnsi="Times New Roman" w:eastAsia="仿宋_GB2312" w:cs="Times New Roman"/>
          <w:color w:val="000000"/>
          <w:kern w:val="2"/>
        </w:rPr>
      </w:pPr>
      <w:r>
        <w:rPr>
          <w:rFonts w:ascii="Times New Roman" w:hAnsi="Times New Roman" w:eastAsia="仿宋_GB2312" w:cs="Times New Roman"/>
          <w:color w:val="000000"/>
          <w:kern w:val="2"/>
        </w:rPr>
        <w:t>2、</w:t>
      </w:r>
      <w:r>
        <w:rPr>
          <w:rFonts w:hint="eastAsia" w:ascii="Times New Roman" w:hAnsi="Times New Roman" w:eastAsia="仿宋_GB2312" w:cs="Times New Roman"/>
          <w:color w:val="000000"/>
          <w:kern w:val="2"/>
        </w:rPr>
        <w:t>打造高素质教师队伍：实施教师队伍建设 “双优工程”，通过目标化管理、常态化师德教育与分层分类培训，构建师德考核、专业发展、激励评价相融合的长效机制，着力培育品德高尚、业务精湛的专业化教师团队，为教育教学创新注入核心动力。</w:t>
      </w:r>
    </w:p>
    <w:p>
      <w:pPr>
        <w:pStyle w:val="6"/>
        <w:spacing w:line="560" w:lineRule="exact"/>
        <w:ind w:left="959" w:firstLine="640"/>
        <w:jc w:val="both"/>
        <w:rPr>
          <w:rFonts w:hint="eastAsia" w:ascii="Times New Roman" w:hAnsi="Times New Roman" w:eastAsia="仿宋_GB2312" w:cs="Times New Roman"/>
          <w:color w:val="000000"/>
          <w:kern w:val="2"/>
        </w:rPr>
      </w:pPr>
      <w:r>
        <w:rPr>
          <w:rFonts w:ascii="Times New Roman" w:hAnsi="Times New Roman" w:eastAsia="仿宋_GB2312" w:cs="Times New Roman"/>
          <w:color w:val="000000"/>
          <w:kern w:val="2"/>
        </w:rPr>
        <w:t>3、</w:t>
      </w:r>
      <w:r>
        <w:rPr>
          <w:rFonts w:hint="eastAsia" w:ascii="Times New Roman" w:hAnsi="Times New Roman" w:eastAsia="仿宋_GB2312" w:cs="Times New Roman"/>
          <w:color w:val="000000"/>
          <w:kern w:val="2"/>
        </w:rPr>
        <w:t>构建五育融合育人体系：强化德育工作顶层设计，深化班主任队伍专业化建设，创新少先队活动载体，打造以爱国主义为内核、书香文化为特色的育人品牌。将德育融入学科教学、校园活动与日常管理，促进学生德智体美劳全面发展。</w:t>
      </w:r>
    </w:p>
    <w:p>
      <w:pPr>
        <w:pStyle w:val="6"/>
        <w:spacing w:line="560" w:lineRule="exact"/>
        <w:ind w:left="959" w:firstLine="640"/>
        <w:jc w:val="both"/>
        <w:rPr>
          <w:rFonts w:hint="eastAsia" w:ascii="Times New Roman" w:hAnsi="Times New Roman" w:eastAsia="仿宋_GB2312" w:cs="Times New Roman"/>
          <w:color w:val="000000"/>
          <w:kern w:val="2"/>
          <w:lang w:val="en-US" w:eastAsia="zh-CN"/>
        </w:rPr>
      </w:pPr>
      <w:r>
        <w:rPr>
          <w:rFonts w:hint="eastAsia" w:ascii="Times New Roman" w:hAnsi="Times New Roman" w:eastAsia="仿宋_GB2312" w:cs="Times New Roman"/>
          <w:color w:val="000000"/>
          <w:kern w:val="2"/>
          <w:lang w:val="en-US" w:eastAsia="zh-CN"/>
        </w:rPr>
        <w:t>4、筑牢校园安全防线：构建 “全员、全时、全域” 安全管理网络，聚焦交通安全、防溺水、消防、食品安全等重点领域，完善应急预案与演练机制。严格规范食堂全流程管理，强化食品安全监管，切实保障师生生命健康与校园安全稳定。</w:t>
      </w:r>
    </w:p>
    <w:p>
      <w:pPr>
        <w:pStyle w:val="6"/>
        <w:spacing w:line="560" w:lineRule="exact"/>
        <w:ind w:left="959" w:firstLine="640"/>
        <w:jc w:val="both"/>
        <w:rPr>
          <w:rFonts w:hint="eastAsia" w:ascii="Times New Roman" w:hAnsi="Times New Roman" w:eastAsia="仿宋_GB2312" w:cs="Times New Roman"/>
          <w:color w:val="000000"/>
          <w:kern w:val="2"/>
          <w:lang w:val="en-US" w:eastAsia="zh-CN"/>
        </w:rPr>
      </w:pPr>
      <w:r>
        <w:rPr>
          <w:rFonts w:hint="eastAsia" w:ascii="Times New Roman" w:hAnsi="Times New Roman" w:eastAsia="仿宋_GB2312" w:cs="Times New Roman"/>
          <w:color w:val="000000"/>
          <w:kern w:val="2"/>
          <w:lang w:val="en-US" w:eastAsia="zh-CN"/>
        </w:rPr>
        <w:t>5、夯实后勤保障基础：优化后勤服务保障体系，建立设备采购与维护标准化流程，定期开展校舍安全隐患排查整治。健全固定资产信息化管理台账，确保账实相符、管理规范，为教育教学活动提供坚实物质保障与高效服务支撑。</w:t>
      </w:r>
    </w:p>
    <w:p>
      <w:pPr>
        <w:pStyle w:val="6"/>
        <w:spacing w:line="560" w:lineRule="exact"/>
        <w:ind w:left="959" w:firstLine="640"/>
        <w:jc w:val="both"/>
        <w:rPr>
          <w:rFonts w:hint="default" w:ascii="Times New Roman" w:hAnsi="Times New Roman" w:eastAsia="仿宋_GB2312" w:cs="Times New Roman"/>
          <w:color w:val="000000"/>
          <w:kern w:val="2"/>
          <w:lang w:val="en-US" w:eastAsia="zh-CN"/>
        </w:rPr>
      </w:pPr>
      <w:r>
        <w:rPr>
          <w:rFonts w:hint="default" w:ascii="Times New Roman" w:hAnsi="Times New Roman" w:eastAsia="仿宋_GB2312" w:cs="Times New Roman"/>
          <w:color w:val="000000"/>
          <w:kern w:val="2"/>
          <w:lang w:val="en-US" w:eastAsia="zh-CN"/>
        </w:rPr>
        <w:t>我校将始终坚持教学中心地位，优化公用经费使用效能，科学规划资金投向，确保各项教育教学任务高质量完成，奋力实现年度教育发展目标。</w:t>
      </w:r>
    </w:p>
    <w:p>
      <w:pPr>
        <w:pStyle w:val="6"/>
        <w:numPr>
          <w:ilvl w:val="0"/>
          <w:numId w:val="2"/>
        </w:numPr>
        <w:spacing w:line="560" w:lineRule="exact"/>
        <w:ind w:left="959" w:firstLine="640"/>
        <w:jc w:val="both"/>
        <w:rPr>
          <w:rFonts w:hint="eastAsia" w:ascii="黑体" w:hAnsi="黑体" w:eastAsia="黑体" w:cs="黑体"/>
          <w:b/>
          <w:bCs/>
          <w:color w:val="000000"/>
          <w:kern w:val="2"/>
        </w:rPr>
      </w:pPr>
      <w:r>
        <w:rPr>
          <w:rFonts w:hint="eastAsia" w:ascii="黑体" w:hAnsi="黑体" w:eastAsia="黑体" w:cs="黑体"/>
          <w:b/>
          <w:bCs/>
          <w:color w:val="000000"/>
          <w:kern w:val="2"/>
        </w:rPr>
        <w:t>存在的问题及原因分析</w:t>
      </w:r>
    </w:p>
    <w:p>
      <w:pPr>
        <w:pStyle w:val="6"/>
        <w:numPr>
          <w:ilvl w:val="0"/>
          <w:numId w:val="0"/>
        </w:numPr>
        <w:spacing w:line="560" w:lineRule="exact"/>
        <w:ind w:left="959" w:leftChars="0" w:firstLine="640" w:firstLineChars="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w:t>
      </w:r>
      <w:r>
        <w:rPr>
          <w:rFonts w:hint="eastAsia" w:ascii="Times New Roman" w:hAnsi="Times New Roman" w:eastAsia="仿宋_GB2312" w:cs="Times New Roman"/>
          <w:b/>
          <w:bCs/>
          <w:color w:val="000000"/>
          <w:kern w:val="2"/>
          <w:sz w:val="32"/>
          <w:szCs w:val="32"/>
          <w:lang w:val="en-US" w:eastAsia="zh-CN" w:bidi="ar-SA"/>
        </w:rPr>
        <w:t>项目管理与财务报告方面</w:t>
      </w:r>
    </w:p>
    <w:p>
      <w:pPr>
        <w:pStyle w:val="6"/>
        <w:numPr>
          <w:ilvl w:val="0"/>
          <w:numId w:val="0"/>
        </w:numPr>
        <w:spacing w:line="560" w:lineRule="exact"/>
        <w:ind w:left="959" w:leftChars="0" w:firstLine="640" w:firstLineChars="0"/>
        <w:jc w:val="both"/>
        <w:rPr>
          <w:rFonts w:hint="eastAsia"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在项目规划与实施过程中，存在对项目建设的前瞻性预判不足问题。因对项目潜在风险与不确定性因素缺乏充分考量，导致部分项目在推进过程中出现预算偏差与进度滞后。同时，项目监督机制存在漏洞，监督力度与频率不足，难以对项目资金使用、工程建设等环节进行全面、动态监管。受此影响，学校建设的财务报告数据精准度受限，资金使用流向与效益未能得到完整、准确呈现，暴露出预算编制在科学性、合理性方面仍需进一步优化提升。</w:t>
      </w:r>
    </w:p>
    <w:p>
      <w:pPr>
        <w:pStyle w:val="6"/>
        <w:numPr>
          <w:ilvl w:val="0"/>
          <w:numId w:val="3"/>
        </w:numPr>
        <w:spacing w:line="560" w:lineRule="exact"/>
        <w:ind w:left="959" w:leftChars="0" w:firstLine="640" w:firstLineChars="0"/>
        <w:jc w:val="both"/>
        <w:rPr>
          <w:rFonts w:hint="eastAsia" w:ascii="Times New Roman" w:hAnsi="Times New Roman" w:eastAsia="仿宋_GB2312" w:cs="Times New Roman"/>
          <w:b/>
          <w:bCs/>
          <w:color w:val="000000"/>
          <w:kern w:val="2"/>
          <w:lang w:val="en-US" w:eastAsia="zh-CN"/>
        </w:rPr>
      </w:pPr>
      <w:r>
        <w:rPr>
          <w:rFonts w:hint="eastAsia" w:ascii="Times New Roman" w:hAnsi="Times New Roman" w:eastAsia="仿宋_GB2312" w:cs="Times New Roman"/>
          <w:b/>
          <w:bCs/>
          <w:color w:val="000000"/>
          <w:kern w:val="2"/>
          <w:lang w:val="en-US" w:eastAsia="zh-CN"/>
        </w:rPr>
        <w:t>师资队伍建设方面</w:t>
      </w:r>
    </w:p>
    <w:p>
      <w:pPr>
        <w:pStyle w:val="6"/>
        <w:numPr>
          <w:numId w:val="0"/>
        </w:numPr>
        <w:spacing w:line="560" w:lineRule="exact"/>
        <w:ind w:left="959" w:leftChars="436" w:firstLine="640" w:firstLineChars="200"/>
        <w:jc w:val="both"/>
        <w:rPr>
          <w:rFonts w:hint="eastAsia" w:ascii="Times New Roman" w:hAnsi="Times New Roman" w:eastAsia="仿宋_GB2312" w:cs="Times New Roman"/>
          <w:b w:val="0"/>
          <w:bCs w:val="0"/>
          <w:color w:val="000000"/>
          <w:kern w:val="2"/>
          <w:lang w:val="en-US" w:eastAsia="zh-CN"/>
        </w:rPr>
      </w:pPr>
      <w:r>
        <w:rPr>
          <w:rFonts w:hint="eastAsia" w:ascii="Times New Roman" w:hAnsi="Times New Roman" w:eastAsia="仿宋_GB2312" w:cs="Times New Roman"/>
          <w:b w:val="0"/>
          <w:bCs w:val="0"/>
          <w:color w:val="000000"/>
          <w:kern w:val="2"/>
          <w:lang w:val="en-US" w:eastAsia="zh-CN"/>
        </w:rPr>
        <w:t>当前学校师资队伍结构存在优化空间，高水平、专业化的优秀教师数量短缺，难以满足学校高质量发展与教育教学创新需求。核心教学骨干力量不足，在课程研发、教学改革等关键领域缺乏引领人才，制约了学校教育教学质量的进一步提升与特色品牌的打造，成为影响学校发展的重要瓶颈。</w:t>
      </w:r>
    </w:p>
    <w:p>
      <w:pPr>
        <w:pStyle w:val="6"/>
        <w:numPr>
          <w:numId w:val="0"/>
        </w:numPr>
        <w:spacing w:line="560" w:lineRule="exact"/>
        <w:ind w:left="1599" w:leftChars="0"/>
        <w:jc w:val="both"/>
        <w:rPr>
          <w:rFonts w:hint="eastAsia" w:ascii="黑体" w:hAnsi="黑体" w:eastAsia="黑体" w:cs="黑体"/>
          <w:b/>
          <w:bCs/>
          <w:color w:val="000000"/>
          <w:kern w:val="2"/>
        </w:rPr>
      </w:pPr>
      <w:r>
        <w:rPr>
          <w:rFonts w:hint="eastAsia" w:ascii="黑体" w:hAnsi="黑体" w:eastAsia="黑体" w:cs="黑体"/>
          <w:color w:val="000000"/>
          <w:kern w:val="2"/>
          <w:lang w:val="en-US" w:eastAsia="zh-CN"/>
        </w:rPr>
        <w:t>五</w:t>
      </w:r>
      <w:r>
        <w:rPr>
          <w:rFonts w:hint="eastAsia" w:ascii="黑体" w:hAnsi="黑体" w:eastAsia="黑体" w:cs="黑体"/>
          <w:color w:val="000000"/>
          <w:kern w:val="2"/>
        </w:rPr>
        <w:t>、</w:t>
      </w:r>
      <w:r>
        <w:rPr>
          <w:rFonts w:hint="eastAsia" w:ascii="黑体" w:hAnsi="黑体" w:eastAsia="黑体" w:cs="黑体"/>
          <w:b/>
          <w:bCs/>
          <w:color w:val="000000"/>
          <w:kern w:val="2"/>
        </w:rPr>
        <w:t>下一步改进措施</w:t>
      </w:r>
    </w:p>
    <w:p>
      <w:pPr>
        <w:pStyle w:val="6"/>
        <w:spacing w:line="560" w:lineRule="exact"/>
        <w:ind w:left="959" w:firstLine="640"/>
        <w:jc w:val="both"/>
        <w:rPr>
          <w:rFonts w:ascii="Times New Roman" w:hAnsi="Times New Roman" w:eastAsia="仿宋_GB2312" w:cs="Times New Roman"/>
          <w:b/>
          <w:bCs/>
          <w:color w:val="000000"/>
          <w:kern w:val="2"/>
        </w:rPr>
      </w:pPr>
      <w:r>
        <w:rPr>
          <w:rFonts w:ascii="Times New Roman" w:hAnsi="Times New Roman" w:eastAsia="仿宋_GB2312" w:cs="Times New Roman"/>
          <w:b/>
          <w:bCs/>
          <w:color w:val="000000"/>
          <w:kern w:val="2"/>
        </w:rPr>
        <w:t>1、</w:t>
      </w:r>
      <w:r>
        <w:rPr>
          <w:rFonts w:hint="eastAsia" w:ascii="Times New Roman" w:hAnsi="Times New Roman" w:eastAsia="仿宋_GB2312" w:cs="Times New Roman"/>
          <w:b/>
          <w:bCs/>
          <w:color w:val="000000"/>
          <w:kern w:val="2"/>
        </w:rPr>
        <w:t>强化财务管控体系建设，提升资金使用效能</w:t>
      </w:r>
    </w:p>
    <w:p>
      <w:pPr>
        <w:pStyle w:val="6"/>
        <w:spacing w:line="560" w:lineRule="exact"/>
        <w:ind w:left="959" w:firstLine="640"/>
        <w:jc w:val="both"/>
        <w:rPr>
          <w:rFonts w:hint="eastAsia" w:ascii="Times New Roman" w:hAnsi="Times New Roman" w:eastAsia="仿宋_GB2312" w:cs="Times New Roman"/>
          <w:color w:val="000000"/>
          <w:kern w:val="2"/>
        </w:rPr>
      </w:pPr>
      <w:r>
        <w:rPr>
          <w:rFonts w:hint="eastAsia" w:ascii="Times New Roman" w:hAnsi="Times New Roman" w:eastAsia="仿宋_GB2312" w:cs="Times New Roman"/>
          <w:color w:val="000000"/>
          <w:kern w:val="2"/>
          <w:lang w:eastAsia="zh-CN"/>
        </w:rPr>
        <w:t>（</w:t>
      </w:r>
      <w:r>
        <w:rPr>
          <w:rFonts w:hint="eastAsia" w:ascii="Times New Roman" w:hAnsi="Times New Roman" w:eastAsia="仿宋_GB2312" w:cs="Times New Roman"/>
          <w:color w:val="000000"/>
          <w:kern w:val="2"/>
          <w:lang w:val="en-US" w:eastAsia="zh-CN"/>
        </w:rPr>
        <w:t>1）</w:t>
      </w:r>
      <w:r>
        <w:rPr>
          <w:rFonts w:hint="eastAsia" w:ascii="Times New Roman" w:hAnsi="Times New Roman" w:eastAsia="仿宋_GB2312" w:cs="Times New Roman"/>
          <w:color w:val="000000"/>
          <w:kern w:val="2"/>
        </w:rPr>
        <w:t>优化财务报告编制机制：以真实、准确、完整为目标，建立动态财务数据采集与分析系统，结合学校项目建设和日常运营实际，细化财务核算科目，确保财务报告精准反映资金流向与使用效益。同时，引入第三方审计机构开展定期核查，增强财务报告的公信力与参考价值。</w:t>
      </w:r>
    </w:p>
    <w:p>
      <w:pPr>
        <w:pStyle w:val="6"/>
        <w:spacing w:line="560" w:lineRule="exact"/>
        <w:ind w:left="959" w:firstLine="640"/>
        <w:jc w:val="both"/>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lang w:eastAsia="zh-CN"/>
        </w:rPr>
        <w:t>（</w:t>
      </w:r>
      <w:r>
        <w:rPr>
          <w:rFonts w:hint="eastAsia" w:ascii="Times New Roman" w:hAnsi="Times New Roman" w:eastAsia="仿宋_GB2312" w:cs="Times New Roman"/>
          <w:color w:val="000000"/>
          <w:kern w:val="2"/>
          <w:lang w:val="en-US" w:eastAsia="zh-CN"/>
        </w:rPr>
        <w:t>2）</w:t>
      </w:r>
      <w:r>
        <w:rPr>
          <w:rFonts w:hint="eastAsia" w:ascii="Times New Roman" w:hAnsi="Times New Roman" w:eastAsia="仿宋_GB2312" w:cs="Times New Roman"/>
          <w:color w:val="000000"/>
          <w:kern w:val="2"/>
        </w:rPr>
        <w:t>健全全流程财务管理监督：构建 “事前预算预审 - 事中动态监控 - 事后绩效评价” 的闭环管理体系，运用信息化手段实时跟踪项目资金支出与进度，对预算执行偏差及时预警纠偏。定期开展财务专项检查与内部审计，强化对重点项目、大额资金的监督力度，切实保障资金使用规范、项目推进有序，为教育质量提升与社会效益实现提供坚实财务支撑。</w:t>
      </w:r>
    </w:p>
    <w:p>
      <w:pPr>
        <w:pStyle w:val="6"/>
        <w:spacing w:line="560" w:lineRule="exact"/>
        <w:ind w:left="959" w:firstLine="640"/>
        <w:jc w:val="both"/>
        <w:rPr>
          <w:rFonts w:ascii="Times New Roman" w:hAnsi="Times New Roman" w:eastAsia="仿宋_GB2312" w:cs="Times New Roman"/>
          <w:b/>
          <w:bCs/>
          <w:color w:val="000000"/>
          <w:kern w:val="2"/>
        </w:rPr>
      </w:pPr>
      <w:r>
        <w:rPr>
          <w:rFonts w:ascii="Times New Roman" w:hAnsi="Times New Roman" w:eastAsia="仿宋_GB2312" w:cs="Times New Roman"/>
          <w:b/>
          <w:bCs/>
          <w:color w:val="000000"/>
          <w:kern w:val="2"/>
        </w:rPr>
        <w:t>2、</w:t>
      </w:r>
      <w:r>
        <w:rPr>
          <w:rFonts w:hint="eastAsia" w:ascii="Times New Roman" w:hAnsi="Times New Roman" w:eastAsia="仿宋_GB2312" w:cs="Times New Roman"/>
          <w:b/>
          <w:bCs/>
          <w:color w:val="000000"/>
          <w:kern w:val="2"/>
        </w:rPr>
        <w:t>深化业务培训与协同联动，增强管理专业能力</w:t>
      </w:r>
    </w:p>
    <w:p>
      <w:pPr>
        <w:pStyle w:val="6"/>
        <w:spacing w:line="560" w:lineRule="exact"/>
        <w:ind w:left="959" w:firstLine="640"/>
        <w:jc w:val="both"/>
        <w:rPr>
          <w:rFonts w:hint="eastAsia"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w:t>
      </w:r>
      <w:r>
        <w:rPr>
          <w:rFonts w:ascii="Times New Roman" w:hAnsi="Times New Roman" w:eastAsia="仿宋_GB2312" w:cs="Times New Roman"/>
          <w:color w:val="000000"/>
          <w:kern w:val="2"/>
        </w:rPr>
        <w:t>1）</w:t>
      </w:r>
      <w:r>
        <w:rPr>
          <w:rFonts w:hint="eastAsia" w:ascii="Times New Roman" w:hAnsi="Times New Roman" w:eastAsia="仿宋_GB2312" w:cs="Times New Roman"/>
          <w:color w:val="000000"/>
          <w:kern w:val="2"/>
        </w:rPr>
        <w:t>构建常态化培训机制：将预算支出财务分析与绩效评价纳入教师及管理人员常态化培训内容，定期邀请财政、审计领域专家开展政策解读与实务操作培训，提升团队预算编制、绩效评价的专业水平。同时，组织校内经验交流分享会，促进知识沉淀与能力共享，形成全员参与、共同提升的良好氛围。</w:t>
      </w:r>
    </w:p>
    <w:p>
      <w:pPr>
        <w:pStyle w:val="6"/>
        <w:spacing w:line="560" w:lineRule="exact"/>
        <w:ind w:left="959" w:firstLine="640"/>
        <w:jc w:val="both"/>
        <w:rPr>
          <w:rFonts w:hint="eastAsia"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w:t>
      </w:r>
      <w:r>
        <w:rPr>
          <w:rFonts w:ascii="Times New Roman" w:hAnsi="Times New Roman" w:eastAsia="仿宋_GB2312" w:cs="Times New Roman"/>
          <w:color w:val="000000"/>
          <w:kern w:val="2"/>
        </w:rPr>
        <w:t>2）</w:t>
      </w:r>
      <w:r>
        <w:rPr>
          <w:rFonts w:hint="eastAsia" w:ascii="Times New Roman" w:hAnsi="Times New Roman" w:eastAsia="仿宋_GB2312" w:cs="Times New Roman"/>
          <w:color w:val="000000"/>
          <w:kern w:val="2"/>
        </w:rPr>
        <w:t>加强跨部门协同合作：主动对接财政、教育主管部门及兄弟学校，建立定期沟通协调机制，及时获取政策指导与行业经验。在部门整体绩效评价工作中，强化与相关部门的信息共享与数据互通，协同推进评价指标体系优化与评价流程完善，凝聚多方合力推动新建学校建设与运营管理水平全面提升。</w:t>
      </w:r>
      <w:bookmarkStart w:id="0" w:name="_GoBack"/>
      <w:bookmarkEnd w:id="0"/>
    </w:p>
    <w:p>
      <w:pPr>
        <w:pStyle w:val="6"/>
        <w:spacing w:line="560" w:lineRule="exact"/>
        <w:ind w:left="959" w:firstLine="640"/>
        <w:jc w:val="both"/>
        <w:rPr>
          <w:rFonts w:ascii="Times New Roman" w:hAnsi="Times New Roman" w:eastAsia="仿宋_GB2312" w:cs="Times New Roman"/>
          <w:color w:val="000000"/>
          <w:kern w:val="2"/>
        </w:rPr>
      </w:pPr>
      <w:r>
        <w:rPr>
          <w:rFonts w:ascii="Times New Roman" w:hAnsi="Times New Roman" w:eastAsia="仿宋_GB2312" w:cs="Times New Roman"/>
          <w:color w:val="000000"/>
          <w:kern w:val="2"/>
        </w:rPr>
        <w:t>3、</w:t>
      </w:r>
      <w:r>
        <w:rPr>
          <w:rFonts w:ascii="Times New Roman" w:hAnsi="Times New Roman" w:eastAsia="仿宋_GB2312" w:cs="Times New Roman"/>
          <w:b/>
          <w:bCs/>
          <w:color w:val="000000"/>
          <w:kern w:val="2"/>
        </w:rPr>
        <w:t>加强预算执行力度，以减少沉淀资金</w:t>
      </w:r>
    </w:p>
    <w:p>
      <w:pPr>
        <w:pStyle w:val="6"/>
        <w:spacing w:line="560" w:lineRule="exact"/>
        <w:ind w:left="959" w:firstLine="640"/>
        <w:jc w:val="both"/>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w:t>
      </w:r>
      <w:r>
        <w:rPr>
          <w:rFonts w:ascii="Times New Roman" w:hAnsi="Times New Roman" w:eastAsia="仿宋_GB2312" w:cs="Times New Roman"/>
          <w:color w:val="000000"/>
          <w:kern w:val="2"/>
        </w:rPr>
        <w:t>1）加快资金拨付。按照专项资金类型限定拨付期限，对尚未明确具体项目的专项资金，要求主管部门在收到文件后15个工作日内确定项目计划。</w:t>
      </w:r>
    </w:p>
    <w:p>
      <w:pPr>
        <w:pStyle w:val="6"/>
        <w:spacing w:line="560" w:lineRule="exact"/>
        <w:ind w:left="959" w:firstLine="640"/>
        <w:jc w:val="both"/>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w:t>
      </w:r>
      <w:r>
        <w:rPr>
          <w:rFonts w:ascii="Times New Roman" w:hAnsi="Times New Roman" w:eastAsia="仿宋_GB2312" w:cs="Times New Roman"/>
          <w:color w:val="000000"/>
          <w:kern w:val="2"/>
        </w:rPr>
        <w:t>2）加快督促项目工程的实施和验收，完善财务报账手续，防止项目资金滞留。</w:t>
      </w:r>
    </w:p>
    <w:p>
      <w:pPr>
        <w:pStyle w:val="6"/>
        <w:numPr>
          <w:ilvl w:val="0"/>
          <w:numId w:val="0"/>
        </w:numPr>
        <w:spacing w:line="560" w:lineRule="exact"/>
        <w:ind w:left="959" w:leftChars="0" w:firstLine="640" w:firstLineChars="0"/>
        <w:jc w:val="both"/>
        <w:rPr>
          <w:rFonts w:hint="eastAsia" w:ascii="黑体" w:hAnsi="黑体" w:eastAsia="黑体" w:cs="黑体"/>
          <w:b/>
          <w:bCs/>
          <w:color w:val="000000"/>
          <w:kern w:val="2"/>
        </w:rPr>
      </w:pPr>
      <w:r>
        <w:rPr>
          <w:rFonts w:hint="eastAsia" w:ascii="黑体" w:hAnsi="黑体" w:eastAsia="黑体" w:cs="黑体"/>
          <w:b/>
          <w:bCs/>
          <w:color w:val="000000"/>
          <w:kern w:val="2"/>
          <w:sz w:val="32"/>
          <w:szCs w:val="32"/>
          <w:lang w:val="en-US" w:eastAsia="zh-CN" w:bidi="ar-SA"/>
        </w:rPr>
        <w:t>六、</w:t>
      </w:r>
      <w:r>
        <w:rPr>
          <w:rFonts w:hint="eastAsia" w:ascii="黑体" w:hAnsi="黑体" w:eastAsia="黑体" w:cs="黑体"/>
          <w:b/>
          <w:bCs/>
          <w:color w:val="000000"/>
          <w:kern w:val="2"/>
        </w:rPr>
        <w:t>政府性基金预算支出情况</w:t>
      </w:r>
    </w:p>
    <w:p>
      <w:pPr>
        <w:pStyle w:val="6"/>
        <w:spacing w:line="560" w:lineRule="exact"/>
        <w:ind w:left="959" w:firstLine="640" w:firstLineChars="200"/>
        <w:jc w:val="both"/>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无</w:t>
      </w:r>
    </w:p>
    <w:p>
      <w:pPr>
        <w:pStyle w:val="6"/>
        <w:numPr>
          <w:ilvl w:val="0"/>
          <w:numId w:val="0"/>
        </w:numPr>
        <w:spacing w:line="560" w:lineRule="exact"/>
        <w:ind w:left="959" w:leftChars="0" w:firstLine="640" w:firstLineChars="0"/>
        <w:jc w:val="both"/>
        <w:rPr>
          <w:rFonts w:hint="eastAsia" w:ascii="黑体" w:hAnsi="黑体" w:eastAsia="黑体" w:cs="黑体"/>
          <w:b/>
          <w:bCs/>
          <w:color w:val="000000"/>
          <w:kern w:val="2"/>
        </w:rPr>
      </w:pPr>
      <w:r>
        <w:rPr>
          <w:rFonts w:hint="eastAsia" w:ascii="黑体" w:hAnsi="黑体" w:eastAsia="黑体" w:cs="黑体"/>
          <w:b/>
          <w:bCs/>
          <w:color w:val="000000"/>
          <w:kern w:val="2"/>
          <w:sz w:val="32"/>
          <w:szCs w:val="32"/>
          <w:lang w:val="en-US" w:eastAsia="zh-CN" w:bidi="ar-SA"/>
        </w:rPr>
        <w:t>七、</w:t>
      </w:r>
      <w:r>
        <w:rPr>
          <w:rFonts w:hint="eastAsia" w:ascii="黑体" w:hAnsi="黑体" w:eastAsia="黑体" w:cs="黑体"/>
          <w:b/>
          <w:bCs/>
          <w:color w:val="000000"/>
          <w:kern w:val="2"/>
        </w:rPr>
        <w:t>国有资本经营预算支出情况</w:t>
      </w:r>
    </w:p>
    <w:p>
      <w:pPr>
        <w:pStyle w:val="6"/>
        <w:spacing w:line="560" w:lineRule="exact"/>
        <w:ind w:left="959" w:firstLine="640" w:firstLineChars="200"/>
        <w:jc w:val="both"/>
        <w:rPr>
          <w:rFonts w:hint="eastAsia" w:ascii="黑体" w:hAnsi="黑体" w:eastAsia="黑体" w:cs="黑体"/>
          <w:color w:val="000000"/>
          <w:kern w:val="2"/>
        </w:rPr>
      </w:pPr>
      <w:r>
        <w:rPr>
          <w:rFonts w:hint="eastAsia" w:ascii="Times New Roman" w:hAnsi="Times New Roman" w:eastAsia="仿宋_GB2312" w:cs="Times New Roman"/>
          <w:color w:val="000000"/>
          <w:kern w:val="2"/>
        </w:rPr>
        <w:t>无</w:t>
      </w:r>
    </w:p>
    <w:p>
      <w:pPr>
        <w:pStyle w:val="6"/>
        <w:numPr>
          <w:ilvl w:val="0"/>
          <w:numId w:val="0"/>
        </w:numPr>
        <w:spacing w:line="560" w:lineRule="exact"/>
        <w:ind w:left="959" w:leftChars="0" w:firstLine="640" w:firstLineChars="0"/>
        <w:jc w:val="both"/>
        <w:rPr>
          <w:rFonts w:hint="eastAsia" w:ascii="黑体" w:hAnsi="黑体" w:eastAsia="黑体" w:cs="黑体"/>
          <w:b/>
          <w:bCs/>
          <w:color w:val="000000"/>
          <w:kern w:val="2"/>
        </w:rPr>
      </w:pPr>
      <w:r>
        <w:rPr>
          <w:rFonts w:hint="eastAsia" w:ascii="黑体" w:hAnsi="黑体" w:eastAsia="黑体" w:cs="黑体"/>
          <w:b/>
          <w:bCs/>
          <w:color w:val="000000"/>
          <w:kern w:val="2"/>
          <w:sz w:val="32"/>
          <w:szCs w:val="32"/>
          <w:lang w:val="en-US" w:eastAsia="zh-CN" w:bidi="ar-SA"/>
        </w:rPr>
        <w:t>八、</w:t>
      </w:r>
      <w:r>
        <w:rPr>
          <w:rFonts w:hint="eastAsia" w:ascii="黑体" w:hAnsi="黑体" w:eastAsia="黑体" w:cs="黑体"/>
          <w:b/>
          <w:bCs/>
          <w:color w:val="000000"/>
          <w:kern w:val="2"/>
        </w:rPr>
        <w:t>社会保险基金预算支出情况</w:t>
      </w:r>
    </w:p>
    <w:p>
      <w:pPr>
        <w:pStyle w:val="6"/>
        <w:spacing w:line="560" w:lineRule="exact"/>
        <w:ind w:left="959" w:firstLine="640" w:firstLineChars="200"/>
        <w:jc w:val="both"/>
        <w:rPr>
          <w:rFonts w:hint="eastAsia"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无</w:t>
      </w:r>
    </w:p>
    <w:p>
      <w:pPr>
        <w:pStyle w:val="6"/>
        <w:spacing w:line="560" w:lineRule="exact"/>
        <w:ind w:left="959" w:firstLine="643" w:firstLineChars="200"/>
        <w:jc w:val="both"/>
        <w:rPr>
          <w:rFonts w:hint="eastAsia" w:ascii="黑体" w:hAnsi="黑体" w:eastAsia="黑体" w:cs="黑体"/>
          <w:b/>
          <w:bCs/>
          <w:color w:val="000000"/>
          <w:kern w:val="2"/>
        </w:rPr>
      </w:pPr>
      <w:r>
        <w:rPr>
          <w:rFonts w:hint="eastAsia" w:ascii="黑体" w:hAnsi="黑体" w:eastAsia="黑体" w:cs="黑体"/>
          <w:b/>
          <w:bCs/>
          <w:color w:val="000000"/>
          <w:kern w:val="2"/>
          <w:lang w:val="en-US" w:eastAsia="zh-CN"/>
        </w:rPr>
        <w:t>九</w:t>
      </w:r>
      <w:r>
        <w:rPr>
          <w:rFonts w:hint="eastAsia" w:ascii="黑体" w:hAnsi="黑体" w:eastAsia="黑体" w:cs="黑体"/>
          <w:b/>
          <w:bCs/>
          <w:color w:val="000000"/>
          <w:kern w:val="2"/>
        </w:rPr>
        <w:t>、</w:t>
      </w:r>
      <w:r>
        <w:rPr>
          <w:rFonts w:hint="eastAsia" w:ascii="黑体" w:hAnsi="黑体" w:eastAsia="黑体" w:cs="黑体"/>
          <w:b/>
          <w:bCs/>
          <w:color w:val="000000"/>
          <w:kern w:val="2"/>
        </w:rPr>
        <w:t>其他需要说明的情况</w:t>
      </w:r>
    </w:p>
    <w:p>
      <w:pPr>
        <w:pStyle w:val="6"/>
        <w:spacing w:line="560" w:lineRule="exact"/>
        <w:ind w:left="959" w:firstLine="640"/>
        <w:jc w:val="both"/>
        <w:rPr>
          <w:rFonts w:ascii="Times New Roman" w:hAnsi="Times New Roman" w:eastAsia="仿宋_GB2312" w:cs="Times New Roman"/>
          <w:color w:val="000000"/>
          <w:kern w:val="2"/>
        </w:rPr>
        <w:sectPr>
          <w:footerReference r:id="rId4" w:type="default"/>
          <w:footerReference r:id="rId5" w:type="even"/>
          <w:pgSz w:w="11900" w:h="16840"/>
          <w:pgMar w:top="1420" w:right="840" w:bottom="1260" w:left="840" w:header="0" w:footer="1074" w:gutter="0"/>
          <w:pgNumType w:start="10"/>
          <w:cols w:space="720" w:num="1"/>
        </w:sectPr>
      </w:pPr>
      <w:r>
        <w:rPr>
          <w:rFonts w:hint="eastAsia" w:ascii="Times New Roman" w:hAnsi="Times New Roman" w:eastAsia="仿宋_GB2312" w:cs="Times New Roman"/>
          <w:color w:val="000000"/>
          <w:kern w:val="2"/>
        </w:rPr>
        <w:t>无</w:t>
      </w:r>
    </w:p>
    <w:p>
      <w:pPr>
        <w:pStyle w:val="6"/>
        <w:spacing w:line="560" w:lineRule="exact"/>
        <w:jc w:val="both"/>
        <w:rPr>
          <w:rFonts w:hint="eastAsia" w:ascii="黑体" w:hAnsi="黑体" w:eastAsia="黑体" w:cs="黑体"/>
          <w:color w:val="000000"/>
          <w:kern w:val="2"/>
        </w:rPr>
      </w:pPr>
    </w:p>
    <w:sectPr>
      <w:pgSz w:w="11900" w:h="16840"/>
      <w:pgMar w:top="1380" w:right="840" w:bottom="1260" w:left="840" w:header="0" w:footer="1074" w:gutter="0"/>
      <w:cols w:equalWidth="0" w:num="2">
        <w:col w:w="1880" w:space="153"/>
        <w:col w:w="818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gb2132">
    <w:altName w:val="仿宋"/>
    <w:panose1 w:val="00000000000000000000"/>
    <w:charset w:val="00"/>
    <w:family w:val="auto"/>
    <w:pitch w:val="default"/>
    <w:sig w:usb0="00000000" w:usb1="00000000" w:usb2="00000000" w:usb3="00000000" w:csb0="00000000"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rPr>
                          </w:pPr>
                          <w:r>
                            <w:rPr>
                              <w:rFonts w:ascii="Times New Roman" w:hAnsi="Times New Roman" w:cs="Times New Roman"/>
                              <w:sz w:val="28"/>
                              <w:szCs w:val="28"/>
                            </w:rPr>
                            <w:t>—</w:t>
                          </w: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t xml:space="preserve"> </w:t>
                          </w:r>
                          <w:r>
                            <w:rPr>
                              <w:rFonts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8"/>
                      <w:rPr>
                        <w:rFonts w:hint="eastAsia"/>
                      </w:rPr>
                    </w:pPr>
                    <w:r>
                      <w:rPr>
                        <w:rFonts w:ascii="Times New Roman" w:hAnsi="Times New Roman" w:cs="Times New Roman"/>
                        <w:sz w:val="28"/>
                        <w:szCs w:val="28"/>
                      </w:rPr>
                      <w:t>—</w:t>
                    </w: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t xml:space="preserve"> </w:t>
                    </w:r>
                    <w:r>
                      <w:rPr>
                        <w:rFonts w:ascii="Times New Roman" w:hAnsi="Times New Roman" w:cs="Times New Roman"/>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rPr>
                          </w:pPr>
                          <w:r>
                            <w:rPr>
                              <w:rFonts w:ascii="Times New Roman" w:hAnsi="Times New Roman" w:cs="Times New Roman"/>
                              <w:sz w:val="28"/>
                              <w:szCs w:val="28"/>
                            </w:rPr>
                            <w:t>—</w:t>
                          </w: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t xml:space="preserve"> </w:t>
                          </w:r>
                          <w:r>
                            <w:rPr>
                              <w:rFonts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rPr>
                        <w:rFonts w:hint="eastAsia"/>
                      </w:rPr>
                    </w:pPr>
                    <w:r>
                      <w:rPr>
                        <w:rFonts w:ascii="Times New Roman" w:hAnsi="Times New Roman" w:cs="Times New Roman"/>
                        <w:sz w:val="28"/>
                        <w:szCs w:val="28"/>
                      </w:rPr>
                      <w:t>—</w:t>
                    </w: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t xml:space="preserve"> </w:t>
                    </w:r>
                    <w:r>
                      <w:rPr>
                        <w:rFonts w:ascii="Times New Roman" w:hAnsi="Times New Roman" w:cs="Times New Roman"/>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rFonts w:hint="eastAsia"/>
        <w:sz w:val="20"/>
      </w:rPr>
    </w:pPr>
    <w:r>
      <mc:AlternateContent>
        <mc:Choice Requires="wps">
          <w:drawing>
            <wp:anchor distT="0" distB="0" distL="114300" distR="114300" simplePos="0" relativeHeight="251661312" behindDoc="1" locked="0" layoutInCell="1" allowOverlap="1">
              <wp:simplePos x="0" y="0"/>
              <wp:positionH relativeFrom="page">
                <wp:posOffset>1129665</wp:posOffset>
              </wp:positionH>
              <wp:positionV relativeFrom="page">
                <wp:posOffset>9866630</wp:posOffset>
              </wp:positionV>
              <wp:extent cx="411480" cy="223520"/>
              <wp:effectExtent l="0" t="0" r="0" b="0"/>
              <wp:wrapNone/>
              <wp:docPr id="83638460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11480" cy="223520"/>
                      </a:xfrm>
                      <a:prstGeom prst="rect">
                        <a:avLst/>
                      </a:prstGeom>
                      <a:noFill/>
                      <a:ln>
                        <a:noFill/>
                      </a:ln>
                    </wps:spPr>
                    <wps:txbx>
                      <w:txbxContent>
                        <w:p>
                          <w:pPr>
                            <w:spacing w:before="9"/>
                            <w:ind w:left="20"/>
                            <w:rPr>
                              <w:rFonts w:hint="eastAsia" w:ascii="Times New Roman"/>
                              <w:sz w:val="28"/>
                            </w:rPr>
                          </w:pPr>
                          <w:r>
                            <w:rPr>
                              <w:rFonts w:ascii="Times New Roman"/>
                              <w:sz w:val="28"/>
                            </w:rPr>
                            <w:t>-</w:t>
                          </w:r>
                          <w:r>
                            <w:rPr>
                              <w:rFonts w:ascii="Times New Roman"/>
                              <w:sz w:val="28"/>
                            </w:rPr>
                            <w:fldChar w:fldCharType="begin"/>
                          </w:r>
                          <w:r>
                            <w:rPr>
                              <w:rFonts w:ascii="Times New Roman"/>
                              <w:sz w:val="28"/>
                            </w:rPr>
                            <w:instrText xml:space="preserve"> PAGE </w:instrText>
                          </w:r>
                          <w:r>
                            <w:rPr>
                              <w:rFonts w:ascii="Times New Roman"/>
                              <w:sz w:val="28"/>
                            </w:rPr>
                            <w:fldChar w:fldCharType="separate"/>
                          </w:r>
                          <w:r>
                            <w:rPr>
                              <w:rFonts w:ascii="Times New Roman"/>
                              <w:sz w:val="28"/>
                            </w:rPr>
                            <w:t>10</w:t>
                          </w:r>
                          <w:r>
                            <w:rPr>
                              <w:rFonts w:ascii="Times New Roman"/>
                              <w:sz w:val="28"/>
                            </w:rPr>
                            <w:fldChar w:fldCharType="end"/>
                          </w:r>
                          <w:r>
                            <w:rPr>
                              <w:rFonts w:ascii="Times New Roman"/>
                              <w:spacing w:val="-10"/>
                              <w:sz w:val="28"/>
                            </w:rPr>
                            <w:t>-</w:t>
                          </w:r>
                        </w:p>
                      </w:txbxContent>
                    </wps:txbx>
                    <wps:bodyPr rot="0" vert="horz" wrap="square" lIns="0" tIns="0" rIns="0" bIns="0" anchor="t" anchorCtr="0" upright="1">
                      <a:noAutofit/>
                    </wps:bodyPr>
                  </wps:wsp>
                </a:graphicData>
              </a:graphic>
            </wp:anchor>
          </w:drawing>
        </mc:Choice>
        <mc:Fallback>
          <w:pict>
            <v:shape id="文本框 3" o:spid="_x0000_s1026" o:spt="202" type="#_x0000_t202" style="position:absolute;left:0pt;margin-left:88.95pt;margin-top:776.9pt;height:17.6pt;width:32.4pt;mso-position-horizontal-relative:page;mso-position-vertical-relative:page;z-index:-251655168;mso-width-relative:page;mso-height-relative:page;" filled="f" stroked="f" coordsize="21600,21600" o:gfxdata="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xmTUU2gAAAA0BAAAPAAAA&#10;AAAAAAEAIAAAACIAAABkcnMvZG93bnJldi54bWxQSwECFAAUAAAACACHTuJAw3T0AxMCAAAMBAAA&#10;DgAAAAAAAAABACAAAAApAQAAZHJzL2Uyb0RvYy54bWxQSwUGAAAAAAYABgBZAQAArgUAAAAA&#10;">
              <v:fill on="f" focussize="0,0"/>
              <v:stroke on="f"/>
              <v:imagedata o:title=""/>
              <o:lock v:ext="edit" aspectratio="f"/>
              <v:textbox inset="0mm,0mm,0mm,0mm">
                <w:txbxContent>
                  <w:p>
                    <w:pPr>
                      <w:spacing w:before="9"/>
                      <w:ind w:left="20"/>
                      <w:rPr>
                        <w:rFonts w:hint="eastAsia" w:ascii="Times New Roman"/>
                        <w:sz w:val="28"/>
                      </w:rPr>
                    </w:pPr>
                    <w:r>
                      <w:rPr>
                        <w:rFonts w:ascii="Times New Roman"/>
                        <w:sz w:val="28"/>
                      </w:rPr>
                      <w:t>-</w:t>
                    </w:r>
                    <w:r>
                      <w:rPr>
                        <w:rFonts w:ascii="Times New Roman"/>
                        <w:sz w:val="28"/>
                      </w:rPr>
                      <w:fldChar w:fldCharType="begin"/>
                    </w:r>
                    <w:r>
                      <w:rPr>
                        <w:rFonts w:ascii="Times New Roman"/>
                        <w:sz w:val="28"/>
                      </w:rPr>
                      <w:instrText xml:space="preserve"> PAGE </w:instrText>
                    </w:r>
                    <w:r>
                      <w:rPr>
                        <w:rFonts w:ascii="Times New Roman"/>
                        <w:sz w:val="28"/>
                      </w:rPr>
                      <w:fldChar w:fldCharType="separate"/>
                    </w:r>
                    <w:r>
                      <w:rPr>
                        <w:rFonts w:ascii="Times New Roman"/>
                        <w:sz w:val="28"/>
                      </w:rPr>
                      <w:t>10</w:t>
                    </w:r>
                    <w:r>
                      <w:rPr>
                        <w:rFonts w:ascii="Times New Roman"/>
                        <w:sz w:val="28"/>
                      </w:rPr>
                      <w:fldChar w:fldCharType="end"/>
                    </w:r>
                    <w:r>
                      <w:rPr>
                        <w:rFonts w:ascii="Times New Roman"/>
                        <w:spacing w:val="-10"/>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3DECAD"/>
    <w:multiLevelType w:val="singleLevel"/>
    <w:tmpl w:val="273DECAD"/>
    <w:lvl w:ilvl="0" w:tentative="0">
      <w:start w:val="2"/>
      <w:numFmt w:val="decimal"/>
      <w:suff w:val="nothing"/>
      <w:lvlText w:val="%1、"/>
      <w:lvlJc w:val="left"/>
    </w:lvl>
  </w:abstractNum>
  <w:abstractNum w:abstractNumId="1">
    <w:nsid w:val="467A68AE"/>
    <w:multiLevelType w:val="multilevel"/>
    <w:tmpl w:val="467A68AE"/>
    <w:lvl w:ilvl="0" w:tentative="0">
      <w:start w:val="1"/>
      <w:numFmt w:val="japaneseCounting"/>
      <w:lvlText w:val="%1、"/>
      <w:lvlJc w:val="left"/>
      <w:pPr>
        <w:ind w:left="2319" w:hanging="720"/>
      </w:pPr>
      <w:rPr>
        <w:rFonts w:hint="default"/>
      </w:rPr>
    </w:lvl>
    <w:lvl w:ilvl="1" w:tentative="0">
      <w:start w:val="1"/>
      <w:numFmt w:val="lowerLetter"/>
      <w:lvlText w:val="%2)"/>
      <w:lvlJc w:val="left"/>
      <w:pPr>
        <w:ind w:left="2479" w:hanging="440"/>
      </w:pPr>
    </w:lvl>
    <w:lvl w:ilvl="2" w:tentative="0">
      <w:start w:val="1"/>
      <w:numFmt w:val="lowerRoman"/>
      <w:lvlText w:val="%3."/>
      <w:lvlJc w:val="right"/>
      <w:pPr>
        <w:ind w:left="2919" w:hanging="440"/>
      </w:pPr>
    </w:lvl>
    <w:lvl w:ilvl="3" w:tentative="0">
      <w:start w:val="1"/>
      <w:numFmt w:val="decimal"/>
      <w:lvlText w:val="%4."/>
      <w:lvlJc w:val="left"/>
      <w:pPr>
        <w:ind w:left="3359" w:hanging="440"/>
      </w:pPr>
    </w:lvl>
    <w:lvl w:ilvl="4" w:tentative="0">
      <w:start w:val="1"/>
      <w:numFmt w:val="lowerLetter"/>
      <w:lvlText w:val="%5)"/>
      <w:lvlJc w:val="left"/>
      <w:pPr>
        <w:ind w:left="3799" w:hanging="440"/>
      </w:pPr>
    </w:lvl>
    <w:lvl w:ilvl="5" w:tentative="0">
      <w:start w:val="1"/>
      <w:numFmt w:val="lowerRoman"/>
      <w:lvlText w:val="%6."/>
      <w:lvlJc w:val="right"/>
      <w:pPr>
        <w:ind w:left="4239" w:hanging="440"/>
      </w:pPr>
    </w:lvl>
    <w:lvl w:ilvl="6" w:tentative="0">
      <w:start w:val="1"/>
      <w:numFmt w:val="decimal"/>
      <w:lvlText w:val="%7."/>
      <w:lvlJc w:val="left"/>
      <w:pPr>
        <w:ind w:left="4679" w:hanging="440"/>
      </w:pPr>
    </w:lvl>
    <w:lvl w:ilvl="7" w:tentative="0">
      <w:start w:val="1"/>
      <w:numFmt w:val="lowerLetter"/>
      <w:lvlText w:val="%8)"/>
      <w:lvlJc w:val="left"/>
      <w:pPr>
        <w:ind w:left="5119" w:hanging="440"/>
      </w:pPr>
    </w:lvl>
    <w:lvl w:ilvl="8" w:tentative="0">
      <w:start w:val="1"/>
      <w:numFmt w:val="lowerRoman"/>
      <w:lvlText w:val="%9."/>
      <w:lvlJc w:val="right"/>
      <w:pPr>
        <w:ind w:left="5559" w:hanging="440"/>
      </w:pPr>
    </w:lvl>
  </w:abstractNum>
  <w:abstractNum w:abstractNumId="2">
    <w:nsid w:val="4F6DAD7A"/>
    <w:multiLevelType w:val="singleLevel"/>
    <w:tmpl w:val="4F6DAD7A"/>
    <w:lvl w:ilvl="0" w:tentative="0">
      <w:start w:val="3"/>
      <w:numFmt w:val="chineseCounting"/>
      <w:suff w:val="nothing"/>
      <w:lvlText w:val="%1、"/>
      <w:lvlJc w:val="left"/>
      <w:rPr>
        <w:rFonts w:hint="eastAsia"/>
        <w:lang w:val="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4NjI5OTBmMDM1ODFlMDkzNDFlZTFiMWNhZWU5ZTMifQ=="/>
  </w:docVars>
  <w:rsids>
    <w:rsidRoot w:val="00692B8F"/>
    <w:rsid w:val="00125678"/>
    <w:rsid w:val="00135C83"/>
    <w:rsid w:val="001D5F6B"/>
    <w:rsid w:val="00216CAE"/>
    <w:rsid w:val="00340BF9"/>
    <w:rsid w:val="00383A1F"/>
    <w:rsid w:val="00384960"/>
    <w:rsid w:val="00387331"/>
    <w:rsid w:val="0040340D"/>
    <w:rsid w:val="00491324"/>
    <w:rsid w:val="004E0F41"/>
    <w:rsid w:val="004F532C"/>
    <w:rsid w:val="0053650C"/>
    <w:rsid w:val="00562748"/>
    <w:rsid w:val="00575CB3"/>
    <w:rsid w:val="005A29C5"/>
    <w:rsid w:val="00692B8F"/>
    <w:rsid w:val="00692C7C"/>
    <w:rsid w:val="00795AB7"/>
    <w:rsid w:val="00885D33"/>
    <w:rsid w:val="00886CD6"/>
    <w:rsid w:val="008A7698"/>
    <w:rsid w:val="00A246DA"/>
    <w:rsid w:val="00A37D87"/>
    <w:rsid w:val="00A567AD"/>
    <w:rsid w:val="00AB0BB9"/>
    <w:rsid w:val="00AB5E66"/>
    <w:rsid w:val="00B45334"/>
    <w:rsid w:val="00B52D74"/>
    <w:rsid w:val="00BA07FC"/>
    <w:rsid w:val="00BD270E"/>
    <w:rsid w:val="00CD7E74"/>
    <w:rsid w:val="00D07206"/>
    <w:rsid w:val="00E14823"/>
    <w:rsid w:val="00EA1B11"/>
    <w:rsid w:val="00EF0DFE"/>
    <w:rsid w:val="00F41397"/>
    <w:rsid w:val="00F56B29"/>
    <w:rsid w:val="00F56B6B"/>
    <w:rsid w:val="00F60BE5"/>
    <w:rsid w:val="00FB78B2"/>
    <w:rsid w:val="00FC1059"/>
    <w:rsid w:val="01306CA7"/>
    <w:rsid w:val="06112117"/>
    <w:rsid w:val="13386F77"/>
    <w:rsid w:val="186C0EE2"/>
    <w:rsid w:val="19DD7CC7"/>
    <w:rsid w:val="1BAC4A3A"/>
    <w:rsid w:val="1C5A7C23"/>
    <w:rsid w:val="25F14435"/>
    <w:rsid w:val="279F66FD"/>
    <w:rsid w:val="30C95960"/>
    <w:rsid w:val="3EEB264D"/>
    <w:rsid w:val="42845A0E"/>
    <w:rsid w:val="48C21A0D"/>
    <w:rsid w:val="49FF210A"/>
    <w:rsid w:val="4AE23A24"/>
    <w:rsid w:val="525663D4"/>
    <w:rsid w:val="5F61295A"/>
    <w:rsid w:val="646B658C"/>
    <w:rsid w:val="6F702A58"/>
    <w:rsid w:val="72CC176D"/>
    <w:rsid w:val="77441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en-US" w:eastAsia="zh-CN" w:bidi="ar-SA"/>
    </w:rPr>
  </w:style>
  <w:style w:type="paragraph" w:styleId="3">
    <w:name w:val="heading 1"/>
    <w:basedOn w:val="1"/>
    <w:next w:val="1"/>
    <w:qFormat/>
    <w:uiPriority w:val="1"/>
    <w:pPr>
      <w:spacing w:before="53"/>
      <w:ind w:left="30" w:right="27"/>
      <w:jc w:val="center"/>
      <w:outlineLvl w:val="0"/>
    </w:pPr>
    <w:rPr>
      <w:rFonts w:ascii="PMingLiU" w:hAnsi="PMingLiU" w:eastAsia="PMingLiU" w:cs="PMingLiU"/>
      <w:sz w:val="48"/>
      <w:szCs w:val="48"/>
    </w:rPr>
  </w:style>
  <w:style w:type="paragraph" w:styleId="4">
    <w:name w:val="heading 2"/>
    <w:basedOn w:val="1"/>
    <w:next w:val="1"/>
    <w:autoRedefine/>
    <w:qFormat/>
    <w:uiPriority w:val="1"/>
    <w:pPr>
      <w:spacing w:before="45"/>
      <w:ind w:left="30" w:right="28"/>
      <w:jc w:val="center"/>
      <w:outlineLvl w:val="1"/>
    </w:pPr>
    <w:rPr>
      <w:rFonts w:ascii="PMingLiU" w:hAnsi="PMingLiU" w:eastAsia="PMingLiU" w:cs="PMingLiU"/>
      <w:sz w:val="44"/>
      <w:szCs w:val="44"/>
    </w:rPr>
  </w:style>
  <w:style w:type="paragraph" w:styleId="5">
    <w:name w:val="heading 3"/>
    <w:basedOn w:val="1"/>
    <w:next w:val="1"/>
    <w:autoRedefine/>
    <w:qFormat/>
    <w:uiPriority w:val="1"/>
    <w:pPr>
      <w:ind w:left="30"/>
      <w:jc w:val="center"/>
      <w:outlineLvl w:val="2"/>
    </w:pPr>
    <w:rPr>
      <w:sz w:val="36"/>
      <w:szCs w:val="36"/>
    </w:rPr>
  </w:style>
  <w:style w:type="character" w:default="1" w:styleId="12">
    <w:name w:val="Default Paragraph Font"/>
    <w:semiHidden/>
    <w:unhideWhenUsed/>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6">
    <w:name w:val="Body Text"/>
    <w:basedOn w:val="1"/>
    <w:link w:val="17"/>
    <w:autoRedefine/>
    <w:qFormat/>
    <w:uiPriority w:val="1"/>
    <w:rPr>
      <w:sz w:val="32"/>
      <w:szCs w:val="32"/>
    </w:rPr>
  </w:style>
  <w:style w:type="paragraph" w:styleId="7">
    <w:name w:val="Body Text Indent"/>
    <w:basedOn w:val="1"/>
    <w:link w:val="21"/>
    <w:autoRedefine/>
    <w:qFormat/>
    <w:uiPriority w:val="0"/>
    <w:pPr>
      <w:spacing w:after="120"/>
      <w:ind w:left="420" w:leftChars="200"/>
    </w:pPr>
  </w:style>
  <w:style w:type="paragraph" w:styleId="8">
    <w:name w:val="footer"/>
    <w:basedOn w:val="1"/>
    <w:autoRedefine/>
    <w:qFormat/>
    <w:uiPriority w:val="0"/>
    <w:pPr>
      <w:tabs>
        <w:tab w:val="center" w:pos="4153"/>
        <w:tab w:val="right" w:pos="8306"/>
      </w:tabs>
      <w:snapToGrid w:val="0"/>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Body Text First Indent 2"/>
    <w:basedOn w:val="7"/>
    <w:link w:val="22"/>
    <w:autoRedefine/>
    <w:qFormat/>
    <w:uiPriority w:val="0"/>
    <w:pPr>
      <w:ind w:firstLine="420" w:firstLineChars="200"/>
    </w:pPr>
  </w:style>
  <w:style w:type="table" w:customStyle="1" w:styleId="13">
    <w:name w:val="Table Normal"/>
    <w:autoRedefine/>
    <w:semiHidden/>
    <w:unhideWhenUsed/>
    <w:qFormat/>
    <w:uiPriority w:val="2"/>
    <w:tblPr>
      <w:tblCellMar>
        <w:top w:w="0" w:type="dxa"/>
        <w:left w:w="0" w:type="dxa"/>
        <w:bottom w:w="0" w:type="dxa"/>
        <w:right w:w="0" w:type="dxa"/>
      </w:tblCellMar>
    </w:tblPr>
  </w:style>
  <w:style w:type="paragraph" w:styleId="14">
    <w:name w:val="List Paragraph"/>
    <w:basedOn w:val="1"/>
    <w:autoRedefine/>
    <w:qFormat/>
    <w:uiPriority w:val="1"/>
    <w:pPr>
      <w:spacing w:before="190"/>
      <w:ind w:left="1840" w:hanging="241"/>
    </w:pPr>
  </w:style>
  <w:style w:type="paragraph" w:customStyle="1" w:styleId="15">
    <w:name w:val="Table Paragraph"/>
    <w:basedOn w:val="1"/>
    <w:autoRedefine/>
    <w:qFormat/>
    <w:uiPriority w:val="1"/>
  </w:style>
  <w:style w:type="paragraph" w:customStyle="1" w:styleId="16">
    <w:name w:val="acbfdd8b-e11b-4d36-88ff-6049b138f862"/>
    <w:basedOn w:val="1"/>
    <w:link w:val="18"/>
    <w:autoRedefine/>
    <w:qFormat/>
    <w:uiPriority w:val="0"/>
    <w:pPr>
      <w:adjustRightInd w:val="0"/>
      <w:spacing w:line="288" w:lineRule="auto"/>
    </w:pPr>
    <w:rPr>
      <w:rFonts w:ascii="微软雅黑" w:hAnsi="微软雅黑" w:eastAsia="微软雅黑" w:cs="Times New Roman"/>
      <w:color w:val="000000"/>
      <w:kern w:val="2"/>
    </w:rPr>
  </w:style>
  <w:style w:type="character" w:customStyle="1" w:styleId="17">
    <w:name w:val="正文文本 字符"/>
    <w:basedOn w:val="12"/>
    <w:link w:val="6"/>
    <w:autoRedefine/>
    <w:qFormat/>
    <w:uiPriority w:val="1"/>
    <w:rPr>
      <w:rFonts w:ascii="宋体" w:hAnsi="宋体" w:eastAsia="宋体" w:cs="宋体"/>
      <w:sz w:val="32"/>
      <w:szCs w:val="32"/>
    </w:rPr>
  </w:style>
  <w:style w:type="character" w:customStyle="1" w:styleId="18">
    <w:name w:val="acbfdd8b-e11b-4d36-88ff-6049b138f862 字符"/>
    <w:basedOn w:val="17"/>
    <w:link w:val="16"/>
    <w:autoRedefine/>
    <w:qFormat/>
    <w:uiPriority w:val="0"/>
    <w:rPr>
      <w:rFonts w:ascii="微软雅黑" w:hAnsi="微软雅黑" w:eastAsia="微软雅黑" w:cs="Times New Roman"/>
      <w:color w:val="000000"/>
      <w:kern w:val="2"/>
      <w:sz w:val="22"/>
      <w:szCs w:val="22"/>
    </w:rPr>
  </w:style>
  <w:style w:type="paragraph" w:customStyle="1" w:styleId="19">
    <w:name w:val="be358f00-9758-446e-aec5-cde8345aeef3"/>
    <w:basedOn w:val="10"/>
    <w:link w:val="20"/>
    <w:autoRedefine/>
    <w:qFormat/>
    <w:uiPriority w:val="0"/>
    <w:pPr>
      <w:adjustRightInd w:val="0"/>
      <w:spacing w:after="0" w:line="288" w:lineRule="auto"/>
      <w:ind w:left="0" w:firstLine="440"/>
    </w:pPr>
    <w:rPr>
      <w:rFonts w:ascii="微软雅黑" w:hAnsi="微软雅黑" w:eastAsia="微软雅黑"/>
      <w:color w:val="000000"/>
      <w:kern w:val="2"/>
    </w:rPr>
  </w:style>
  <w:style w:type="character" w:customStyle="1" w:styleId="20">
    <w:name w:val="be358f00-9758-446e-aec5-cde8345aeef3 字符"/>
    <w:basedOn w:val="18"/>
    <w:link w:val="19"/>
    <w:autoRedefine/>
    <w:qFormat/>
    <w:uiPriority w:val="0"/>
    <w:rPr>
      <w:rFonts w:ascii="微软雅黑" w:hAnsi="微软雅黑" w:eastAsia="微软雅黑" w:cs="宋体"/>
      <w:color w:val="000000"/>
      <w:kern w:val="2"/>
      <w:sz w:val="22"/>
      <w:szCs w:val="22"/>
    </w:rPr>
  </w:style>
  <w:style w:type="character" w:customStyle="1" w:styleId="21">
    <w:name w:val="正文文本缩进 字符"/>
    <w:basedOn w:val="12"/>
    <w:link w:val="7"/>
    <w:autoRedefine/>
    <w:qFormat/>
    <w:uiPriority w:val="0"/>
    <w:rPr>
      <w:rFonts w:ascii="宋体" w:hAnsi="宋体" w:eastAsia="宋体" w:cs="宋体"/>
      <w:sz w:val="22"/>
      <w:szCs w:val="22"/>
    </w:rPr>
  </w:style>
  <w:style w:type="character" w:customStyle="1" w:styleId="22">
    <w:name w:val="正文文本首行缩进 2 字符"/>
    <w:basedOn w:val="21"/>
    <w:link w:val="10"/>
    <w:autoRedefine/>
    <w:qFormat/>
    <w:uiPriority w:val="0"/>
    <w:rPr>
      <w:rFonts w:ascii="宋体" w:hAnsi="宋体" w:eastAsia="宋体" w:cs="宋体"/>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781</Words>
  <Characters>821</Characters>
  <Lines>41</Lines>
  <Paragraphs>23</Paragraphs>
  <TotalTime>6</TotalTime>
  <ScaleCrop>false</ScaleCrop>
  <LinksUpToDate>false</LinksUpToDate>
  <CharactersWithSpaces>1579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2025-06-11T03:07:00Z</dcterms:created>
  <dc:creator>Administrator</dc:creator>
  <cp:lastModifiedBy>無</cp:lastModifiedBy>
  <cp:lastPrinted>2024-05-22T00:53:00Z</cp:lastPrinted>
  <dcterms:modified xsi:type="dcterms:W3CDTF">2025-06-17T08:56:09Z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y fmtid="{D5CDD505-2E9C-101B-9397-08002B2CF9AE}" pid="4" name="KSOProductBuildVer">
    <vt:lpwstr>2052-12.1.0.16250</vt:lpwstr>
  </property>
  <property fmtid="{D5CDD505-2E9C-101B-9397-08002B2CF9AE}" pid="5" name="ICV">
    <vt:lpwstr>8DA89EA9DDF34F86A8C0615BFEFF35D1_13</vt:lpwstr>
  </property>
  <property fmtid="{D5CDD505-2E9C-101B-9397-08002B2CF9AE}" pid="6" name="KSOTemplateDocerSaveRecord">
    <vt:lpwstr>eyJoZGlkIjoiMzEwNTM5NzYwMDRjMzkwZTVkZjY2ODkwMGIxNGU0OTUiLCJ1c2VySWQiOiI2OTA2NDAzMjYifQ==</vt:lpwstr>
  </property>
</Properties>
</file>