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D7F06">
      <w:pPr>
        <w:ind w:firstLine="2249" w:firstLineChars="700"/>
        <w:rPr>
          <w:rFonts w:hint="eastAsia" w:ascii="宋体" w:hAnsi="宋体"/>
          <w:b/>
          <w:color w:val="000000"/>
          <w:sz w:val="32"/>
          <w:szCs w:val="32"/>
        </w:rPr>
      </w:pPr>
    </w:p>
    <w:p w14:paraId="06224E45">
      <w:pPr>
        <w:ind w:firstLine="2249" w:firstLineChars="700"/>
        <w:rPr>
          <w:rFonts w:hint="eastAsia" w:ascii="宋体" w:hAnsi="宋体"/>
          <w:b/>
          <w:color w:val="000000"/>
          <w:sz w:val="32"/>
          <w:szCs w:val="32"/>
        </w:rPr>
      </w:pPr>
    </w:p>
    <w:p w14:paraId="28AFF14C">
      <w:pPr>
        <w:ind w:firstLine="2249" w:firstLineChars="700"/>
        <w:rPr>
          <w:rFonts w:hint="eastAsia" w:ascii="宋体" w:hAnsi="宋体"/>
          <w:b/>
          <w:color w:val="000000"/>
          <w:sz w:val="32"/>
          <w:szCs w:val="32"/>
        </w:rPr>
      </w:pPr>
    </w:p>
    <w:p w14:paraId="2F08D6E8">
      <w:pPr>
        <w:ind w:firstLine="2249" w:firstLineChars="700"/>
        <w:rPr>
          <w:rFonts w:hint="eastAsia" w:ascii="宋体" w:hAnsi="宋体"/>
          <w:b/>
          <w:color w:val="000000"/>
          <w:sz w:val="32"/>
          <w:szCs w:val="32"/>
        </w:rPr>
      </w:pPr>
    </w:p>
    <w:p w14:paraId="226EB2A5">
      <w:pPr>
        <w:ind w:firstLine="2249" w:firstLineChars="700"/>
        <w:rPr>
          <w:rFonts w:hint="eastAsia" w:ascii="方正仿宋_GBK" w:hAnsi="方正仿宋_GBK" w:eastAsia="方正仿宋_GBK" w:cs="方正仿宋_GBK"/>
          <w:b/>
          <w:color w:val="000000"/>
          <w:sz w:val="32"/>
          <w:szCs w:val="32"/>
          <w:lang w:eastAsia="zh-CN"/>
        </w:rPr>
      </w:pPr>
      <w:r>
        <w:rPr>
          <w:rFonts w:hint="eastAsia" w:ascii="方正仿宋_GBK" w:hAnsi="方正仿宋_GBK" w:eastAsia="方正仿宋_GBK" w:cs="方正仿宋_GBK"/>
          <w:b/>
          <w:color w:val="000000"/>
          <w:sz w:val="32"/>
          <w:szCs w:val="32"/>
        </w:rPr>
        <w:t>衡环石审</w:t>
      </w:r>
      <w:r>
        <w:rPr>
          <w:rFonts w:hint="eastAsia" w:ascii="方正仿宋_GBK" w:hAnsi="方正仿宋_GBK" w:eastAsia="方正仿宋_GBK" w:cs="方正仿宋_GBK"/>
          <w:b/>
          <w:color w:val="000000"/>
          <w:sz w:val="32"/>
          <w:szCs w:val="32"/>
          <w:lang w:eastAsia="zh-CN"/>
        </w:rPr>
        <w:t>〔2026〕4号</w:t>
      </w:r>
    </w:p>
    <w:p w14:paraId="420E2DE0">
      <w:pPr>
        <w:pStyle w:val="6"/>
        <w:ind w:left="0" w:leftChars="0" w:firstLine="0" w:firstLineChars="0"/>
        <w:rPr>
          <w:rFonts w:hint="eastAsia" w:ascii="宋体" w:hAnsi="宋体"/>
          <w:color w:val="FF0000"/>
          <w:sz w:val="28"/>
          <w:szCs w:val="28"/>
        </w:rPr>
      </w:pPr>
      <w:r>
        <w:rPr>
          <w:rFonts w:hint="eastAsia" w:ascii="宋体" w:hAnsi="宋体"/>
          <w:color w:val="FF0000"/>
          <w:sz w:val="28"/>
          <w:szCs w:val="28"/>
        </w:rPr>
        <w:t xml:space="preserve"> </w:t>
      </w:r>
    </w:p>
    <w:p w14:paraId="7A2EBAA6">
      <w:pPr>
        <w:keepNext w:val="0"/>
        <w:keepLines w:val="0"/>
        <w:pageBreakBefore w:val="0"/>
        <w:widowControl w:val="0"/>
        <w:kinsoku/>
        <w:wordWrap/>
        <w:overflowPunct/>
        <w:topLinePunct w:val="0"/>
        <w:autoSpaceDE/>
        <w:autoSpaceDN/>
        <w:bidi w:val="0"/>
        <w:adjustRightInd/>
        <w:snapToGrid/>
        <w:ind w:left="0" w:hanging="321" w:hangingChars="100"/>
        <w:textAlignment w:val="auto"/>
        <w:rPr>
          <w:rFonts w:hint="eastAsia" w:ascii="方正小标宋_GBK" w:hAnsi="方正小标宋_GBK" w:eastAsia="方正小标宋_GBK" w:cs="方正小标宋_GBK"/>
          <w:b/>
          <w:sz w:val="36"/>
          <w:szCs w:val="36"/>
        </w:rPr>
      </w:pPr>
      <w:r>
        <w:rPr>
          <w:rFonts w:hint="eastAsia" w:ascii="宋体" w:hAnsi="宋体"/>
          <w:b/>
          <w:bCs/>
          <w:sz w:val="32"/>
          <w:szCs w:val="32"/>
        </w:rPr>
        <w:t xml:space="preserve"> </w:t>
      </w:r>
      <w:r>
        <w:rPr>
          <w:rFonts w:hint="eastAsia" w:ascii="方正小标宋_GBK" w:hAnsi="方正小标宋_GBK" w:eastAsia="方正小标宋_GBK" w:cs="方正小标宋_GBK"/>
          <w:b/>
          <w:bCs/>
          <w:sz w:val="36"/>
          <w:szCs w:val="36"/>
        </w:rPr>
        <w:t>关于</w:t>
      </w:r>
      <w:r>
        <w:rPr>
          <w:rFonts w:hint="eastAsia" w:ascii="方正小标宋_GBK" w:hAnsi="方正小标宋_GBK" w:eastAsia="方正小标宋_GBK" w:cs="方正小标宋_GBK"/>
          <w:b/>
          <w:bCs/>
          <w:sz w:val="36"/>
          <w:szCs w:val="36"/>
          <w:u w:val="none"/>
          <w:lang w:eastAsia="zh-CN"/>
        </w:rPr>
        <w:t>湘潭－衡阳市天然气长输管线工程改造（衡阳末站搬迁）工程</w:t>
      </w:r>
      <w:r>
        <w:rPr>
          <w:rFonts w:hint="eastAsia" w:ascii="方正小标宋_GBK" w:hAnsi="方正小标宋_GBK" w:eastAsia="方正小标宋_GBK" w:cs="方正小标宋_GBK"/>
          <w:b/>
          <w:sz w:val="36"/>
          <w:szCs w:val="36"/>
        </w:rPr>
        <w:t>建设项目</w:t>
      </w:r>
      <w:r>
        <w:rPr>
          <w:rFonts w:hint="eastAsia" w:ascii="方正小标宋_GBK" w:hAnsi="方正小标宋_GBK" w:eastAsia="方正小标宋_GBK" w:cs="方正小标宋_GBK"/>
          <w:b/>
          <w:bCs/>
          <w:sz w:val="36"/>
          <w:szCs w:val="36"/>
        </w:rPr>
        <w:t>环境影响报告表的审批意见</w:t>
      </w:r>
    </w:p>
    <w:p w14:paraId="06079E35">
      <w:pPr>
        <w:jc w:val="center"/>
        <w:rPr>
          <w:rFonts w:hint="eastAsia" w:ascii="宋体" w:hAnsi="宋体"/>
          <w:color w:val="FF0000"/>
          <w:sz w:val="36"/>
          <w:szCs w:val="36"/>
        </w:rPr>
      </w:pPr>
      <w:r>
        <w:rPr>
          <w:rFonts w:hint="eastAsia" w:ascii="宋体" w:hAnsi="宋体"/>
          <w:color w:val="FF0000"/>
          <w:sz w:val="36"/>
          <w:szCs w:val="36"/>
        </w:rPr>
        <w:t xml:space="preserve"> </w:t>
      </w:r>
    </w:p>
    <w:p w14:paraId="4A78B872">
      <w:pPr>
        <w:keepNext w:val="0"/>
        <w:keepLines w:val="0"/>
        <w:pageBreakBefore w:val="0"/>
        <w:kinsoku/>
        <w:wordWrap/>
        <w:overflowPunct/>
        <w:topLinePunct/>
        <w:bidi w:val="0"/>
        <w:adjustRightInd/>
        <w:snapToGrid/>
        <w:spacing w:line="240" w:lineRule="auto"/>
        <w:jc w:val="both"/>
        <w:textAlignment w:val="auto"/>
        <w:rPr>
          <w:rFonts w:hint="eastAsia" w:ascii="华文仿宋" w:hAnsi="华文仿宋" w:eastAsia="华文仿宋" w:cs="华文仿宋"/>
          <w:bCs/>
          <w:sz w:val="32"/>
          <w:szCs w:val="32"/>
          <w:u w:val="none"/>
          <w:lang w:val="en-US" w:eastAsia="zh-CN"/>
        </w:rPr>
      </w:pPr>
      <w:r>
        <w:rPr>
          <w:rFonts w:hint="eastAsia" w:ascii="华文仿宋" w:hAnsi="华文仿宋" w:eastAsia="华文仿宋" w:cs="华文仿宋"/>
          <w:sz w:val="32"/>
          <w:szCs w:val="32"/>
          <w:u w:val="none"/>
          <w:lang w:val="en-US" w:eastAsia="zh-CN"/>
        </w:rPr>
        <w:t>中油金鸿天然气输送有限公司</w:t>
      </w:r>
      <w:r>
        <w:rPr>
          <w:rFonts w:hint="eastAsia" w:ascii="华文仿宋" w:hAnsi="华文仿宋" w:eastAsia="华文仿宋" w:cs="华文仿宋"/>
          <w:bCs/>
          <w:sz w:val="32"/>
          <w:szCs w:val="32"/>
          <w:u w:val="none"/>
          <w:lang w:val="en-US" w:eastAsia="zh-CN"/>
        </w:rPr>
        <w:t>：</w:t>
      </w:r>
    </w:p>
    <w:p w14:paraId="281FC559">
      <w:pPr>
        <w:keepNext w:val="0"/>
        <w:keepLines w:val="0"/>
        <w:pageBreakBefore w:val="0"/>
        <w:kinsoku/>
        <w:wordWrap/>
        <w:overflowPunct/>
        <w:topLinePunct w:val="0"/>
        <w:autoSpaceDE/>
        <w:autoSpaceDN/>
        <w:bidi w:val="0"/>
        <w:adjustRightInd/>
        <w:snapToGrid/>
        <w:ind w:firstLine="640" w:firstLineChars="200"/>
        <w:textAlignment w:val="auto"/>
        <w:rPr>
          <w:rFonts w:hint="eastAsia" w:eastAsia="宋体"/>
          <w:sz w:val="32"/>
          <w:szCs w:val="32"/>
          <w:lang w:eastAsia="zh-CN"/>
        </w:rPr>
      </w:pPr>
      <w:r>
        <w:rPr>
          <w:rFonts w:hint="eastAsia" w:ascii="华文仿宋" w:hAnsi="华文仿宋" w:eastAsia="华文仿宋" w:cs="华文仿宋"/>
          <w:kern w:val="0"/>
          <w:sz w:val="32"/>
          <w:szCs w:val="32"/>
          <w:lang w:val="en-US" w:eastAsia="zh-CN"/>
        </w:rPr>
        <w:t>贵公司委托</w:t>
      </w:r>
      <w:r>
        <w:rPr>
          <w:rFonts w:hint="eastAsia" w:ascii="华文仿宋" w:hAnsi="华文仿宋" w:eastAsia="华文仿宋" w:cs="华文仿宋"/>
          <w:color w:val="000000"/>
          <w:sz w:val="32"/>
          <w:szCs w:val="32"/>
          <w:highlight w:val="none"/>
          <w:u w:val="none"/>
          <w:lang w:val="en-US" w:eastAsia="zh-CN"/>
        </w:rPr>
        <w:t>湖南绿宏环保科技有限公司</w:t>
      </w:r>
      <w:r>
        <w:rPr>
          <w:rFonts w:hint="eastAsia" w:ascii="华文仿宋" w:hAnsi="华文仿宋" w:eastAsia="华文仿宋" w:cs="华文仿宋"/>
          <w:kern w:val="0"/>
          <w:sz w:val="32"/>
          <w:szCs w:val="32"/>
          <w:u w:val="none"/>
          <w:lang w:val="en-US" w:eastAsia="zh-CN"/>
        </w:rPr>
        <w:t>编制的《</w:t>
      </w:r>
      <w:r>
        <w:rPr>
          <w:rFonts w:hint="eastAsia" w:ascii="华文仿宋" w:hAnsi="华文仿宋" w:eastAsia="华文仿宋" w:cs="华文仿宋"/>
          <w:sz w:val="32"/>
          <w:szCs w:val="32"/>
          <w:u w:val="none"/>
          <w:lang w:val="en-US" w:eastAsia="zh-CN"/>
        </w:rPr>
        <w:t>湘潭－衡阳市天然气长输管线工程改造（衡阳末站搬迁）</w:t>
      </w:r>
      <w:r>
        <w:rPr>
          <w:rFonts w:hint="eastAsia" w:ascii="华文仿宋" w:hAnsi="华文仿宋" w:eastAsia="华文仿宋" w:cs="华文仿宋"/>
          <w:bCs/>
          <w:spacing w:val="-14"/>
          <w:sz w:val="32"/>
          <w:szCs w:val="32"/>
          <w:lang w:val="en-US" w:eastAsia="zh-CN"/>
        </w:rPr>
        <w:t>工程</w:t>
      </w:r>
      <w:r>
        <w:rPr>
          <w:rFonts w:hint="eastAsia" w:ascii="华文仿宋" w:hAnsi="华文仿宋" w:eastAsia="华文仿宋" w:cs="华文仿宋"/>
          <w:sz w:val="32"/>
          <w:szCs w:val="32"/>
          <w:lang w:val="en-US" w:eastAsia="zh-CN"/>
        </w:rPr>
        <w:t>建设项目环境影响报</w:t>
      </w:r>
      <w:r>
        <w:rPr>
          <w:rFonts w:hint="eastAsia" w:ascii="华文仿宋" w:hAnsi="华文仿宋" w:eastAsia="华文仿宋" w:cs="华文仿宋"/>
          <w:kern w:val="0"/>
          <w:sz w:val="32"/>
          <w:szCs w:val="32"/>
          <w:lang w:val="en-US" w:eastAsia="zh-CN"/>
        </w:rPr>
        <w:t>告表</w:t>
      </w:r>
      <w:r>
        <w:rPr>
          <w:rFonts w:hint="eastAsia" w:ascii="华文仿宋" w:hAnsi="华文仿宋" w:eastAsia="华文仿宋" w:cs="华文仿宋"/>
          <w:color w:val="333333"/>
          <w:sz w:val="32"/>
          <w:szCs w:val="32"/>
          <w:shd w:val="clear" w:color="auto" w:fill="FFFFFF"/>
          <w:lang w:val="en-US" w:eastAsia="zh-CN"/>
        </w:rPr>
        <w:t>（报批稿）》及相关专家评审意见等文件已收悉。</w:t>
      </w:r>
      <w:r>
        <w:rPr>
          <w:rFonts w:hint="eastAsia" w:ascii="华文仿宋" w:hAnsi="华文仿宋" w:eastAsia="华文仿宋" w:cs="华文仿宋"/>
          <w:sz w:val="32"/>
          <w:szCs w:val="32"/>
          <w:lang w:val="en-US" w:eastAsia="zh-CN"/>
        </w:rPr>
        <w:t>经现场勘查、专家评审意见及《报告表》所提各项环保措施综合分析，项目运营对周边环境的影响可控。我局原则同意《报告表》得出的结论及提出的建议，同意该项目执行《报告表》中确定的环境质量标准与污染物排放标准。本批复后的《报告表》可作为项目建设和环境管理的依据。</w:t>
      </w:r>
      <w:r>
        <w:rPr>
          <w:rFonts w:hint="eastAsia" w:ascii="华文仿宋" w:hAnsi="华文仿宋" w:eastAsia="华文仿宋" w:cs="华文仿宋"/>
          <w:color w:val="333333"/>
          <w:sz w:val="32"/>
          <w:szCs w:val="32"/>
          <w:shd w:val="clear" w:color="auto" w:fill="FFFFFF"/>
          <w:lang w:val="en-US" w:eastAsia="zh-CN"/>
        </w:rPr>
        <w:t>依据环境保护相关法律法规及项目所在地环境功能要求，经局务会研究，现批复如下：</w:t>
      </w:r>
    </w:p>
    <w:p w14:paraId="23BAA138">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方正楷体_GB2312" w:hAnsi="方正楷体_GB2312" w:eastAsia="方正楷体_GB2312" w:cs="方正楷体_GB2312"/>
          <w:color w:val="333333"/>
          <w:sz w:val="32"/>
          <w:szCs w:val="32"/>
          <w:shd w:val="clear" w:color="auto" w:fill="FFFFFF"/>
          <w:lang w:eastAsia="zh-CN"/>
        </w:rPr>
        <w:t>一、项目基本情况</w:t>
      </w:r>
      <w:r>
        <w:rPr>
          <w:rFonts w:hint="eastAsia" w:ascii="华文仿宋" w:hAnsi="华文仿宋" w:eastAsia="华文仿宋" w:cs="华文仿宋"/>
          <w:color w:val="333333"/>
          <w:sz w:val="32"/>
          <w:szCs w:val="32"/>
          <w:shd w:val="clear" w:color="auto" w:fill="FFFFFF"/>
          <w:lang w:eastAsia="zh-CN"/>
        </w:rPr>
        <w:t>。该项目位于</w:t>
      </w:r>
      <w:r>
        <w:rPr>
          <w:rFonts w:hint="eastAsia" w:ascii="华文仿宋" w:hAnsi="华文仿宋" w:eastAsia="华文仿宋" w:cs="华文仿宋"/>
          <w:color w:val="auto"/>
          <w:kern w:val="0"/>
          <w:sz w:val="32"/>
          <w:szCs w:val="32"/>
          <w:lang w:val="en-US" w:eastAsia="zh-CN"/>
        </w:rPr>
        <w:t>湖南省衡阳市石鼓区，其主要建设内容包括线路改造与站场改造两部分。项目总投资1515.69万元，其中环保投资23.4万元，占总投资的1.54%；施工工期3个月。</w:t>
      </w:r>
    </w:p>
    <w:p w14:paraId="5381A8FF">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ascii="华文仿宋" w:hAnsi="华文仿宋" w:eastAsia="华文仿宋" w:cs="华文仿宋"/>
          <w:color w:val="auto"/>
          <w:sz w:val="32"/>
          <w:szCs w:val="32"/>
          <w:lang w:val="en-US" w:eastAsia="zh-CN"/>
        </w:rPr>
      </w:pPr>
      <w:r>
        <w:rPr>
          <w:rFonts w:hint="eastAsia" w:ascii="华文仿宋" w:hAnsi="华文仿宋" w:eastAsia="华文仿宋" w:cs="华文仿宋"/>
          <w:color w:val="auto"/>
          <w:sz w:val="32"/>
          <w:szCs w:val="32"/>
          <w:lang w:val="en-US" w:eastAsia="zh-CN"/>
        </w:rPr>
        <w:t>（1）线路改造：改造段位于已建湘潭—衡阳市天然气长输管线7#阀室与衡阳门站之间，起点距7#阀室约12公里、距衡阳门站约6公里，终点为已建松木工业园调压站。改造段全线位于衡阳市石鼓区境内。具体改造内容如下：</w:t>
      </w:r>
    </w:p>
    <w:p w14:paraId="03515978">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华文仿宋" w:hAnsi="华文仿宋" w:eastAsia="华文仿宋" w:cs="华文仿宋"/>
          <w:color w:val="auto"/>
          <w:sz w:val="32"/>
          <w:szCs w:val="32"/>
          <w:lang w:val="en-US" w:eastAsia="zh-CN"/>
        </w:rPr>
        <w:t>①新建一路DN450管线，直接连接湘潭—衡阳市天然气长输管线主管线，用于将天然气引入松木工业园调压站。该管线作为松木工业园调压站的新进气管线，建设标准需满足通气要求。此段改造管线水平长度约523米，实际长度约529米；</w:t>
      </w:r>
    </w:p>
    <w:p w14:paraId="748EA4F5">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华文仿宋" w:hAnsi="华文仿宋" w:eastAsia="华文仿宋" w:cs="华文仿宋"/>
          <w:color w:val="auto"/>
          <w:sz w:val="32"/>
          <w:szCs w:val="32"/>
          <w:lang w:val="en-US" w:eastAsia="zh-CN"/>
        </w:rPr>
        <w:t>②另新建一段DN450管线，自已建松木工业园调压站原进气管线断开后的下游端接管，接入湘潭—衡阳市天然气长输管线。改造后，松木工业园调压站原进气管线将改为出气管线，接入湘潭—衡阳市天然气长输管线。此段改造管线水平长度约49米，实际长度约50米；</w:t>
      </w:r>
    </w:p>
    <w:p w14:paraId="4BDCA03D">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华文仿宋" w:hAnsi="华文仿宋" w:eastAsia="华文仿宋" w:cs="华文仿宋"/>
          <w:color w:val="auto"/>
          <w:sz w:val="32"/>
          <w:szCs w:val="32"/>
          <w:lang w:val="en-US" w:eastAsia="zh-CN"/>
        </w:rPr>
        <w:t>③废弃原松木工业园调压站进气管线连接湘潭—衡阳市天然气长输管线处的三通段及阀井。</w:t>
      </w:r>
    </w:p>
    <w:p w14:paraId="273929A1">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华文仿宋" w:hAnsi="华文仿宋" w:eastAsia="华文仿宋" w:cs="华文仿宋"/>
          <w:color w:val="auto"/>
          <w:sz w:val="32"/>
          <w:szCs w:val="32"/>
          <w:lang w:val="en-US" w:eastAsia="zh-CN"/>
        </w:rPr>
        <w:t>（2）站场改造：为满足湘潭—衡阳市天然气长输管线清管通球要求，对松木工业园调压站实施改造。站内将新增进出站截断阀组、清管收球装置、过滤分离、计量及调压等工艺设施，其中计量装置设置将符合《天然气流量的标准孔板计量方法》SY/T6143相关规定，流量计量系统不确定度不低于1.5级，调压装置可实现燃气压力稳定调控与安全保护功能，并预留调压后连接至已建DN450蒸湘北路次高压管道的接口。本次改造均在松木工业园调压站内进行，不涉及新增用地。</w:t>
      </w:r>
      <w:r>
        <w:rPr>
          <w:rFonts w:hint="eastAsia" w:ascii="华文仿宋" w:hAnsi="华文仿宋" w:eastAsia="华文仿宋" w:cs="华文仿宋"/>
          <w:sz w:val="32"/>
          <w:szCs w:val="32"/>
          <w:lang w:val="en-US" w:eastAsia="zh-CN"/>
        </w:rPr>
        <w:t>整体布局、功能设置等详细指标详见环境影响报告表。</w:t>
      </w:r>
    </w:p>
    <w:p w14:paraId="46DB2886">
      <w:pPr>
        <w:keepNext w:val="0"/>
        <w:keepLines w:val="0"/>
        <w:pageBreakBefore w:val="0"/>
        <w:kinsoku/>
        <w:wordWrap/>
        <w:overflowPunct/>
        <w:topLinePunct/>
        <w:bidi w:val="0"/>
        <w:adjustRightInd/>
        <w:snapToGrid/>
        <w:spacing w:line="240" w:lineRule="auto"/>
        <w:ind w:firstLine="600" w:firstLineChars="200"/>
        <w:jc w:val="both"/>
        <w:textAlignment w:val="auto"/>
        <w:rPr>
          <w:rFonts w:hint="eastAsia" w:ascii="方正楷体_GB2312" w:hAnsi="方正楷体_GB2312" w:eastAsia="方正楷体_GB2312" w:cs="方正楷体_GB2312"/>
          <w:sz w:val="32"/>
          <w:szCs w:val="32"/>
          <w:lang w:eastAsia="zh-CN"/>
        </w:rPr>
      </w:pPr>
      <w:r>
        <w:rPr>
          <w:rFonts w:hint="eastAsia" w:ascii="方正楷体_GB2312" w:hAnsi="方正楷体_GB2312" w:eastAsia="方正楷体_GB2312" w:cs="方正楷体_GB2312"/>
          <w:spacing w:val="-10"/>
          <w:kern w:val="0"/>
          <w:sz w:val="32"/>
          <w:szCs w:val="32"/>
          <w:lang w:eastAsia="zh-CN"/>
        </w:rPr>
        <w:t>二、项目在工程设计、建设及管理过程中，</w:t>
      </w:r>
      <w:r>
        <w:rPr>
          <w:rFonts w:hint="eastAsia" w:ascii="方正楷体_GB2312" w:hAnsi="方正楷体_GB2312" w:eastAsia="方正楷体_GB2312" w:cs="方正楷体_GB2312"/>
          <w:kern w:val="0"/>
          <w:sz w:val="32"/>
          <w:szCs w:val="32"/>
          <w:lang w:eastAsia="zh-CN"/>
        </w:rPr>
        <w:t>需重点关注以下事项：</w:t>
      </w:r>
    </w:p>
    <w:p w14:paraId="204AC6B6">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华文仿宋" w:hAnsi="华文仿宋" w:eastAsia="华文仿宋" w:cs="华文仿宋"/>
          <w:sz w:val="32"/>
          <w:szCs w:val="32"/>
          <w:lang w:eastAsia="zh-CN"/>
        </w:rPr>
        <w:t>（一）项目应合理进行功能布局，将环境影响报告表内容及批复要求全面纳入项目环保设计方案，并在建设过程中严格落实各项环保措施。</w:t>
      </w:r>
    </w:p>
    <w:p w14:paraId="731B91E2">
      <w:pPr>
        <w:keepNext w:val="0"/>
        <w:keepLines w:val="0"/>
        <w:pageBreakBefore w:val="0"/>
        <w:kinsoku/>
        <w:wordWrap/>
        <w:overflowPunct/>
        <w:topLinePunct/>
        <w:bidi w:val="0"/>
        <w:adjustRightInd/>
        <w:snapToGrid/>
        <w:spacing w:line="240" w:lineRule="auto"/>
        <w:ind w:firstLine="640" w:firstLineChars="200"/>
        <w:jc w:val="both"/>
        <w:textAlignment w:val="auto"/>
        <w:rPr>
          <w:rFonts w:hint="eastAsia" w:eastAsia="宋体"/>
          <w:sz w:val="32"/>
          <w:szCs w:val="32"/>
          <w:lang w:eastAsia="zh-CN"/>
        </w:rPr>
      </w:pPr>
      <w:r>
        <w:rPr>
          <w:rFonts w:hint="eastAsia" w:ascii="华文仿宋" w:hAnsi="华文仿宋" w:eastAsia="华文仿宋" w:cs="华文仿宋"/>
          <w:sz w:val="32"/>
          <w:szCs w:val="32"/>
          <w:lang w:eastAsia="zh-CN"/>
        </w:rPr>
        <w:t>（二）</w:t>
      </w:r>
      <w:r>
        <w:rPr>
          <w:rFonts w:hint="eastAsia" w:ascii="华文仿宋" w:hAnsi="华文仿宋" w:eastAsia="华文仿宋" w:cs="华文仿宋"/>
          <w:sz w:val="32"/>
          <w:szCs w:val="32"/>
          <w:shd w:val="clear" w:color="auto" w:fill="FFFFFF"/>
          <w:lang w:eastAsia="zh-CN"/>
        </w:rPr>
        <w:t>切实做好施工期污染防治工作，严格按照《中华人民共和国环境噪声污染防治法》规定，将施工作业时间合理安排在非夜间时段（夜间指晚二十二点至晨六点之间的期间），防止噪声扰民；规范操作流程，加强现场管理，采取洒水喷淋、清扫等措施以降低施工扬尘污染。严格执行环境影响报告表中提出的其他污染防治措施，确保污染物达标排放，并加强对环保设施的监督管理及定期维护：</w:t>
      </w:r>
    </w:p>
    <w:p w14:paraId="5EC8F943">
      <w:pPr>
        <w:keepNext w:val="0"/>
        <w:keepLines w:val="0"/>
        <w:pageBreakBefore w:val="0"/>
        <w:kinsoku/>
        <w:wordWrap/>
        <w:overflowPunct/>
        <w:topLinePunct/>
        <w:bidi w:val="0"/>
        <w:adjustRightInd/>
        <w:snapToGrid/>
        <w:spacing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sz w:val="32"/>
          <w:szCs w:val="32"/>
          <w:lang w:val="en-US" w:eastAsia="zh-CN"/>
        </w:rPr>
        <w:t>1.废水：</w:t>
      </w:r>
      <w:r>
        <w:rPr>
          <w:rFonts w:hint="eastAsia" w:ascii="华文仿宋" w:hAnsi="华文仿宋" w:eastAsia="华文仿宋" w:cs="华文仿宋"/>
          <w:sz w:val="32"/>
          <w:szCs w:val="32"/>
          <w:lang w:val="en-US" w:eastAsia="zh-CN"/>
        </w:rPr>
        <w:t>施工期应避开雨季作业，采取建设临时沉淀池等措施收集地表径流，防止水体污染。确保项目建设不对周围地表水产生明显不良影响。</w:t>
      </w:r>
      <w:r>
        <w:rPr>
          <w:rFonts w:hint="eastAsia" w:ascii="华文仿宋" w:hAnsi="华文仿宋" w:eastAsia="华文仿宋" w:cs="华文仿宋"/>
          <w:snapToGrid w:val="0"/>
          <w:color w:val="000000"/>
          <w:kern w:val="2"/>
          <w:sz w:val="32"/>
          <w:szCs w:val="32"/>
          <w:lang w:val="en-US" w:eastAsia="zh-CN" w:bidi="ar-SA"/>
        </w:rPr>
        <w:t>无法回用的废水应用于道路、场地抑尘，禁止排放至周边河流。</w:t>
      </w:r>
      <w:r>
        <w:rPr>
          <w:rFonts w:hint="eastAsia" w:ascii="华文仿宋" w:hAnsi="华文仿宋" w:eastAsia="华文仿宋" w:cs="华文仿宋"/>
          <w:color w:val="auto"/>
          <w:sz w:val="32"/>
          <w:szCs w:val="32"/>
          <w:lang w:val="en-US" w:eastAsia="zh-CN"/>
        </w:rPr>
        <w:t>管道营运期封闭运行，不产生工艺废水。</w:t>
      </w:r>
    </w:p>
    <w:p w14:paraId="28727FEF">
      <w:pPr>
        <w:keepNext w:val="0"/>
        <w:keepLines w:val="0"/>
        <w:pageBreakBefore w:val="0"/>
        <w:widowControl w:val="0"/>
        <w:numPr>
          <w:ilvl w:val="0"/>
          <w:numId w:val="0"/>
        </w:numPr>
        <w:kinsoku/>
        <w:wordWrap/>
        <w:overflowPunct/>
        <w:topLinePunct/>
        <w:autoSpaceDE w:val="0"/>
        <w:autoSpaceDN w:val="0"/>
        <w:bidi w:val="0"/>
        <w:adjustRightInd/>
        <w:snapToGrid/>
        <w:spacing w:line="240" w:lineRule="auto"/>
        <w:ind w:right="0" w:rightChars="0" w:firstLine="641" w:firstLineChars="200"/>
        <w:jc w:val="both"/>
        <w:textAlignment w:val="auto"/>
        <w:rPr>
          <w:rFonts w:hint="eastAsia" w:ascii="华文仿宋" w:hAnsi="华文仿宋" w:eastAsia="华文仿宋" w:cs="华文仿宋"/>
          <w:b w:val="0"/>
          <w:bCs w:val="0"/>
          <w:color w:val="auto"/>
          <w:kern w:val="0"/>
          <w:sz w:val="32"/>
          <w:szCs w:val="32"/>
          <w:lang w:val="en-US" w:eastAsia="zh-CN"/>
        </w:rPr>
      </w:pPr>
      <w:r>
        <w:rPr>
          <w:rFonts w:hint="eastAsia" w:ascii="华文仿宋" w:hAnsi="华文仿宋" w:eastAsia="华文仿宋" w:cs="华文仿宋"/>
          <w:b/>
          <w:bCs/>
          <w:sz w:val="32"/>
          <w:szCs w:val="32"/>
          <w:lang w:val="en-US" w:eastAsia="zh-CN"/>
        </w:rPr>
        <w:t>2.</w:t>
      </w:r>
      <w:r>
        <w:rPr>
          <w:rFonts w:hint="eastAsia" w:ascii="华文仿宋" w:hAnsi="华文仿宋" w:eastAsia="华文仿宋" w:cs="华文仿宋"/>
          <w:b/>
          <w:bCs/>
          <w:sz w:val="32"/>
          <w:szCs w:val="32"/>
        </w:rPr>
        <w:t>废气：</w:t>
      </w:r>
      <w:bookmarkStart w:id="0" w:name="_GoBack"/>
      <w:r>
        <w:rPr>
          <w:rFonts w:hint="eastAsia" w:ascii="华文仿宋" w:hAnsi="华文仿宋" w:eastAsia="华文仿宋" w:cs="华文仿宋"/>
          <w:b w:val="0"/>
          <w:bCs w:val="0"/>
          <w:sz w:val="32"/>
          <w:szCs w:val="32"/>
          <w:lang w:eastAsia="zh-CN"/>
        </w:rPr>
        <w:t>施工期间，施工单位需严格管控施工扬尘，严格遵守各级人民政府制定的建设施工管理制度。</w:t>
      </w:r>
    </w:p>
    <w:bookmarkEnd w:id="0"/>
    <w:p w14:paraId="7C7E76C5">
      <w:pPr>
        <w:keepNext w:val="0"/>
        <w:keepLines w:val="0"/>
        <w:pageBreakBefore w:val="0"/>
        <w:kinsoku/>
        <w:wordWrap/>
        <w:overflowPunct/>
        <w:topLinePunct/>
        <w:bidi w:val="0"/>
        <w:adjustRightInd/>
        <w:snapToGrid/>
        <w:spacing w:line="240" w:lineRule="auto"/>
        <w:ind w:firstLine="641" w:firstLineChars="200"/>
        <w:jc w:val="both"/>
        <w:textAlignment w:val="auto"/>
        <w:rPr>
          <w:rFonts w:hint="eastAsia" w:ascii="华文仿宋" w:hAnsi="华文仿宋" w:eastAsia="华文仿宋" w:cs="华文仿宋"/>
          <w:color w:val="auto"/>
          <w:sz w:val="32"/>
          <w:szCs w:val="32"/>
          <w:u w:val="none"/>
          <w:lang w:val="en-US" w:eastAsia="zh-CN"/>
        </w:rPr>
      </w:pPr>
      <w:r>
        <w:rPr>
          <w:rFonts w:hint="eastAsia" w:ascii="华文仿宋" w:hAnsi="华文仿宋" w:eastAsia="华文仿宋" w:cs="华文仿宋"/>
          <w:b/>
          <w:bCs/>
          <w:sz w:val="32"/>
          <w:szCs w:val="32"/>
          <w:lang w:val="en-US" w:eastAsia="zh-CN"/>
        </w:rPr>
        <w:t>3.噪声：</w:t>
      </w:r>
      <w:r>
        <w:rPr>
          <w:rFonts w:hint="eastAsia" w:ascii="华文仿宋" w:hAnsi="华文仿宋" w:eastAsia="华文仿宋" w:cs="华文仿宋"/>
          <w:color w:val="auto"/>
          <w:sz w:val="32"/>
          <w:szCs w:val="32"/>
          <w:highlight w:val="none"/>
          <w:lang w:val="en-US" w:eastAsia="zh-CN"/>
        </w:rPr>
        <w:t>①</w:t>
      </w:r>
      <w:r>
        <w:rPr>
          <w:rFonts w:hint="eastAsia" w:ascii="华文仿宋" w:hAnsi="华文仿宋" w:eastAsia="华文仿宋" w:cs="华文仿宋"/>
          <w:color w:val="auto"/>
          <w:sz w:val="32"/>
          <w:szCs w:val="32"/>
          <w:u w:val="none"/>
          <w:lang w:val="en-US" w:eastAsia="zh-CN"/>
        </w:rPr>
        <w:t>合理设计并控制站内管线流速。</w:t>
      </w:r>
      <w:r>
        <w:rPr>
          <w:rFonts w:hint="eastAsia" w:ascii="华文仿宋" w:hAnsi="华文仿宋" w:eastAsia="华文仿宋" w:cs="华文仿宋"/>
          <w:color w:val="auto"/>
          <w:sz w:val="32"/>
          <w:szCs w:val="32"/>
          <w:highlight w:val="none"/>
          <w:lang w:val="en-US" w:eastAsia="zh-CN"/>
        </w:rPr>
        <w:t>②</w:t>
      </w:r>
      <w:r>
        <w:rPr>
          <w:rFonts w:hint="eastAsia" w:ascii="华文仿宋" w:hAnsi="华文仿宋" w:eastAsia="华文仿宋" w:cs="华文仿宋"/>
          <w:color w:val="auto"/>
          <w:sz w:val="32"/>
          <w:szCs w:val="32"/>
          <w:u w:val="none"/>
          <w:lang w:val="en-US" w:eastAsia="zh-CN"/>
        </w:rPr>
        <w:t>优先选用低噪声设备，对主要噪声设备采取隔声、基础减振等措施。</w:t>
      </w:r>
      <w:r>
        <w:rPr>
          <w:rFonts w:hint="eastAsia" w:ascii="华文仿宋" w:hAnsi="华文仿宋" w:eastAsia="华文仿宋" w:cs="华文仿宋"/>
          <w:color w:val="auto"/>
          <w:sz w:val="32"/>
          <w:szCs w:val="32"/>
          <w:highlight w:val="none"/>
          <w:lang w:val="en-US" w:eastAsia="zh-CN"/>
        </w:rPr>
        <w:t>③</w:t>
      </w:r>
      <w:r>
        <w:rPr>
          <w:rFonts w:hint="eastAsia" w:ascii="华文仿宋" w:hAnsi="华文仿宋" w:eastAsia="华文仿宋" w:cs="华文仿宋"/>
          <w:color w:val="auto"/>
          <w:sz w:val="32"/>
          <w:szCs w:val="32"/>
          <w:u w:val="none"/>
          <w:lang w:val="en-US" w:eastAsia="zh-CN"/>
        </w:rPr>
        <w:t>定期对生产设备进行维修保养，确保设备处于良好运行状态，以尽量减少对周围环境的影响。</w:t>
      </w:r>
      <w:r>
        <w:rPr>
          <w:rFonts w:hint="eastAsia" w:ascii="华文仿宋" w:hAnsi="华文仿宋" w:eastAsia="华文仿宋" w:cs="华文仿宋"/>
          <w:color w:val="auto"/>
          <w:sz w:val="32"/>
          <w:szCs w:val="32"/>
          <w:highlight w:val="none"/>
          <w:lang w:val="en-US" w:eastAsia="zh-CN"/>
        </w:rPr>
        <w:t>④</w:t>
      </w:r>
      <w:r>
        <w:rPr>
          <w:rFonts w:hint="eastAsia" w:ascii="华文仿宋" w:hAnsi="华文仿宋" w:eastAsia="华文仿宋" w:cs="华文仿宋"/>
          <w:color w:val="auto"/>
          <w:sz w:val="32"/>
          <w:szCs w:val="32"/>
          <w:u w:val="none"/>
          <w:lang w:val="en-US" w:eastAsia="zh-CN"/>
        </w:rPr>
        <w:t>非正常工况噪声防控具有突然性且影响较大，除异常超压情况外，检修防控前应及时告知周围居民，并做好沟通工作。</w:t>
      </w:r>
    </w:p>
    <w:p w14:paraId="1BBBA413">
      <w:pPr>
        <w:keepNext w:val="0"/>
        <w:keepLines w:val="0"/>
        <w:pageBreakBefore w:val="0"/>
        <w:kinsoku/>
        <w:wordWrap/>
        <w:overflowPunct/>
        <w:topLinePunct/>
        <w:bidi w:val="0"/>
        <w:adjustRightInd/>
        <w:snapToGrid/>
        <w:spacing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sz w:val="32"/>
          <w:szCs w:val="32"/>
          <w:lang w:val="en-US" w:eastAsia="zh-CN"/>
        </w:rPr>
        <w:t>4.固体废物：</w:t>
      </w:r>
      <w:r>
        <w:rPr>
          <w:rFonts w:hint="eastAsia" w:ascii="华文仿宋" w:hAnsi="华文仿宋" w:eastAsia="华文仿宋" w:cs="华文仿宋"/>
          <w:color w:val="auto"/>
          <w:sz w:val="32"/>
          <w:szCs w:val="32"/>
          <w:highlight w:val="none"/>
          <w:lang w:val="en-US" w:eastAsia="zh-CN"/>
        </w:rPr>
        <w:t>拟建项目施工期产生的固体废物主要包括工程弃土、弃渣、生活垃圾、废弃泥浆、施工废料及清管废渣等。①工程弃土、弃渣：管道工程区土石方来源于管沟开挖，工程管道全线采用埋地敷设方式。管道敷设完毕后，及时回填开挖土石方及表土，剩余土石方由当地渣土部门统一处理。②生活垃圾：施工人员食宿依托周边农户，产生的生活垃圾经农户现有设施收集后，由当地环卫部门处置。③废弃泥浆：</w:t>
      </w:r>
      <w:r>
        <w:rPr>
          <w:rFonts w:hint="eastAsia" w:ascii="华文仿宋" w:hAnsi="华文仿宋" w:eastAsia="华文仿宋" w:cs="华文仿宋"/>
          <w:color w:val="auto"/>
          <w:sz w:val="32"/>
          <w:szCs w:val="32"/>
          <w:highlight w:val="none"/>
          <w:u w:val="none"/>
          <w:lang w:val="en-US" w:eastAsia="zh-CN"/>
        </w:rPr>
        <w:t>拟建项目废弃泥浆来自定向钻施工。该施工过程中所用泥浆主要用于减少顶进过程管壁与土体间的摩擦力，并填充流失土体，以减少土体变形、沉降及隔水。施工结束后产生的剩余废弃泥浆，应交付具备处置资质的单位抽运处置，或运至环保部门指定地点进行规范掩埋处理，掩埋前需获得环保部门书面认可。</w:t>
      </w:r>
      <w:r>
        <w:rPr>
          <w:rFonts w:hint="eastAsia" w:ascii="华文仿宋" w:hAnsi="华文仿宋" w:eastAsia="华文仿宋" w:cs="华文仿宋"/>
          <w:color w:val="auto"/>
          <w:sz w:val="32"/>
          <w:szCs w:val="32"/>
          <w:highlight w:val="none"/>
          <w:lang w:val="en-US" w:eastAsia="zh-CN"/>
        </w:rPr>
        <w:t>④施工废料：施工废料主要包括焊接作业产生的废焊条和焊渣（属一般固体废物），以及施工过程中产生的废包装材料等。施工废料分类收集后交由具备回收资质的相关单位进行回收利用。⑤清管废渣：</w:t>
      </w:r>
      <w:r>
        <w:rPr>
          <w:rFonts w:hint="eastAsia" w:ascii="华文仿宋" w:hAnsi="华文仿宋" w:eastAsia="华文仿宋" w:cs="华文仿宋"/>
          <w:color w:val="auto"/>
          <w:sz w:val="32"/>
          <w:szCs w:val="32"/>
          <w:lang w:val="en-US" w:eastAsia="zh-CN"/>
        </w:rPr>
        <w:t>主要为少量灰尘、铁锈及杂质等，需及时清运至环卫部门指定地点集中处置</w:t>
      </w:r>
      <w:r>
        <w:rPr>
          <w:rFonts w:hint="eastAsia" w:ascii="华文仿宋" w:hAnsi="华文仿宋" w:eastAsia="华文仿宋" w:cs="华文仿宋"/>
          <w:color w:val="auto"/>
          <w:sz w:val="32"/>
          <w:szCs w:val="32"/>
          <w:highlight w:val="none"/>
          <w:lang w:val="en-US" w:eastAsia="zh-CN"/>
        </w:rPr>
        <w:t>。</w:t>
      </w:r>
    </w:p>
    <w:p w14:paraId="0EC98564">
      <w:pPr>
        <w:pStyle w:val="3"/>
        <w:keepNext w:val="0"/>
        <w:keepLines w:val="0"/>
        <w:pageBreakBefore w:val="0"/>
        <w:kinsoku/>
        <w:wordWrap/>
        <w:overflowPunct/>
        <w:topLinePunct/>
        <w:bidi w:val="0"/>
        <w:adjustRightInd/>
        <w:snapToGrid/>
        <w:spacing w:line="240" w:lineRule="auto"/>
        <w:ind w:left="0" w:leftChars="0" w:firstLine="641" w:firstLineChars="200"/>
        <w:jc w:val="both"/>
        <w:textAlignment w:val="auto"/>
        <w:rPr>
          <w:rFonts w:hint="eastAsia" w:ascii="华文仿宋" w:hAnsi="华文仿宋" w:eastAsia="华文仿宋" w:cs="华文仿宋"/>
          <w:b/>
          <w:bCs/>
          <w:color w:val="auto"/>
          <w:sz w:val="32"/>
          <w:szCs w:val="32"/>
          <w:highlight w:val="none"/>
          <w:u w:val="none"/>
          <w:lang w:val="en-US" w:eastAsia="zh-CN"/>
        </w:rPr>
      </w:pPr>
      <w:r>
        <w:rPr>
          <w:rFonts w:hint="eastAsia" w:ascii="华文仿宋" w:hAnsi="华文仿宋" w:eastAsia="华文仿宋" w:cs="华文仿宋"/>
          <w:b/>
          <w:bCs/>
          <w:color w:val="auto"/>
          <w:sz w:val="32"/>
          <w:szCs w:val="32"/>
          <w:highlight w:val="none"/>
          <w:u w:val="none"/>
          <w:lang w:val="en-US" w:eastAsia="zh-CN"/>
        </w:rPr>
        <w:t>（三）运营期污染防治措施：</w:t>
      </w:r>
    </w:p>
    <w:p w14:paraId="5C70E4E8">
      <w:pPr>
        <w:keepNext w:val="0"/>
        <w:keepLines w:val="0"/>
        <w:pageBreakBefore w:val="0"/>
        <w:kinsoku/>
        <w:wordWrap/>
        <w:overflowPunct/>
        <w:topLinePunct/>
        <w:bidi w:val="0"/>
        <w:adjustRightInd/>
        <w:snapToGrid/>
        <w:spacing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color w:val="auto"/>
          <w:sz w:val="32"/>
          <w:szCs w:val="32"/>
          <w:highlight w:val="none"/>
          <w:u w:val="none"/>
          <w:lang w:val="en-US" w:eastAsia="zh-CN"/>
        </w:rPr>
        <w:t>1.废水污染防治。</w:t>
      </w:r>
      <w:r>
        <w:rPr>
          <w:rFonts w:hint="eastAsia" w:ascii="华文仿宋" w:hAnsi="华文仿宋" w:eastAsia="华文仿宋" w:cs="华文仿宋"/>
          <w:color w:val="auto"/>
          <w:sz w:val="32"/>
          <w:szCs w:val="32"/>
          <w:u w:val="none"/>
          <w:lang w:val="en-US" w:eastAsia="zh-CN"/>
        </w:rPr>
        <w:t>运营期不新增员工，无新增生活用水。因此，项目营运期无新增废水产生。</w:t>
      </w:r>
    </w:p>
    <w:p w14:paraId="40F4282F">
      <w:pPr>
        <w:pStyle w:val="3"/>
        <w:keepNext w:val="0"/>
        <w:keepLines w:val="0"/>
        <w:pageBreakBefore w:val="0"/>
        <w:kinsoku/>
        <w:wordWrap/>
        <w:overflowPunct/>
        <w:topLinePunct/>
        <w:bidi w:val="0"/>
        <w:adjustRightInd/>
        <w:snapToGrid/>
        <w:spacing w:line="240" w:lineRule="auto"/>
        <w:ind w:left="0" w:leftChars="0"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color w:val="auto"/>
          <w:sz w:val="32"/>
          <w:szCs w:val="32"/>
          <w:highlight w:val="none"/>
          <w:u w:val="none"/>
          <w:lang w:val="en-US" w:eastAsia="zh-CN"/>
        </w:rPr>
        <w:t>2.噪声污染防治。</w:t>
      </w:r>
      <w:r>
        <w:rPr>
          <w:rFonts w:hint="eastAsia" w:ascii="华文仿宋" w:hAnsi="华文仿宋" w:eastAsia="华文仿宋" w:cs="华文仿宋"/>
          <w:color w:val="auto"/>
          <w:sz w:val="32"/>
          <w:szCs w:val="32"/>
          <w:highlight w:val="none"/>
          <w:u w:val="none"/>
          <w:lang w:val="en-US" w:eastAsia="zh-CN"/>
        </w:rPr>
        <w:t>项目噪声源强主要集中于调压站工艺装置区。为减轻噪声影响，项目采取以下主要防治措施：①平面布置时进行合理布局，参考流体力学原理优化管道路径，通过减少配气站工艺管线的弯头、三通等管件，控制气流速度、避免气流对冲，从设计源头降低站内噪声；②选用高效低噪声的分离器及调压设备，也可借鉴胜利石油局配气站的经验，在节流降压阀后端加装高频阻性片式消声器，进一步提升降噪效果。</w:t>
      </w:r>
    </w:p>
    <w:p w14:paraId="689C7CB2">
      <w:pPr>
        <w:keepNext w:val="0"/>
        <w:keepLines w:val="0"/>
        <w:pageBreakBefore w:val="0"/>
        <w:kinsoku/>
        <w:wordWrap/>
        <w:overflowPunct/>
        <w:topLinePunct/>
        <w:bidi w:val="0"/>
        <w:adjustRightInd/>
        <w:snapToGrid/>
        <w:spacing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sz w:val="32"/>
          <w:szCs w:val="32"/>
          <w:lang w:val="en-US" w:eastAsia="zh-CN"/>
        </w:rPr>
        <w:t>3.固体废物污染防治</w:t>
      </w:r>
      <w:r>
        <w:rPr>
          <w:rFonts w:hint="eastAsia" w:ascii="华文仿宋" w:hAnsi="华文仿宋" w:eastAsia="华文仿宋" w:cs="华文仿宋"/>
          <w:b/>
          <w:bCs/>
          <w:color w:val="auto"/>
          <w:sz w:val="32"/>
          <w:szCs w:val="32"/>
          <w:highlight w:val="none"/>
          <w:lang w:val="en-US" w:eastAsia="zh-CN"/>
        </w:rPr>
        <w:t>：</w:t>
      </w:r>
      <w:r>
        <w:rPr>
          <w:rFonts w:hint="eastAsia" w:ascii="华文仿宋" w:hAnsi="华文仿宋" w:eastAsia="华文仿宋" w:cs="华文仿宋"/>
          <w:color w:val="auto"/>
          <w:sz w:val="32"/>
          <w:szCs w:val="32"/>
          <w:lang w:val="en-US" w:eastAsia="zh-CN"/>
        </w:rPr>
        <w:t>项目营运期固体废物主要为废滤芯。废滤芯</w:t>
      </w:r>
      <w:r>
        <w:rPr>
          <w:rFonts w:hint="eastAsia" w:ascii="华文仿宋" w:hAnsi="华文仿宋" w:eastAsia="华文仿宋" w:cs="华文仿宋"/>
          <w:sz w:val="32"/>
          <w:szCs w:val="32"/>
          <w:lang w:val="en-US" w:eastAsia="zh-CN"/>
        </w:rPr>
        <w:t>应按照分类收集和综合利用原则，</w:t>
      </w:r>
      <w:r>
        <w:rPr>
          <w:rFonts w:hint="eastAsia" w:ascii="华文仿宋" w:hAnsi="华文仿宋" w:eastAsia="华文仿宋" w:cs="华文仿宋"/>
          <w:color w:val="auto"/>
          <w:sz w:val="32"/>
          <w:szCs w:val="32"/>
          <w:lang w:val="en-US" w:eastAsia="zh-CN"/>
        </w:rPr>
        <w:t>由厂家回收利用</w:t>
      </w:r>
      <w:r>
        <w:rPr>
          <w:rFonts w:hint="eastAsia" w:ascii="华文仿宋" w:hAnsi="华文仿宋" w:eastAsia="华文仿宋" w:cs="华文仿宋"/>
          <w:sz w:val="32"/>
          <w:szCs w:val="32"/>
          <w:lang w:val="en-US" w:eastAsia="zh-CN"/>
        </w:rPr>
        <w:t>或委托具备相应资质的单位处理处置</w:t>
      </w:r>
      <w:r>
        <w:rPr>
          <w:rFonts w:hint="eastAsia" w:ascii="华文仿宋" w:hAnsi="华文仿宋" w:eastAsia="华文仿宋" w:cs="华文仿宋"/>
          <w:color w:val="auto"/>
          <w:sz w:val="32"/>
          <w:szCs w:val="32"/>
          <w:lang w:val="en-US" w:eastAsia="zh-CN"/>
        </w:rPr>
        <w:t>。需严格按照相关规范妥善处理各类固体废物，防止二次污染。</w:t>
      </w:r>
      <w:r>
        <w:rPr>
          <w:rFonts w:hint="eastAsia" w:ascii="华文仿宋" w:hAnsi="华文仿宋" w:eastAsia="华文仿宋" w:cs="华文仿宋"/>
          <w:sz w:val="32"/>
          <w:szCs w:val="32"/>
          <w:lang w:val="en-US" w:eastAsia="zh-CN"/>
        </w:rPr>
        <w:t>本项目不涉及危险废物。</w:t>
      </w:r>
    </w:p>
    <w:p w14:paraId="4A3C452E">
      <w:pPr>
        <w:pStyle w:val="5"/>
        <w:keepNext w:val="0"/>
        <w:keepLines w:val="0"/>
        <w:pageBreakBefore w:val="0"/>
        <w:kinsoku/>
        <w:wordWrap/>
        <w:overflowPunct/>
        <w:topLinePunct/>
        <w:bidi w:val="0"/>
        <w:adjustRightInd/>
        <w:snapToGrid/>
        <w:spacing w:before="120" w:beforeAutospacing="0" w:after="120" w:afterAutospacing="0"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sz w:val="32"/>
          <w:szCs w:val="32"/>
          <w:lang w:eastAsia="zh-CN"/>
        </w:rPr>
        <w:t>三、</w:t>
      </w:r>
      <w:r>
        <w:rPr>
          <w:rFonts w:hint="eastAsia" w:ascii="华文仿宋" w:hAnsi="华文仿宋" w:eastAsia="华文仿宋" w:cs="华文仿宋"/>
          <w:sz w:val="32"/>
          <w:szCs w:val="32"/>
          <w:lang w:eastAsia="zh-CN"/>
        </w:rPr>
        <w:t>项目环保投资应纳入工程投资概算并予以落实。需制定施工期环境保护及环境监理计划，将相关环保条款与责任纳入施工招标文件、施工合同及工程监理招标文件，明确环保监督要求，确保各项环境保护措施落实到位。配套环境保护设施应与主体工程同时设计、同时施工、同时投入使用。项目竣工后，贵公司应编制验收报告，对配套建设的环保设施进行验收，合格后方可投入使用。</w:t>
      </w:r>
    </w:p>
    <w:p w14:paraId="7C3198A8">
      <w:pPr>
        <w:pStyle w:val="5"/>
        <w:keepNext w:val="0"/>
        <w:keepLines w:val="0"/>
        <w:pageBreakBefore w:val="0"/>
        <w:kinsoku/>
        <w:wordWrap/>
        <w:overflowPunct/>
        <w:topLinePunct/>
        <w:bidi w:val="0"/>
        <w:adjustRightInd/>
        <w:snapToGrid/>
        <w:spacing w:before="120" w:beforeAutospacing="0" w:after="120" w:afterAutospacing="0"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sz w:val="32"/>
          <w:szCs w:val="32"/>
          <w:lang w:eastAsia="zh-CN"/>
        </w:rPr>
        <w:t>四</w:t>
      </w:r>
      <w:r>
        <w:rPr>
          <w:rFonts w:hint="eastAsia" w:ascii="华文仿宋" w:hAnsi="华文仿宋" w:eastAsia="华文仿宋" w:cs="华文仿宋"/>
          <w:sz w:val="32"/>
          <w:szCs w:val="32"/>
          <w:lang w:eastAsia="zh-CN"/>
        </w:rPr>
        <w:t>、依据《中华人民共和国环境影响评价法》第二十四条规定，本报告表批准后，若建设项目性质、规模、地点或采用的污染防治措施发生重大变动，贵公司须向我局重新报批环境影响评价文件。若自本批复批准之日起超过五年方开工建设的，须将环境影响评价文件报我局重新审核批复。</w:t>
      </w:r>
    </w:p>
    <w:p w14:paraId="703010B7">
      <w:pPr>
        <w:pStyle w:val="5"/>
        <w:keepNext w:val="0"/>
        <w:keepLines w:val="0"/>
        <w:pageBreakBefore w:val="0"/>
        <w:kinsoku/>
        <w:wordWrap/>
        <w:overflowPunct/>
        <w:topLinePunct/>
        <w:bidi w:val="0"/>
        <w:adjustRightInd/>
        <w:snapToGrid/>
        <w:spacing w:before="120" w:beforeAutospacing="0" w:after="120" w:afterAutospacing="0" w:line="240" w:lineRule="auto"/>
        <w:ind w:firstLine="641" w:firstLineChars="200"/>
        <w:jc w:val="both"/>
        <w:textAlignment w:val="auto"/>
        <w:rPr>
          <w:rFonts w:hint="eastAsia" w:eastAsia="宋体"/>
          <w:sz w:val="32"/>
          <w:szCs w:val="32"/>
          <w:lang w:eastAsia="zh-CN"/>
        </w:rPr>
      </w:pPr>
      <w:r>
        <w:rPr>
          <w:rFonts w:hint="eastAsia" w:ascii="华文仿宋" w:hAnsi="华文仿宋" w:eastAsia="华文仿宋" w:cs="华文仿宋"/>
          <w:b/>
          <w:bCs/>
          <w:sz w:val="32"/>
          <w:szCs w:val="32"/>
          <w:lang w:eastAsia="zh-CN"/>
        </w:rPr>
        <w:t>五</w:t>
      </w:r>
      <w:r>
        <w:rPr>
          <w:rFonts w:hint="eastAsia" w:ascii="华文仿宋" w:hAnsi="华文仿宋" w:eastAsia="华文仿宋" w:cs="华文仿宋"/>
          <w:sz w:val="32"/>
          <w:szCs w:val="32"/>
          <w:lang w:eastAsia="zh-CN"/>
        </w:rPr>
        <w:t>、本项目涉及发展改革、自然资源规划、林业等部门管理事项的，须严格按照相关部门规定及意见执行。</w:t>
      </w:r>
    </w:p>
    <w:p w14:paraId="7071907E">
      <w:pPr>
        <w:pStyle w:val="6"/>
        <w:ind w:left="0" w:leftChars="0" w:firstLine="0" w:firstLineChars="0"/>
        <w:rPr>
          <w:rFonts w:hint="eastAsia" w:ascii="华文仿宋" w:hAnsi="华文仿宋" w:eastAsia="华文仿宋" w:cs="华文仿宋"/>
          <w:sz w:val="32"/>
          <w:szCs w:val="32"/>
        </w:rPr>
      </w:pPr>
    </w:p>
    <w:p w14:paraId="6C3CC9D7">
      <w:pPr>
        <w:pStyle w:val="6"/>
        <w:jc w:val="center"/>
        <w:rPr>
          <w:rFonts w:hint="eastAsia" w:ascii="华文仿宋" w:hAnsi="华文仿宋" w:eastAsia="华文仿宋" w:cs="华文仿宋"/>
          <w:sz w:val="32"/>
          <w:szCs w:val="32"/>
        </w:rPr>
      </w:pPr>
      <w:r>
        <w:rPr>
          <w:rFonts w:hint="eastAsia" w:ascii="华文仿宋" w:hAnsi="华文仿宋" w:eastAsia="华文仿宋" w:cs="华文仿宋"/>
          <w:sz w:val="32"/>
          <w:szCs w:val="32"/>
          <w:lang w:val="en-US" w:eastAsia="zh-CN"/>
        </w:rPr>
        <w:t xml:space="preserve">                          </w:t>
      </w:r>
      <w:r>
        <w:rPr>
          <w:rFonts w:hint="eastAsia" w:ascii="华文仿宋" w:hAnsi="华文仿宋" w:eastAsia="华文仿宋" w:cs="华文仿宋"/>
          <w:sz w:val="32"/>
          <w:szCs w:val="32"/>
        </w:rPr>
        <w:t>衡阳市生态环境局</w:t>
      </w:r>
    </w:p>
    <w:p w14:paraId="7E6C27C2">
      <w:pPr>
        <w:ind w:firstLine="5920" w:firstLineChars="1850"/>
        <w:rPr>
          <w:rFonts w:hint="eastAsia" w:ascii="华文仿宋" w:hAnsi="华文仿宋" w:eastAsia="华文仿宋" w:cs="华文仿宋"/>
          <w:sz w:val="32"/>
          <w:szCs w:val="32"/>
        </w:rPr>
      </w:pPr>
      <w:r>
        <w:rPr>
          <w:rFonts w:hint="eastAsia" w:ascii="华文仿宋" w:hAnsi="华文仿宋" w:eastAsia="华文仿宋" w:cs="华文仿宋"/>
          <w:sz w:val="32"/>
          <w:szCs w:val="32"/>
        </w:rPr>
        <w:t>202</w:t>
      </w:r>
      <w:r>
        <w:rPr>
          <w:rFonts w:hint="eastAsia" w:ascii="华文仿宋" w:hAnsi="华文仿宋" w:eastAsia="华文仿宋" w:cs="华文仿宋"/>
          <w:sz w:val="32"/>
          <w:szCs w:val="32"/>
          <w:lang w:val="en-US" w:eastAsia="zh-CN"/>
        </w:rPr>
        <w:t>6</w:t>
      </w:r>
      <w:r>
        <w:rPr>
          <w:rFonts w:hint="eastAsia" w:ascii="华文仿宋" w:hAnsi="华文仿宋" w:eastAsia="华文仿宋" w:cs="华文仿宋"/>
          <w:sz w:val="32"/>
          <w:szCs w:val="32"/>
        </w:rPr>
        <w:t>年</w:t>
      </w:r>
      <w:r>
        <w:rPr>
          <w:rFonts w:hint="eastAsia" w:ascii="华文仿宋" w:hAnsi="华文仿宋" w:eastAsia="华文仿宋" w:cs="华文仿宋"/>
          <w:sz w:val="32"/>
          <w:szCs w:val="32"/>
          <w:lang w:val="en-US" w:eastAsia="zh-CN"/>
        </w:rPr>
        <w:t>5</w:t>
      </w:r>
      <w:r>
        <w:rPr>
          <w:rFonts w:hint="eastAsia" w:ascii="华文仿宋" w:hAnsi="华文仿宋" w:eastAsia="华文仿宋" w:cs="华文仿宋"/>
          <w:sz w:val="32"/>
          <w:szCs w:val="32"/>
        </w:rPr>
        <w:t>月</w:t>
      </w:r>
      <w:r>
        <w:rPr>
          <w:rFonts w:hint="eastAsia" w:ascii="华文仿宋" w:hAnsi="华文仿宋" w:eastAsia="华文仿宋" w:cs="华文仿宋"/>
          <w:sz w:val="32"/>
          <w:szCs w:val="32"/>
          <w:lang w:val="en-US" w:eastAsia="zh-CN"/>
        </w:rPr>
        <w:t>9</w:t>
      </w:r>
      <w:r>
        <w:rPr>
          <w:rFonts w:hint="eastAsia" w:ascii="华文仿宋" w:hAnsi="华文仿宋" w:eastAsia="华文仿宋" w:cs="华文仿宋"/>
          <w:sz w:val="32"/>
          <w:szCs w:val="32"/>
        </w:rPr>
        <w:t>日</w:t>
      </w:r>
    </w:p>
    <w:p w14:paraId="0E94ED28">
      <w:pPr>
        <w:rPr>
          <w:rFonts w:hint="eastAsia" w:ascii="华文仿宋" w:hAnsi="华文仿宋" w:eastAsia="华文仿宋" w:cs="华文仿宋"/>
          <w:sz w:val="30"/>
          <w:szCs w:val="30"/>
        </w:rPr>
      </w:pPr>
    </w:p>
    <w:sectPr>
      <w:pgSz w:w="11906" w:h="16838"/>
      <w:pgMar w:top="1417" w:right="1644" w:bottom="1247"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149AEB73-DBA1-44AF-A331-7DE0CC3D5DC5}"/>
  </w:font>
  <w:font w:name="方正仿宋_GBK">
    <w:panose1 w:val="02000000000000000000"/>
    <w:charset w:val="86"/>
    <w:family w:val="auto"/>
    <w:pitch w:val="default"/>
    <w:sig w:usb0="A00002BF" w:usb1="38CF7CFA" w:usb2="00082016" w:usb3="00000000" w:csb0="00040001" w:csb1="00000000"/>
    <w:embedRegular r:id="rId2" w:fontKey="{2A12A88C-094C-4B07-91F7-8E4F7D2A526E}"/>
  </w:font>
  <w:font w:name="方正小标宋_GBK">
    <w:panose1 w:val="02000000000000000000"/>
    <w:charset w:val="86"/>
    <w:family w:val="auto"/>
    <w:pitch w:val="default"/>
    <w:sig w:usb0="A00002BF" w:usb1="38CF7CFA" w:usb2="00082016" w:usb3="00000000" w:csb0="00040001" w:csb1="00000000"/>
    <w:embedRegular r:id="rId3" w:fontKey="{45FA862B-4F87-4DC1-BF08-7255CE727ADF}"/>
  </w:font>
  <w:font w:name="华文仿宋">
    <w:panose1 w:val="02010600040101010101"/>
    <w:charset w:val="86"/>
    <w:family w:val="auto"/>
    <w:pitch w:val="default"/>
    <w:sig w:usb0="00000287" w:usb1="080F0000" w:usb2="00000000" w:usb3="00000000" w:csb0="0004009F" w:csb1="DFD70000"/>
    <w:embedRegular r:id="rId4" w:fontKey="{1E069F09-8A1D-448C-9311-C77E0A991648}"/>
  </w:font>
  <w:font w:name="方正楷体_GB2312">
    <w:panose1 w:val="02000000000000000000"/>
    <w:charset w:val="86"/>
    <w:family w:val="auto"/>
    <w:pitch w:val="default"/>
    <w:sig w:usb0="A00002BF" w:usb1="184F6CFA" w:usb2="00000012" w:usb3="00000000" w:csb0="00040001" w:csb1="00000000"/>
    <w:embedRegular r:id="rId5" w:fontKey="{C138B54C-50B3-47B3-8768-C6F33216CDD3}"/>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E684DC"/>
    <w:rsid w:val="0BD6440D"/>
    <w:rsid w:val="3FE684DC"/>
    <w:rsid w:val="7C964F7C"/>
    <w:rsid w:val="DFEE0CCC"/>
    <w:rsid w:val="F5BB49F6"/>
    <w:rsid w:val="F5EE27F4"/>
    <w:rsid w:val="FBFF0DB6"/>
    <w:rsid w:val="FFBE16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widowControl/>
      <w:snapToGrid w:val="0"/>
      <w:spacing w:before="60" w:after="160" w:line="259" w:lineRule="auto"/>
      <w:ind w:right="113"/>
    </w:pPr>
    <w:rPr>
      <w:kern w:val="0"/>
      <w:sz w:val="18"/>
      <w:szCs w:val="20"/>
    </w:rPr>
  </w:style>
  <w:style w:type="paragraph" w:styleId="3">
    <w:name w:val="Body Text Indent"/>
    <w:basedOn w:val="1"/>
    <w:next w:val="4"/>
    <w:unhideWhenUsed/>
    <w:qFormat/>
    <w:uiPriority w:val="99"/>
    <w:pPr>
      <w:spacing w:after="120"/>
      <w:ind w:left="420" w:leftChars="200"/>
    </w:pPr>
  </w:style>
  <w:style w:type="paragraph" w:customStyle="1" w:styleId="4">
    <w:name w:val="正文首行缩进1"/>
    <w:basedOn w:val="2"/>
    <w:next w:val="1"/>
    <w:qFormat/>
    <w:uiPriority w:val="0"/>
    <w:pPr>
      <w:widowControl w:val="0"/>
      <w:spacing w:after="120"/>
      <w:ind w:firstLine="100" w:firstLineChars="100"/>
      <w:jc w:val="both"/>
    </w:pPr>
    <w:rPr>
      <w:rFonts w:ascii="Times New Roman" w:hAnsi="Times New Roman" w:eastAsia="宋体" w:cs="Times New Roman"/>
      <w:kern w:val="2"/>
      <w:sz w:val="21"/>
      <w:lang w:val="en-US" w:eastAsia="zh-CN" w:bidi="ar-SA"/>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6">
    <w:name w:val="Body Text First Indent 2"/>
    <w:basedOn w:val="3"/>
    <w:unhideWhenUsed/>
    <w:qFormat/>
    <w:uiPriority w:val="99"/>
    <w:pPr>
      <w:spacing w:before="100" w:beforeAutospacing="1" w:after="0"/>
      <w:ind w:firstLine="420" w:firstLineChars="200"/>
    </w:pPr>
  </w:style>
  <w:style w:type="paragraph" w:customStyle="1" w:styleId="9">
    <w:name w:val="样式 样式 行距: 1.5 倍行距 + 首行缩进:  2 字符"/>
    <w:basedOn w:val="1"/>
    <w:qFormat/>
    <w:uiPriority w:val="0"/>
    <w:pPr>
      <w:adjustRightInd w:val="0"/>
      <w:snapToGrid w:val="0"/>
      <w:spacing w:line="360" w:lineRule="auto"/>
      <w:ind w:firstLine="480" w:firstLineChars="200"/>
    </w:pPr>
    <w:rPr>
      <w:rFonts w:cs="宋体"/>
      <w:sz w:val="24"/>
    </w:rPr>
  </w:style>
  <w:style w:type="paragraph" w:customStyle="1" w:styleId="10">
    <w:name w:val=" Char1"/>
    <w:basedOn w:val="1"/>
    <w:qFormat/>
    <w:uiPriority w:val="0"/>
    <w:pPr>
      <w:spacing w:line="360" w:lineRule="auto"/>
      <w:ind w:firstLine="200" w:firstLineChars="200"/>
    </w:pPr>
    <w:rPr>
      <w:rFonts w:ascii="宋体" w:hAnsi="宋体"/>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2468</Words>
  <Characters>2509</Characters>
  <Lines>0</Lines>
  <Paragraphs>0</Paragraphs>
  <TotalTime>6</TotalTime>
  <ScaleCrop>false</ScaleCrop>
  <LinksUpToDate>false</LinksUpToDate>
  <CharactersWithSpaces>2512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2026-04-22T11:48:00Z</dcterms:created>
  <dc:creator>hyzf2025</dc:creator>
  <cp:lastModifiedBy>老阿杜</cp:lastModifiedBy>
  <dcterms:modified xsi:type="dcterms:W3CDTF">2026-04-22T08:07:45Z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0FF3D1E59C4D6BF0F244E869192EA3B7_41</vt:lpwstr>
  </property>
  <property fmtid="{D5CDD505-2E9C-101B-9397-08002B2CF9AE}" pid="4" name="KSOTemplateDocerSaveRecord">
    <vt:lpwstr>eyJoZGlkIjoiNjkyNTU2YTZmZTYyYzM1MTg1YjQ2MTk4MzUyMmE3NGUiLCJ1c2VySWQiOiIzMDkxODA5MzUifQ==</vt:lpwstr>
  </property>
</Properties>
</file>