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行政审批服务局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整体支出绩效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>本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单位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>由 1个行政单位、1个二级机构及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>个内设股室组成。行政单位具体为局本级；二级机构具体为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政务服务中心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>；内设科室具体为办公室、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审批改革股、政务公开、政务服务股、项目规划管理股、应用推进股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>共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</w:rPr>
        <w:t>个股室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共有在职人员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人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年度整体支出绩效目标，专项资金绩效目标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年度重点工作：平安城市、雪亮工程、政府内网外网维护、社会治安视频监控系统、12345热线系统运维服务</w:t>
      </w:r>
      <w:r>
        <w:rPr>
          <w:rFonts w:hint="eastAsia" w:eastAsia="仿宋" w:cs="Times New Roman"/>
          <w:color w:val="auto"/>
          <w:sz w:val="30"/>
          <w:szCs w:val="30"/>
          <w:lang w:eastAsia="zh-CN"/>
        </w:rPr>
        <w:t>、政务服务中心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等</w:t>
      </w:r>
      <w:r>
        <w:rPr>
          <w:rFonts w:hint="eastAsia" w:eastAsia="仿宋" w:cs="Times New Roman"/>
          <w:color w:val="auto"/>
          <w:sz w:val="30"/>
          <w:szCs w:val="30"/>
          <w:lang w:eastAsia="zh-CN"/>
        </w:rPr>
        <w:t>重点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项目以及日常服务性工作目标是项目运行良好，</w:t>
      </w:r>
      <w:r>
        <w:rPr>
          <w:rFonts w:hint="eastAsia" w:eastAsia="仿宋" w:cs="Times New Roman"/>
          <w:color w:val="auto"/>
          <w:sz w:val="30"/>
          <w:szCs w:val="30"/>
          <w:lang w:eastAsia="zh-CN"/>
        </w:rPr>
        <w:t>专项资金绩效目标均已完成，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服务工作满意度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100%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，工作实际完成值85分，评为良好。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目标情况如下：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数量指标包括：在职人员控制率只完成53%，离预期目标有相差，原因是我局为初合并单位，编制人员不足；三公经费变动率和控制率均为满分；预算控制率实际完成85.9%，与年初预算相差甚远，原因是我局为合并单位，重点项目预算不足，后期大量工作需要再次申请。质量指标、时效指标、成本指标、效益指标、满意度指标均完成良好。现支出绩效目标、专项资金绩效目标均已达到且同步完成项目验收，群众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（一）基本支出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全局201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年支出合计1422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166885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万元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，其中基本支出207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629295万元，占总支出的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14.5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%，人员支出147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132087万元，占基本支出的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%，日常公用支出60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497208万元，占基本支出的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% ，项目支出1214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53759万元，占总支出的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71.5 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%。2018年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区行政审批服务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局专项支出合计12145375.9元。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全年支出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207</w:t>
      </w:r>
      <w:r>
        <w:rPr>
          <w:rFonts w:hint="eastAsia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62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万元，其中工资福利支出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149</w:t>
      </w:r>
      <w:r>
        <w:rPr>
          <w:rFonts w:hint="eastAsia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22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万元，商品和服务支出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113</w:t>
      </w:r>
      <w:r>
        <w:rPr>
          <w:rFonts w:hint="eastAsia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.10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万元，对个人和家庭补助支出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5</w:t>
      </w:r>
      <w:r>
        <w:rPr>
          <w:rFonts w:hint="eastAsia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76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万元。资本性支出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1154</w:t>
      </w:r>
      <w:r>
        <w:rPr>
          <w:rFonts w:hint="eastAsia" w:cs="Times New Roman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0"/>
          <w:szCs w:val="30"/>
          <w:shd w:val="clear" w:fill="FFFFFF"/>
        </w:rPr>
        <w:t>16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项目支出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项目支出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1214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53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万元</w:t>
      </w:r>
      <w:r>
        <w:rPr>
          <w:rFonts w:hint="eastAsia" w:eastAsia="仿宋" w:cs="Times New Roman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三、政府性基金预算支出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四、国有资本经营预算支出情况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国有资本经营预算支出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五、社会保险基金预算支出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2019年预算编制制定的绩效目标整体完成情况较好，</w:t>
      </w:r>
      <w:r>
        <w:rPr>
          <w:rFonts w:hint="eastAsia" w:eastAsia="仿宋" w:cs="Times New Roman"/>
          <w:color w:val="auto"/>
          <w:sz w:val="30"/>
          <w:szCs w:val="30"/>
          <w:lang w:eastAsia="zh-CN"/>
        </w:rPr>
        <w:t>重点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项目以及日常服务性工作目标是项目运行良好，</w:t>
      </w:r>
      <w:r>
        <w:rPr>
          <w:rFonts w:hint="eastAsia" w:eastAsia="仿宋" w:cs="Times New Roman"/>
          <w:color w:val="auto"/>
          <w:sz w:val="30"/>
          <w:szCs w:val="30"/>
          <w:lang w:eastAsia="zh-CN"/>
        </w:rPr>
        <w:t>专项资金绩效目标均已完成，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eastAsia="zh-CN"/>
        </w:rPr>
        <w:t>服务工作满意度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100%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，工作实际完成值85分，评为良好。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大多数项目预算资金完成率达到百分百，且均在2019年年底完成项目，这表明年初预算编制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>虽然相差，但后期工作完成情况良好，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2019年行政审批局各项工作顺利开展，服务对象满意程度达到90%以上。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通过制定部门体征绩效目标和评价绩效目标的完成情况，使得财务人员的责任意识得到提高，强化了对预算资金使用要更合理、更科学的意识。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eastAsia="仿宋" w:cs="Times New Roman"/>
          <w:color w:val="auto"/>
          <w:sz w:val="30"/>
          <w:szCs w:val="30"/>
          <w:lang w:eastAsia="zh-CN"/>
        </w:rPr>
        <w:t>七、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预算实际执行中，也存在一些问题和不足：一是预算编制考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 xml:space="preserve">虑不够全面、欠缺科学精准。二是对于行政审批工作，在年初设定绩效指标标准和量化时存在困难，很多工作不可预见或具体化。三是执行预算有一定的差距。下一步，我们将逐步完善预算 </w:t>
      </w: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管理机制，提高经费使用效益，尽最大限度提示工作的预见性，在绩效目标的具体化和量化上下功夫。提高预算编制的科学水平，强化预算执行力度，提高预算执行效率。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eastAsia" w:eastAsia="仿宋" w:cs="Times New Roman"/>
          <w:color w:val="auto"/>
          <w:sz w:val="30"/>
          <w:szCs w:val="30"/>
          <w:lang w:eastAsia="zh-CN"/>
        </w:rPr>
        <w:t>八、</w:t>
      </w: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通过编辑全面完整、科学合理的绩效目标为全区的各项工作理清了思路，促使我们改进管理、合理预算安排、及时发现不足，不断完善工作方案的制定。实施奖惩和问责后提高了工作积极性，增强了认识及责任心，规避将来可能或重复出现的风险，通过绩效评价结果公开，使全体干部职工对绩效评价增加了认识，在自己实际工作中改进工作方式，使其更细化、稳妥、高效，分清责任，今后将更加细致、高效的做好、用好绩效评价工作，使其在实际工作中发挥更加有效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将绩效评价理念和意识融入到信息系统中，加强制度建设，强化了对内部权力运行的制约，防止内部权力滥用。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绩效评价是全局管理层的职责，各个科室也必须上下联动，不断完善内控管理，共同提高内控管理的执行效力。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1、加强会计人员的培训，夯实会计基础工作。内部控制人员要注重业务学习，不断提高内控人员的政治素质、业务能力和职业道德水平。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2、建立健全激励约束机制，强化责任追查。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九、绩效自评结果拟应用和公开情况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  <w:t>（一）本单位在提升绩效评价意识及管理水平上的整体成效。</w:t>
      </w:r>
    </w:p>
    <w:p>
      <w:pPr>
        <w:spacing w:line="52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提高了单位管理服务水平和绩效评价能力，促进单位可持续、健康发展，实现行政事业单位管理服务目标所制定的政策和程序。</w:t>
      </w:r>
    </w:p>
    <w:p>
      <w:pPr>
        <w:spacing w:line="52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（二）本单位在预算资金使用情况建立绩效评价取得的整体成效。</w:t>
      </w:r>
    </w:p>
    <w:p>
      <w:pPr>
        <w:spacing w:line="520" w:lineRule="atLeas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规范单位经济和业务活动为主线，以夯实单位业务管理及会计基础工作，保证财务记录、财务报告信息和其他管理信息的及时、可靠、完整为目的，以绩效评价量化评价为导向，以流程梳理、机制建设、资金绩效管理为重点，逐步建立贯穿行政事业单位经济活动的决策、执行和监督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>其他需要说明的情况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  <w:r>
        <w:rPr>
          <w:rFonts w:hint="eastAsia" w:eastAsia="仿宋" w:cs="Times New Roman"/>
          <w:color w:val="auto"/>
          <w:sz w:val="30"/>
          <w:szCs w:val="30"/>
          <w:lang w:val="en-US" w:eastAsia="zh-CN"/>
        </w:rPr>
        <w:t xml:space="preserve">    无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40" w:right="1701" w:bottom="1440" w:left="1701" w:header="720" w:footer="1077" w:gutter="0"/>
      <w:pgNumType w:fmt="decimal" w:start="1"/>
      <w:cols w:space="720" w:num="1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  <w:ind w:right="360" w:firstLine="360"/>
      <w:rPr>
        <w:sz w:val="28"/>
        <w:szCs w:val="28"/>
      </w:rPr>
    </w:pPr>
    <w:r>
      <w:rPr>
        <w:rStyle w:val="7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61313D"/>
    <w:multiLevelType w:val="singleLevel"/>
    <w:tmpl w:val="A46131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64A16C"/>
    <w:multiLevelType w:val="singleLevel"/>
    <w:tmpl w:val="BE64A1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186116"/>
    <w:multiLevelType w:val="singleLevel"/>
    <w:tmpl w:val="F618611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376A"/>
    <w:rsid w:val="3D5A7809"/>
    <w:rsid w:val="402839D6"/>
    <w:rsid w:val="465C21C1"/>
    <w:rsid w:val="4777436D"/>
    <w:rsid w:val="4C160176"/>
    <w:rsid w:val="4C557BB9"/>
    <w:rsid w:val="541B35D1"/>
    <w:rsid w:val="5B8008EC"/>
    <w:rsid w:val="5C5467C9"/>
    <w:rsid w:val="5F4B1D2B"/>
    <w:rsid w:val="6F1639EF"/>
    <w:rsid w:val="79343A05"/>
    <w:rsid w:val="7B3E7868"/>
    <w:rsid w:val="7D3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2020-07-16T02:53:00Z</dcterms:created>
  <dc:creator>贺小二</dc:creator>
  <cp:lastModifiedBy>贺小二</cp:lastModifiedBy>
  <cp:lastPrinted>2020-07-27T02:02:00Z</cp:lastPrinted>
  <dcterms:modified xsi:type="dcterms:W3CDTF">2020-07-29T09:38:32Z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