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color w:val="auto"/>
          <w:kern w:val="0"/>
          <w:sz w:val="36"/>
          <w:szCs w:val="36"/>
        </w:rPr>
      </w:pPr>
      <w:r>
        <w:rPr>
          <w:rFonts w:hint="default" w:ascii="Times New Roman" w:hAnsi="Times New Roman" w:eastAsia="方正小标宋简体" w:cs="Times New Roman"/>
          <w:color w:val="auto"/>
          <w:kern w:val="0"/>
          <w:sz w:val="36"/>
          <w:szCs w:val="36"/>
        </w:rPr>
        <w:t>部门整体支出绩效自评表</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w:t>
      </w:r>
      <w:r>
        <w:rPr>
          <w:rFonts w:hint="default" w:ascii="Times New Roman" w:hAnsi="Times New Roman" w:eastAsia="仿宋_GB2312" w:cs="Times New Roman"/>
          <w:color w:val="auto"/>
          <w:kern w:val="0"/>
          <w:szCs w:val="21"/>
          <w:lang w:val="en-US"/>
        </w:rPr>
        <w:t>20</w:t>
      </w:r>
      <w:r>
        <w:rPr>
          <w:rFonts w:hint="eastAsia" w:eastAsia="仿宋_GB2312" w:cs="Times New Roman"/>
          <w:color w:val="auto"/>
          <w:kern w:val="0"/>
          <w:szCs w:val="21"/>
          <w:lang w:val="en-US" w:eastAsia="zh-CN"/>
        </w:rPr>
        <w:t>19</w:t>
      </w:r>
      <w:r>
        <w:rPr>
          <w:rFonts w:hint="default" w:ascii="Times New Roman" w:hAnsi="Times New Roman" w:eastAsia="仿宋_GB2312" w:cs="Times New Roman"/>
          <w:color w:val="auto"/>
          <w:kern w:val="0"/>
          <w:szCs w:val="21"/>
        </w:rPr>
        <w:t>年度）</w:t>
      </w:r>
    </w:p>
    <w:tbl>
      <w:tblPr>
        <w:tblStyle w:val="2"/>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55"/>
        <w:gridCol w:w="1194"/>
        <w:gridCol w:w="1079"/>
        <w:gridCol w:w="91"/>
        <w:gridCol w:w="1146"/>
        <w:gridCol w:w="1084"/>
        <w:gridCol w:w="697"/>
        <w:gridCol w:w="8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预算部门名称</w:t>
            </w:r>
          </w:p>
        </w:tc>
        <w:tc>
          <w:tcPr>
            <w:tcW w:w="8785" w:type="dxa"/>
            <w:gridSpan w:val="9"/>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石鼓区扶贫开发办公室</w:t>
            </w: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年度预算申请</w:t>
            </w:r>
            <w:r>
              <w:rPr>
                <w:rFonts w:hint="default" w:ascii="Times New Roman" w:hAnsi="Times New Roman" w:eastAsia="仿宋" w:cs="Times New Roman"/>
                <w:color w:val="auto"/>
                <w:kern w:val="0"/>
                <w:szCs w:val="21"/>
              </w:rPr>
              <w:br w:type="textWrapping"/>
            </w:r>
            <w:r>
              <w:rPr>
                <w:rFonts w:hint="default" w:ascii="Times New Roman" w:hAnsi="Times New Roman" w:eastAsia="仿宋" w:cs="Times New Roman"/>
                <w:color w:val="auto"/>
                <w:kern w:val="0"/>
                <w:szCs w:val="21"/>
              </w:rPr>
              <w:t>（万元）</w:t>
            </w:r>
          </w:p>
        </w:tc>
        <w:tc>
          <w:tcPr>
            <w:tcW w:w="2549"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年初</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预算数</w:t>
            </w:r>
          </w:p>
        </w:tc>
        <w:tc>
          <w:tcPr>
            <w:tcW w:w="1237"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全年预算数</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全年</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执行数</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分值</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执行率</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2549"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kern w:val="0"/>
                <w:szCs w:val="21"/>
              </w:rPr>
              <w:t>年度资金总额</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lang w:val="en-US"/>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lang w:val="en-US"/>
              </w:rPr>
            </w:pPr>
            <w:r>
              <w:rPr>
                <w:rFonts w:hint="default" w:ascii="Times New Roman" w:hAnsi="Times New Roman" w:eastAsia="仿宋" w:cs="Times New Roman"/>
                <w:color w:val="auto"/>
                <w:szCs w:val="21"/>
                <w:lang w:val="en-US"/>
              </w:rPr>
              <w:t>30</w:t>
            </w:r>
          </w:p>
        </w:tc>
        <w:tc>
          <w:tcPr>
            <w:tcW w:w="1237"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lang w:val="en-US" w:eastAsia="zh-CN"/>
              </w:rPr>
            </w:pPr>
            <w:r>
              <w:rPr>
                <w:rFonts w:hint="eastAsia" w:eastAsia="仿宋" w:cs="Times New Roman"/>
                <w:color w:val="auto"/>
                <w:szCs w:val="21"/>
                <w:lang w:val="en-US" w:eastAsia="zh-CN"/>
              </w:rPr>
              <w:t>344.93</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lang w:val="en-US" w:eastAsia="zh-CN"/>
              </w:rPr>
            </w:pPr>
            <w:r>
              <w:rPr>
                <w:rFonts w:hint="eastAsia" w:eastAsia="仿宋" w:cs="Times New Roman"/>
                <w:color w:val="auto"/>
                <w:szCs w:val="21"/>
                <w:lang w:val="en-US" w:eastAsia="zh-CN"/>
              </w:rPr>
              <w:t>327.52</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10</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lang w:val="en-US" w:eastAsia="zh-CN"/>
              </w:rPr>
            </w:pPr>
            <w:r>
              <w:rPr>
                <w:rFonts w:hint="eastAsia" w:eastAsia="仿宋" w:cs="Times New Roman"/>
                <w:color w:val="auto"/>
                <w:szCs w:val="21"/>
                <w:lang w:val="en-US" w:eastAsia="zh-CN"/>
              </w:rPr>
              <w:t>94.95%</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szCs w:val="21"/>
                <w:lang w:val="en-US" w:eastAsia="zh-CN"/>
              </w:rPr>
            </w:pPr>
            <w:r>
              <w:rPr>
                <w:rFonts w:hint="eastAsia" w:eastAsia="仿宋" w:cs="Times New Roman"/>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4865" w:type="dxa"/>
            <w:gridSpan w:val="5"/>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按收入性质分：</w:t>
            </w:r>
          </w:p>
        </w:tc>
        <w:tc>
          <w:tcPr>
            <w:tcW w:w="3920" w:type="dxa"/>
            <w:gridSpan w:val="4"/>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4865" w:type="dxa"/>
            <w:gridSpan w:val="5"/>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xml:space="preserve">  其中：  一般公共预算：</w:t>
            </w:r>
            <w:r>
              <w:rPr>
                <w:rFonts w:hint="eastAsia" w:eastAsia="仿宋" w:cs="Times New Roman"/>
                <w:color w:val="auto"/>
                <w:kern w:val="0"/>
                <w:szCs w:val="21"/>
                <w:lang w:val="en-US" w:eastAsia="zh-CN"/>
              </w:rPr>
              <w:t>344.93</w:t>
            </w:r>
          </w:p>
        </w:tc>
        <w:tc>
          <w:tcPr>
            <w:tcW w:w="3920" w:type="dxa"/>
            <w:gridSpan w:val="4"/>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其中：基本支出：</w:t>
            </w:r>
            <w:r>
              <w:rPr>
                <w:rFonts w:hint="default" w:ascii="Times New Roman" w:hAnsi="Times New Roman" w:eastAsia="仿宋" w:cs="Times New Roman"/>
                <w:color w:val="auto"/>
                <w:kern w:val="0"/>
                <w:szCs w:val="21"/>
                <w:lang w:val="en-US"/>
              </w:rPr>
              <w:t>109</w:t>
            </w:r>
            <w:r>
              <w:rPr>
                <w:rFonts w:hint="eastAsia" w:eastAsia="仿宋" w:cs="Times New Roman"/>
                <w:color w:val="auto"/>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4865" w:type="dxa"/>
            <w:gridSpan w:val="5"/>
            <w:noWrap w:val="0"/>
            <w:vAlign w:val="center"/>
          </w:tcPr>
          <w:p>
            <w:pPr>
              <w:keepNext w:val="0"/>
              <w:keepLines w:val="0"/>
              <w:pageBreakBefore w:val="0"/>
              <w:widowControl w:val="0"/>
              <w:kinsoku/>
              <w:wordWrap/>
              <w:overflowPunct/>
              <w:topLinePunct w:val="0"/>
              <w:autoSpaceDE/>
              <w:autoSpaceDN/>
              <w:bidi w:val="0"/>
              <w:adjustRightInd/>
              <w:snapToGrid/>
              <w:ind w:firstLine="840" w:firstLineChars="400"/>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政府性基金拨款：</w:t>
            </w:r>
          </w:p>
        </w:tc>
        <w:tc>
          <w:tcPr>
            <w:tcW w:w="3920" w:type="dxa"/>
            <w:gridSpan w:val="4"/>
            <w:noWrap w:val="0"/>
            <w:vAlign w:val="center"/>
          </w:tcPr>
          <w:p>
            <w:pPr>
              <w:keepNext w:val="0"/>
              <w:keepLines w:val="0"/>
              <w:pageBreakBefore w:val="0"/>
              <w:widowControl w:val="0"/>
              <w:kinsoku/>
              <w:wordWrap/>
              <w:overflowPunct/>
              <w:topLinePunct w:val="0"/>
              <w:autoSpaceDE/>
              <w:autoSpaceDN/>
              <w:bidi w:val="0"/>
              <w:adjustRightInd/>
              <w:snapToGrid/>
              <w:ind w:firstLine="630" w:firstLineChars="300"/>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项目支出：</w:t>
            </w:r>
            <w:r>
              <w:rPr>
                <w:rFonts w:hint="default" w:ascii="Times New Roman" w:hAnsi="Times New Roman" w:eastAsia="仿宋" w:cs="Times New Roman"/>
                <w:color w:val="auto"/>
                <w:kern w:val="0"/>
                <w:szCs w:val="21"/>
                <w:lang w:val="en-US"/>
              </w:rPr>
              <w:t>218</w:t>
            </w:r>
            <w:r>
              <w:rPr>
                <w:rFonts w:hint="eastAsia" w:eastAsia="仿宋" w:cs="Times New Roman"/>
                <w:color w:val="auto"/>
                <w:kern w:val="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4865" w:type="dxa"/>
            <w:gridSpan w:val="5"/>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纳入专户管理的非税收入拨款：</w:t>
            </w:r>
          </w:p>
        </w:tc>
        <w:tc>
          <w:tcPr>
            <w:tcW w:w="3920" w:type="dxa"/>
            <w:gridSpan w:val="4"/>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4865" w:type="dxa"/>
            <w:gridSpan w:val="5"/>
            <w:noWrap w:val="0"/>
            <w:vAlign w:val="center"/>
          </w:tcPr>
          <w:p>
            <w:pPr>
              <w:keepNext w:val="0"/>
              <w:keepLines w:val="0"/>
              <w:pageBreakBefore w:val="0"/>
              <w:widowControl w:val="0"/>
              <w:kinsoku/>
              <w:wordWrap/>
              <w:overflowPunct/>
              <w:topLinePunct w:val="0"/>
              <w:autoSpaceDE/>
              <w:autoSpaceDN/>
              <w:bidi w:val="0"/>
              <w:adjustRightInd/>
              <w:snapToGrid/>
              <w:ind w:firstLine="1470" w:firstLineChars="700"/>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其他资金：</w:t>
            </w:r>
          </w:p>
        </w:tc>
        <w:tc>
          <w:tcPr>
            <w:tcW w:w="3920" w:type="dxa"/>
            <w:gridSpan w:val="4"/>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年度总体目标</w:t>
            </w:r>
          </w:p>
        </w:tc>
        <w:tc>
          <w:tcPr>
            <w:tcW w:w="4865"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预期目标</w:t>
            </w:r>
          </w:p>
        </w:tc>
        <w:tc>
          <w:tcPr>
            <w:tcW w:w="3920" w:type="dxa"/>
            <w:gridSpan w:val="4"/>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4865"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3920" w:type="dxa"/>
            <w:gridSpan w:val="4"/>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绩</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标</w:t>
            </w: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一级指标</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二级指标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三级指标</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年度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指标值</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实际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完成值</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分值</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得分</w:t>
            </w:r>
          </w:p>
        </w:tc>
        <w:tc>
          <w:tcPr>
            <w:tcW w:w="12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偏差原因</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分析及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产出指标</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(50分)</w:t>
            </w:r>
          </w:p>
        </w:tc>
        <w:tc>
          <w:tcPr>
            <w:tcW w:w="1194"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数量</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在职人员控制率</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eastAsia" w:eastAsia="仿宋" w:cs="Times New Roman"/>
                <w:color w:val="auto"/>
                <w:kern w:val="0"/>
                <w:szCs w:val="21"/>
                <w:lang w:val="en-US" w:eastAsia="zh-CN"/>
              </w:rPr>
              <w:t>低于</w:t>
            </w:r>
            <w:r>
              <w:rPr>
                <w:rFonts w:hint="default" w:ascii="Times New Roman" w:hAnsi="Times New Roman" w:eastAsia="仿宋" w:cs="Times New Roman"/>
                <w:color w:val="auto"/>
                <w:kern w:val="0"/>
                <w:szCs w:val="21"/>
                <w:lang w:val="en-US"/>
              </w:rPr>
              <w:t>100%</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75</w:t>
            </w:r>
            <w:r>
              <w:rPr>
                <w:rFonts w:hint="default" w:ascii="Times New Roman" w:hAnsi="Times New Roman" w:eastAsia="仿宋" w:cs="Times New Roman"/>
                <w:color w:val="auto"/>
                <w:kern w:val="0"/>
                <w:szCs w:val="21"/>
                <w:lang w:val="en-US"/>
              </w:rPr>
              <w:t>%</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8</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8</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公用经费控制率</w:t>
            </w:r>
            <w:r>
              <w:rPr>
                <w:rFonts w:hint="default" w:ascii="Times New Roman" w:hAnsi="Times New Roman" w:eastAsia="仿宋" w:cs="Times New Roman"/>
                <w:color w:val="auto"/>
                <w:kern w:val="0"/>
                <w:szCs w:val="21"/>
                <w:lang w:val="en-US" w:eastAsia="zh-CN"/>
              </w:rPr>
              <w:t xml:space="preserve"> </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低于等于</w:t>
            </w:r>
            <w:r>
              <w:rPr>
                <w:rFonts w:hint="default" w:ascii="Times New Roman" w:hAnsi="Times New Roman" w:eastAsia="仿宋" w:cs="Times New Roman"/>
                <w:color w:val="auto"/>
                <w:kern w:val="0"/>
                <w:szCs w:val="21"/>
                <w:lang w:val="en-US"/>
              </w:rPr>
              <w:t>100%</w:t>
            </w:r>
            <w:r>
              <w:rPr>
                <w:rFonts w:hint="eastAsia" w:ascii="Times New Roman" w:hAnsi="Times New Roman" w:eastAsia="仿宋" w:cs="Times New Roman"/>
                <w:color w:val="auto"/>
                <w:kern w:val="0"/>
                <w:szCs w:val="21"/>
                <w:lang w:val="en-US" w:eastAsia="zh-CN"/>
              </w:rPr>
              <w:t xml:space="preserve"> </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default" w:ascii="Times New Roman" w:hAnsi="Times New Roman" w:eastAsia="仿宋" w:cs="Times New Roman"/>
                <w:color w:val="auto"/>
                <w:kern w:val="0"/>
                <w:szCs w:val="21"/>
                <w:lang w:val="en-US"/>
              </w:rPr>
              <w:t xml:space="preserve">100% </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8</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eastAsia" w:eastAsia="仿宋" w:cs="Times New Roman"/>
                <w:color w:val="auto"/>
                <w:kern w:val="0"/>
                <w:szCs w:val="21"/>
                <w:lang w:val="en-US" w:eastAsia="zh-CN"/>
              </w:rPr>
              <w:t>8</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94"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eastAsia="zh-CN"/>
              </w:rPr>
            </w:pPr>
            <w:r>
              <w:rPr>
                <w:rFonts w:hint="eastAsia" w:ascii="Times New Roman" w:hAnsi="Times New Roman" w:eastAsia="仿宋" w:cs="Times New Roman"/>
                <w:color w:val="auto"/>
                <w:kern w:val="0"/>
                <w:szCs w:val="21"/>
                <w:lang w:val="en-US" w:eastAsia="zh-CN"/>
              </w:rPr>
              <w:t>三公经费控制率</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eastAsia" w:eastAsia="仿宋" w:cs="Times New Roman"/>
                <w:color w:val="auto"/>
                <w:kern w:val="0"/>
                <w:szCs w:val="21"/>
                <w:lang w:val="en-US" w:eastAsia="zh-CN"/>
              </w:rPr>
              <w:t>低于</w:t>
            </w:r>
            <w:r>
              <w:rPr>
                <w:rFonts w:hint="default" w:ascii="Times New Roman" w:hAnsi="Times New Roman" w:eastAsia="仿宋" w:cs="Times New Roman"/>
                <w:color w:val="auto"/>
                <w:kern w:val="0"/>
                <w:szCs w:val="21"/>
                <w:lang w:val="en-US" w:eastAsia="zh-CN"/>
              </w:rPr>
              <w:t>100%</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42%</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8</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8</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质量</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管理制度健全性</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default" w:ascii="Times New Roman" w:hAnsi="Times New Roman" w:eastAsia="仿宋" w:cs="Times New Roman"/>
                <w:color w:val="auto"/>
                <w:kern w:val="0"/>
                <w:szCs w:val="21"/>
                <w:lang w:val="en-US"/>
              </w:rPr>
              <w:t>1</w:t>
            </w:r>
            <w:r>
              <w:rPr>
                <w:rFonts w:hint="eastAsia" w:ascii="Times New Roman" w:hAnsi="Times New Roman" w:eastAsia="仿宋" w:cs="Times New Roman"/>
                <w:color w:val="auto"/>
                <w:kern w:val="0"/>
                <w:szCs w:val="21"/>
                <w:lang w:val="en-US" w:eastAsia="zh-CN"/>
              </w:rPr>
              <w:t>、有内部财务管理制度、会计核算制度等管理制度</w:t>
            </w:r>
            <w:r>
              <w:rPr>
                <w:rFonts w:hint="default" w:ascii="Times New Roman" w:hAnsi="Times New Roman" w:eastAsia="仿宋" w:cs="Times New Roman"/>
                <w:color w:val="auto"/>
                <w:kern w:val="0"/>
                <w:szCs w:val="21"/>
                <w:lang w:val="en-US" w:eastAsia="zh-CN"/>
              </w:rPr>
              <w:t>2</w:t>
            </w:r>
            <w:r>
              <w:rPr>
                <w:rFonts w:hint="eastAsia" w:ascii="Times New Roman" w:hAnsi="Times New Roman" w:eastAsia="仿宋" w:cs="Times New Roman"/>
                <w:color w:val="auto"/>
                <w:kern w:val="0"/>
                <w:szCs w:val="21"/>
                <w:lang w:val="en-US" w:eastAsia="zh-CN"/>
              </w:rPr>
              <w:t>、有本部门厉行节约制度</w:t>
            </w:r>
            <w:r>
              <w:rPr>
                <w:rFonts w:hint="default" w:ascii="Times New Roman" w:hAnsi="Times New Roman" w:eastAsia="仿宋" w:cs="Times New Roman"/>
                <w:color w:val="auto"/>
                <w:kern w:val="0"/>
                <w:szCs w:val="21"/>
                <w:lang w:val="en-US" w:eastAsia="zh-CN"/>
              </w:rPr>
              <w:t>3</w:t>
            </w:r>
            <w:r>
              <w:rPr>
                <w:rFonts w:hint="eastAsia" w:ascii="Times New Roman" w:hAnsi="Times New Roman" w:eastAsia="仿宋" w:cs="Times New Roman"/>
                <w:color w:val="auto"/>
                <w:kern w:val="0"/>
                <w:szCs w:val="21"/>
                <w:lang w:val="en-US" w:eastAsia="zh-CN"/>
              </w:rPr>
              <w:t>、相关管理制度合法、合规、完整</w:t>
            </w:r>
            <w:r>
              <w:rPr>
                <w:rFonts w:hint="default" w:ascii="Times New Roman" w:hAnsi="Times New Roman" w:eastAsia="仿宋" w:cs="Times New Roman"/>
                <w:color w:val="auto"/>
                <w:kern w:val="0"/>
                <w:szCs w:val="21"/>
                <w:lang w:val="en-US" w:eastAsia="zh-CN"/>
              </w:rPr>
              <w:t>4</w:t>
            </w:r>
            <w:r>
              <w:rPr>
                <w:rFonts w:hint="eastAsia" w:ascii="Times New Roman" w:hAnsi="Times New Roman" w:eastAsia="仿宋" w:cs="Times New Roman"/>
                <w:color w:val="auto"/>
                <w:kern w:val="0"/>
                <w:szCs w:val="21"/>
                <w:lang w:val="en-US" w:eastAsia="zh-CN"/>
              </w:rPr>
              <w:t>、相关管理制度得到有效执行</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eastAsia" w:ascii="Times New Roman" w:hAnsi="Times New Roman" w:eastAsia="仿宋" w:cs="Times New Roman"/>
                <w:color w:val="auto"/>
                <w:kern w:val="0"/>
                <w:szCs w:val="21"/>
                <w:lang w:eastAsia="zh-CN"/>
              </w:rPr>
              <w:t>均已经完善</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8</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7</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eastAsia" w:ascii="Times New Roman" w:hAnsi="Times New Roman" w:eastAsia="仿宋" w:cs="Times New Roman"/>
                <w:color w:val="auto"/>
                <w:kern w:val="0"/>
                <w:szCs w:val="21"/>
                <w:lang w:val="en-US" w:eastAsia="zh-CN"/>
              </w:rPr>
              <w:t>相关管理制度得到有效执行，但执行力度还待加强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时效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预决算信息公开性</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eastAsia" w:ascii="Times New Roman" w:hAnsi="Times New Roman" w:eastAsia="仿宋" w:cs="Times New Roman"/>
                <w:color w:val="auto"/>
                <w:kern w:val="0"/>
                <w:szCs w:val="21"/>
                <w:lang w:eastAsia="zh-CN"/>
              </w:rPr>
              <w:t>公开内容完整、及时、真实、准确</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eastAsia" w:ascii="Times New Roman" w:hAnsi="Times New Roman" w:eastAsia="仿宋" w:cs="Times New Roman"/>
                <w:color w:val="auto"/>
                <w:kern w:val="0"/>
                <w:szCs w:val="21"/>
                <w:lang w:eastAsia="zh-CN"/>
              </w:rPr>
              <w:t>及时公开</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8</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8</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成本</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资产使用合规性</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r>
              <w:rPr>
                <w:rFonts w:hint="default" w:ascii="Times New Roman" w:hAnsi="Times New Roman" w:eastAsia="仿宋" w:cs="Times New Roman"/>
                <w:color w:val="auto"/>
                <w:kern w:val="0"/>
                <w:szCs w:val="21"/>
                <w:lang w:val="en-US"/>
              </w:rPr>
              <w:t>1</w:t>
            </w:r>
            <w:r>
              <w:rPr>
                <w:rFonts w:hint="eastAsia" w:ascii="Times New Roman" w:hAnsi="Times New Roman" w:eastAsia="仿宋" w:cs="Times New Roman"/>
                <w:color w:val="auto"/>
                <w:kern w:val="0"/>
                <w:szCs w:val="21"/>
                <w:lang w:val="en-US" w:eastAsia="zh-CN"/>
              </w:rPr>
              <w:t>、支出符合国家财经法规和财务管理相关制度以及有关专项资金管理办法的规定</w:t>
            </w:r>
            <w:r>
              <w:rPr>
                <w:rFonts w:hint="default" w:ascii="Times New Roman" w:hAnsi="Times New Roman" w:eastAsia="仿宋" w:cs="Times New Roman"/>
                <w:color w:val="auto"/>
                <w:kern w:val="0"/>
                <w:szCs w:val="21"/>
                <w:lang w:val="en-US" w:eastAsia="zh-CN"/>
              </w:rPr>
              <w:t>2</w:t>
            </w:r>
            <w:r>
              <w:rPr>
                <w:rFonts w:hint="eastAsia" w:ascii="Times New Roman" w:hAnsi="Times New Roman" w:eastAsia="仿宋" w:cs="Times New Roman"/>
                <w:color w:val="auto"/>
                <w:kern w:val="0"/>
                <w:szCs w:val="21"/>
                <w:lang w:val="en-US" w:eastAsia="zh-CN"/>
              </w:rPr>
              <w:t>、资金拨付有完整的审批程序和手续</w:t>
            </w:r>
            <w:r>
              <w:rPr>
                <w:rFonts w:hint="default" w:ascii="Times New Roman" w:hAnsi="Times New Roman" w:eastAsia="仿宋" w:cs="Times New Roman"/>
                <w:color w:val="auto"/>
                <w:kern w:val="0"/>
                <w:szCs w:val="21"/>
                <w:lang w:val="en-US" w:eastAsia="zh-CN"/>
              </w:rPr>
              <w:t>3</w:t>
            </w:r>
            <w:r>
              <w:rPr>
                <w:rFonts w:hint="eastAsia" w:ascii="Times New Roman" w:hAnsi="Times New Roman" w:eastAsia="仿宋" w:cs="Times New Roman"/>
                <w:color w:val="auto"/>
                <w:kern w:val="0"/>
                <w:szCs w:val="21"/>
                <w:lang w:val="en-US" w:eastAsia="zh-CN"/>
              </w:rPr>
              <w:t>、资金使用无截留、挤占、挪用、虚列支出等情况</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eastAsia" w:eastAsia="仿宋" w:cs="Times New Roman"/>
                <w:color w:val="auto"/>
                <w:kern w:val="0"/>
                <w:szCs w:val="21"/>
                <w:lang w:val="en-US" w:eastAsia="zh-CN"/>
              </w:rPr>
              <w:t>合规使用</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10</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10</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效益指标</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（30分）　</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经济效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益指标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提高贫困户收入，促进农村经济发展</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bookmarkStart w:id="0" w:name="_GoBack"/>
            <w:bookmarkEnd w:id="0"/>
            <w:r>
              <w:rPr>
                <w:rFonts w:hint="eastAsia" w:eastAsia="仿宋" w:cs="Times New Roman"/>
                <w:color w:val="auto"/>
                <w:kern w:val="0"/>
                <w:szCs w:val="21"/>
                <w:lang w:val="en-US" w:eastAsia="zh-CN"/>
              </w:rPr>
              <w:t>完成</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15</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15</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社会效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益指标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使贫困地区人口逐步脱贫致富，增加获得感</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达到</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15</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15</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生态效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益指标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p>
        </w:tc>
        <w:tc>
          <w:tcPr>
            <w:tcW w:w="1355"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可持续影响指标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p>
        </w:tc>
        <w:tc>
          <w:tcPr>
            <w:tcW w:w="13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满意度</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指标</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（10分）</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服务对象满意度指标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eastAsia" w:ascii="Times New Roman" w:hAnsi="Times New Roman" w:eastAsia="仿宋" w:cs="Times New Roman"/>
                <w:color w:val="auto"/>
                <w:kern w:val="0"/>
                <w:szCs w:val="21"/>
                <w:lang w:eastAsia="zh-CN"/>
              </w:rPr>
              <w:t>贫困地区人口满意度</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100%</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98%</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10</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9</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gridSpan w:val="7"/>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总分</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100</w:t>
            </w:r>
          </w:p>
        </w:tc>
        <w:tc>
          <w:tcPr>
            <w:tcW w:w="865"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rPr>
              <w:t>　</w:t>
            </w:r>
            <w:r>
              <w:rPr>
                <w:rFonts w:hint="eastAsia" w:eastAsia="仿宋" w:cs="Times New Roman"/>
                <w:color w:val="auto"/>
                <w:kern w:val="0"/>
                <w:szCs w:val="21"/>
                <w:lang w:val="en-US" w:eastAsia="zh-CN"/>
              </w:rPr>
              <w:t>98</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001010101"/>
    <w:charset w:val="86"/>
    <w:family w:val="auto"/>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905F7"/>
    <w:rsid w:val="07A905F7"/>
    <w:rsid w:val="10A85780"/>
    <w:rsid w:val="531C170D"/>
    <w:rsid w:val="572521AF"/>
    <w:rsid w:val="64F44FFC"/>
    <w:rsid w:val="76B5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2020-07-28T01:30:00Z</dcterms:created>
  <dc:creator>Administrator</dc:creator>
  <cp:lastModifiedBy>Administrator</cp:lastModifiedBy>
  <dcterms:modified xsi:type="dcterms:W3CDTF">2020-07-28T03:40:39Z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