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</w:rPr>
        <w:t>部门整体支出绩效目标申报表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>（</w:t>
      </w:r>
      <w:r>
        <w:rPr>
          <w:rFonts w:hint="eastAsia" w:cs="Times New Roman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 xml:space="preserve"> 年度）</w:t>
      </w:r>
    </w:p>
    <w:p>
      <w:pPr>
        <w:spacing w:line="360" w:lineRule="auto"/>
        <w:ind w:left="-420" w:leftChars="-200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填报单位（盖章）：</w:t>
      </w:r>
      <w:r>
        <w:rPr>
          <w:rFonts w:hint="eastAsia" w:ascii="仿宋" w:hAnsi="仿宋" w:eastAsia="仿宋" w:cs="仿宋"/>
          <w:color w:val="auto"/>
          <w:kern w:val="0"/>
          <w:sz w:val="24"/>
        </w:rPr>
        <w:tab/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                      单位负责人（签名）：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3685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kern w:val="0"/>
                <w:szCs w:val="21"/>
              </w:rPr>
              <w:t>石鼓区信访局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年度预算申请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资金总额：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106.380775万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其中：   公共财政拨款：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106.380775万</w:t>
            </w:r>
          </w:p>
          <w:p>
            <w:pPr>
              <w:widowControl/>
              <w:ind w:firstLine="960" w:firstLineChars="4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政府性基金拨款：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纳入专户管理的非税收入拨款：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</w:t>
            </w:r>
          </w:p>
          <w:p>
            <w:pPr>
              <w:ind w:firstLine="960" w:firstLineChars="4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其他资金：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71.380775万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项目支出：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35万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(一)承担中央和省、市颁发的各项信访工作法律、法规及规章制度贯彻执行的责任，并根据我区实际制定具体实施意见。</w:t>
            </w:r>
          </w:p>
          <w:p>
            <w:pPr>
              <w:pStyle w:val="4"/>
              <w:ind w:firstLine="0" w:firstLineChars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(二) 承担受理、交办、转送信访人向区委、区政府出的信访事项的责任; 负责做好区委、区政府领导同志接待上访群众的组织服务工作。</w:t>
            </w:r>
          </w:p>
          <w:p>
            <w:pPr>
              <w:pStyle w:val="4"/>
              <w:ind w:firstLine="0" w:firstLineChars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(三)承办上级和区委、区政府交由处理的信访事项，并按要求及时报告、反馈承办结果。根据区委、区政府领导批示，牵头、会同相关职能部门协调处理信访事项。</w:t>
            </w:r>
          </w:p>
          <w:p>
            <w:pPr>
              <w:pStyle w:val="4"/>
              <w:ind w:firstLine="0" w:firstLineChars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(四) 综合反映来信来访中的重要情况和带政策性、倾向性、苗头性的问题和社会动态，研究、统计、分析信访情况，及时向区委、区政府提出完善政策和改进工作的建议。</w:t>
            </w:r>
          </w:p>
          <w:p>
            <w:pPr>
              <w:pStyle w:val="4"/>
              <w:ind w:firstLine="0" w:firstLineChars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(五)承担受理、办理应由区人民政府复查复核的信访事项的责任。</w:t>
            </w:r>
          </w:p>
          <w:p>
            <w:pPr>
              <w:pStyle w:val="4"/>
              <w:ind w:firstLine="0" w:firstLineChars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(六)承担组织和安排赴省进京上访人员的接待、处置和劝返工作的责任。</w:t>
            </w:r>
          </w:p>
          <w:p>
            <w:pPr>
              <w:pStyle w:val="4"/>
              <w:ind w:firstLine="0" w:firstLineChars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(七)维护信访工作正常秩序。对违反国务院《信访条例》和《湖南省信访条例》规定的单位，工作人员或信访人，予以批评教育直至提请有关部门，单位依法依纪处理。</w:t>
            </w:r>
          </w:p>
          <w:p>
            <w:pPr>
              <w:pStyle w:val="4"/>
              <w:ind w:firstLine="0" w:firstLineChars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(八)总结推广信访工作经验，提出改进和加强信访工作的意见: 开展对信访工作的宣传和理论研讨; 对本区各单位的信访工作进行指导、督促、协调、检查、考核，组织对信访工作人员进行业务培训。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(九)承担全国信访信息系统内本区相关网络信访工作职责。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（十）</w:t>
            </w:r>
            <w:r>
              <w:rPr>
                <w:rFonts w:hint="eastAsia" w:ascii="仿宋" w:hAnsi="仿宋" w:eastAsia="仿宋"/>
                <w:szCs w:val="21"/>
              </w:rPr>
              <w:t>承办区委、区人民政府交办的其他事项。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做好中央、省、市重大节、会的信访维稳工作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争创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“三无”县市区创建活动</w:t>
            </w:r>
          </w:p>
          <w:p>
            <w:pPr>
              <w:pStyle w:val="4"/>
              <w:ind w:firstLine="0" w:firstLineChars="0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</w:t>
            </w:r>
            <w:r>
              <w:rPr>
                <w:rFonts w:ascii="仿宋" w:hAnsi="仿宋" w:eastAsia="仿宋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做好信访的宣传工作，营造依法信访、依法维权的氛围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目标4：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完成年初设定的各项考核指标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2"/>
              <w:tblpPr w:leftFromText="180" w:rightFromText="180" w:vertAnchor="text" w:horzAnchor="page" w:tblpX="1242" w:tblpY="36"/>
              <w:tblOverlap w:val="never"/>
              <w:tblW w:w="96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83" w:hRule="atLeast"/>
              </w:trPr>
              <w:tc>
                <w:tcPr>
                  <w:tcW w:w="7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4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  <w:t>指标1：在职人员控制率。编制数13，在职人员数8，在职人员控制率约60%；</w:t>
                  </w:r>
                </w:p>
                <w:p>
                  <w:pPr>
                    <w:pStyle w:val="4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  <w:t>指标2：“三公经费”控制率：“三公经费”支出保持0.5万元以内，“三公经费”预算数1万元，“三公经费”控制率5</w:t>
                  </w:r>
                  <w:r>
                    <w:rPr>
                      <w:rFonts w:hint="eastAsia" w:ascii="仿宋" w:hAnsi="仿宋" w:eastAsia="仿宋" w:cs="仿宋"/>
                      <w:kern w:val="0"/>
                      <w:szCs w:val="21"/>
                      <w:lang w:val="en-US" w:eastAsia="zh-CN"/>
                    </w:rPr>
                    <w:t>0％</w:t>
                  </w:r>
                  <w:r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  <w:t>以内；</w:t>
                  </w:r>
                </w:p>
                <w:p>
                  <w:pPr>
                    <w:pStyle w:val="4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  <w:t>指标3：信息公开性：在有关网站按时完整公开预决算信息，年度绩效目标，上年度绩效自评报告；</w:t>
                  </w:r>
                </w:p>
                <w:p>
                  <w:pPr>
                    <w:pStyle w:val="4"/>
                    <w:ind w:firstLine="0" w:firstLineChars="0"/>
                    <w:jc w:val="left"/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Cs w:val="21"/>
                    </w:rPr>
                    <w:t>指标4：保障信访局在职人员正常办公、生活秩序，保障信访各项工作顺利开展；</w:t>
                  </w:r>
                </w:p>
              </w:tc>
            </w:tr>
          </w:tbl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指标1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密切党和政府与广大人民群众的联系，是党和政府做群众工作的重要窗口和阵地，为促进科学发展的基础性工作提供有力保障。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指标2:维护正常的信访秩序，保护群众的合法权益。</w:t>
            </w:r>
          </w:p>
          <w:p>
            <w:pPr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指标3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接待群众来信来访，认真倾听群众诉求，了解民意，化解矛盾，排解纠纷，理顺情绪，解决问题。通过这个渠道来凝聚人心，构建和谐社会。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指标4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推动社会主义民主政治建设。各级领导从中吸纳群众智慧，从人民群众的最根本利益出发，实施民主、科学决策，及时调整、完善有关政策。</w:t>
            </w:r>
          </w:p>
          <w:p>
            <w:pPr>
              <w:widowControl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指标5:做好202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年度中央、省、市重大节、会的信访维稳工作，维护了社会稳定。</w:t>
            </w:r>
            <w:bookmarkStart w:id="0" w:name="_GoBack"/>
            <w:bookmarkEnd w:id="0"/>
          </w:p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指标6:开展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重复信访和信访积案“三年清零攻坚战”行动、百日攻坚活动、“我为群众办实事”活动，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维护群众合法权益，促进社会和谐稳定</w:t>
            </w: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财政部门支出股室审核意见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审核部门（签章）         年     月     日</w:t>
            </w:r>
          </w:p>
        </w:tc>
      </w:tr>
    </w:tbl>
    <w:p>
      <w:pPr>
        <w:tabs>
          <w:tab w:val="left" w:pos="1875"/>
        </w:tabs>
        <w:spacing w:line="600" w:lineRule="exact"/>
        <w:rPr>
          <w:sz w:val="21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填表人（签名）：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eastAsia="zh-CN"/>
        </w:rPr>
        <w:t>黄园园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联系电话：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15576710331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>填表日期：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 xml:space="preserve"> 年 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 xml:space="preserve"> 月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</w:rPr>
        <w:t xml:space="preserve">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F4745"/>
    <w:rsid w:val="079C749E"/>
    <w:rsid w:val="254507D4"/>
    <w:rsid w:val="404B0D44"/>
    <w:rsid w:val="5E2F4745"/>
    <w:rsid w:val="6677067E"/>
    <w:rsid w:val="66DE1C3F"/>
    <w:rsid w:val="674F657C"/>
    <w:rsid w:val="7B732BBD"/>
    <w:rsid w:val="7E9A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2021-03-26T07:20:00Z</dcterms:created>
  <dc:creator>优狐电动车@日玥鑫宸</dc:creator>
  <cp:lastModifiedBy>优狐电动车@日玥鑫宸</cp:lastModifiedBy>
  <cp:lastPrinted>2021-03-28T02:41:18Z</cp:lastPrinted>
  <dcterms:modified xsi:type="dcterms:W3CDTF">2021-03-28T02:45:03Z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05D77FA1EE7C46D6AA18F567227CBE1A</vt:lpwstr>
  </property>
</Properties>
</file>