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722"/>
        <w:gridCol w:w="1278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雪亮工程”前端设备及线路租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赁项目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延续专项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新增专项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行政审批服务局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407.6万元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当前,社会治安形势日趋复杂,传统的治安防控措施已经难以满足现实需求。实施“雪亮工程”建设,对视频监控增点扩面,整合网络信号,智能化运维,既是对天网工程、视频监控全覆盖工程的巩固和延伸,也是“互联网+”环境下加强和创新。“雪亮工程”是一项群众性的民安工程、民心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采购编号：石财采计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【2017】295号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建设一套综治信息视频监控平台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2017年12月19日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2018年5月11日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建设好“雪亮工程”坚持“四注重、四坚持”,加快重要部位、复杂场所和农村薄弱地区公共视频监控系统建设,加大基础信息的收集,努力完善立体化社会治安防控体系建设,有效提升防控体系的整体效能。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建设一套综治信息视频监控平台,区、街道和社区三级可控可管;对20个社区每个社区部署50个监控前端,共建设1000个高清网络摄像机,并接入已建3个社区的监控前端到平台统一管理;采用集中式存储,由投资方建设机房存储,对23个社区的监控视频进行集中存储,录像存储时间为45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20个社区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建设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1000个高清网络摄像机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集中储存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45天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=1000个、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视频图像质量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300万高清100个、200万高清900个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项目建设期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3个月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&lt;3个月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项目前期设计费、项目监理费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5万元整、4万元整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成本利润率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70%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社会生活领域目标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生态与经济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可持续发展程度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公共设施、政府服务性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按照合同和招投标文件要求，已完成所有子系统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1000个监控点位的设计、实施工作、自检合格，并通过建设单位和监理单位初步验收，各系统功能均达到合同和招标文件要求，符合相关技术规范，工程终验报告已结束。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8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填报人：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屈斌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填报日期：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2021.3.29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1E96"/>
    <w:rsid w:val="07505889"/>
    <w:rsid w:val="0EFE298A"/>
    <w:rsid w:val="132B24CE"/>
    <w:rsid w:val="19386A66"/>
    <w:rsid w:val="196D6EF9"/>
    <w:rsid w:val="387C7BB8"/>
    <w:rsid w:val="3FB0322C"/>
    <w:rsid w:val="646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2020-05-26T08:47:00Z</dcterms:created>
  <dc:creator>贺小二</dc:creator>
  <cp:lastModifiedBy>贺小二</cp:lastModifiedBy>
  <dcterms:modified xsi:type="dcterms:W3CDTF">2021-03-29T07:56:13Z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