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Style w:val="4"/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目录</w:t>
      </w:r>
    </w:p>
    <w:p>
      <w:pPr>
        <w:widowControl/>
        <w:spacing w:line="600" w:lineRule="exact"/>
        <w:ind w:firstLine="482" w:firstLineChars="200"/>
        <w:rPr>
          <w:rFonts w:eastAsia="仿宋_GB2312"/>
          <w:b/>
          <w:bCs/>
          <w:kern w:val="0"/>
          <w:sz w:val="24"/>
          <w:szCs w:val="24"/>
        </w:rPr>
      </w:pPr>
      <w:r>
        <w:rPr>
          <w:rFonts w:eastAsia="仿宋_GB2312"/>
          <w:b/>
          <w:bCs/>
          <w:kern w:val="0"/>
          <w:sz w:val="24"/>
          <w:szCs w:val="24"/>
        </w:rPr>
        <w:t xml:space="preserve">第一部分 </w:t>
      </w:r>
      <w:r>
        <w:rPr>
          <w:rFonts w:hint="eastAsia" w:eastAsia="仿宋_GB2312"/>
          <w:b/>
          <w:bCs/>
          <w:kern w:val="0"/>
          <w:sz w:val="24"/>
          <w:szCs w:val="24"/>
          <w:lang w:eastAsia="zh-CN"/>
        </w:rPr>
        <w:t>石鼓区角山镇人民政府</w:t>
      </w:r>
      <w:r>
        <w:rPr>
          <w:rFonts w:eastAsia="仿宋_GB2312"/>
          <w:b/>
          <w:bCs/>
          <w:kern w:val="0"/>
          <w:sz w:val="24"/>
          <w:szCs w:val="24"/>
        </w:rPr>
        <w:t>部门概况</w:t>
      </w:r>
    </w:p>
    <w:p>
      <w:pPr>
        <w:pStyle w:val="6"/>
        <w:spacing w:line="600" w:lineRule="exact"/>
        <w:ind w:firstLine="600" w:firstLineChars="2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1、部门职责</w:t>
      </w:r>
    </w:p>
    <w:p>
      <w:pPr>
        <w:pStyle w:val="6"/>
        <w:spacing w:line="600" w:lineRule="exact"/>
        <w:ind w:firstLine="600" w:firstLineChars="2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2、机构设置</w:t>
      </w:r>
    </w:p>
    <w:p>
      <w:pPr>
        <w:widowControl/>
        <w:spacing w:line="600" w:lineRule="exact"/>
        <w:ind w:firstLine="482" w:firstLineChars="200"/>
        <w:jc w:val="left"/>
        <w:rPr>
          <w:rFonts w:eastAsia="仿宋_GB2312"/>
          <w:b/>
          <w:bCs/>
          <w:kern w:val="0"/>
          <w:sz w:val="24"/>
          <w:szCs w:val="24"/>
        </w:rPr>
      </w:pPr>
      <w:r>
        <w:rPr>
          <w:rFonts w:eastAsia="仿宋_GB2312"/>
          <w:b/>
          <w:bCs/>
          <w:kern w:val="0"/>
          <w:sz w:val="24"/>
          <w:szCs w:val="24"/>
        </w:rPr>
        <w:t>第二部分</w:t>
      </w:r>
      <w:r>
        <w:rPr>
          <w:rFonts w:hint="eastAsia" w:eastAsia="仿宋_GB2312"/>
          <w:b/>
          <w:bCs/>
          <w:kern w:val="0"/>
          <w:sz w:val="24"/>
          <w:szCs w:val="24"/>
        </w:rPr>
        <w:t xml:space="preserve"> </w:t>
      </w:r>
      <w:r>
        <w:rPr>
          <w:rFonts w:eastAsia="仿宋_GB2312"/>
          <w:b/>
          <w:bCs/>
          <w:kern w:val="0"/>
          <w:sz w:val="24"/>
          <w:szCs w:val="24"/>
        </w:rPr>
        <w:t>部门决算表</w:t>
      </w:r>
    </w:p>
    <w:p>
      <w:pPr>
        <w:pStyle w:val="6"/>
        <w:spacing w:line="600" w:lineRule="exact"/>
        <w:ind w:firstLine="600" w:firstLineChars="2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部门收支</w:t>
      </w:r>
      <w:r>
        <w:rPr>
          <w:rFonts w:ascii="Times New Roman" w:hAnsi="Times New Roman" w:eastAsia="仿宋_GB2312" w:cs="Times New Roman"/>
          <w:sz w:val="24"/>
          <w:szCs w:val="24"/>
        </w:rPr>
        <w:t>决算总表</w:t>
      </w:r>
    </w:p>
    <w:p>
      <w:pPr>
        <w:pStyle w:val="6"/>
        <w:spacing w:line="600" w:lineRule="exact"/>
        <w:ind w:firstLine="600" w:firstLineChars="2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部门</w:t>
      </w:r>
      <w:r>
        <w:rPr>
          <w:rFonts w:ascii="Times New Roman" w:hAnsi="Times New Roman" w:eastAsia="仿宋_GB2312" w:cs="Times New Roman"/>
          <w:sz w:val="24"/>
          <w:szCs w:val="24"/>
        </w:rPr>
        <w:t>收入决算表</w:t>
      </w:r>
    </w:p>
    <w:p>
      <w:pPr>
        <w:pStyle w:val="6"/>
        <w:spacing w:line="600" w:lineRule="exact"/>
        <w:ind w:firstLine="600" w:firstLineChars="2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部门</w:t>
      </w:r>
      <w:r>
        <w:rPr>
          <w:rFonts w:ascii="Times New Roman" w:hAnsi="Times New Roman" w:eastAsia="仿宋_GB2312" w:cs="Times New Roman"/>
          <w:sz w:val="24"/>
          <w:szCs w:val="24"/>
        </w:rPr>
        <w:t>支出决算表</w:t>
      </w:r>
    </w:p>
    <w:p>
      <w:pPr>
        <w:pStyle w:val="6"/>
        <w:spacing w:line="600" w:lineRule="exact"/>
        <w:ind w:firstLine="600" w:firstLineChars="2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4、财政拨款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收支</w:t>
      </w:r>
      <w:r>
        <w:rPr>
          <w:rFonts w:ascii="Times New Roman" w:hAnsi="Times New Roman" w:eastAsia="仿宋_GB2312" w:cs="Times New Roman"/>
          <w:sz w:val="24"/>
          <w:szCs w:val="24"/>
        </w:rPr>
        <w:t>决算总表</w:t>
      </w:r>
    </w:p>
    <w:p>
      <w:pPr>
        <w:pStyle w:val="6"/>
        <w:spacing w:line="600" w:lineRule="exact"/>
        <w:ind w:firstLine="600" w:firstLineChars="2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5、一般公共预算财政拨款支出决算表</w:t>
      </w:r>
    </w:p>
    <w:p>
      <w:pPr>
        <w:pStyle w:val="6"/>
        <w:spacing w:line="600" w:lineRule="exact"/>
        <w:ind w:firstLine="600" w:firstLineChars="2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6、一般公共预算财政拨款基本支出决算表</w:t>
      </w:r>
    </w:p>
    <w:p>
      <w:pPr>
        <w:pStyle w:val="6"/>
        <w:spacing w:line="600" w:lineRule="exact"/>
        <w:ind w:firstLine="600" w:firstLineChars="2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7、一般公共预算财政拨款“三公”经费支出决算表</w:t>
      </w:r>
    </w:p>
    <w:p>
      <w:pPr>
        <w:pStyle w:val="6"/>
        <w:spacing w:line="600" w:lineRule="exact"/>
        <w:ind w:firstLine="600" w:firstLineChars="2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8、政府性基金预算财政拨款收入支出决算表</w:t>
      </w:r>
    </w:p>
    <w:p>
      <w:pPr>
        <w:widowControl/>
        <w:spacing w:line="600" w:lineRule="exact"/>
        <w:ind w:firstLine="482" w:firstLineChars="200"/>
        <w:jc w:val="left"/>
        <w:rPr>
          <w:rFonts w:eastAsia="仿宋_GB2312"/>
          <w:b/>
          <w:bCs/>
          <w:kern w:val="0"/>
          <w:sz w:val="24"/>
          <w:szCs w:val="24"/>
        </w:rPr>
      </w:pPr>
      <w:r>
        <w:rPr>
          <w:rFonts w:eastAsia="仿宋_GB2312"/>
          <w:b/>
          <w:bCs/>
          <w:kern w:val="0"/>
          <w:sz w:val="24"/>
          <w:szCs w:val="24"/>
        </w:rPr>
        <w:t>第三部分</w:t>
      </w:r>
      <w:r>
        <w:rPr>
          <w:rFonts w:hint="eastAsia" w:eastAsia="仿宋_GB2312"/>
          <w:b/>
          <w:bCs/>
          <w:kern w:val="0"/>
          <w:sz w:val="24"/>
          <w:szCs w:val="24"/>
        </w:rPr>
        <w:t xml:space="preserve"> </w:t>
      </w:r>
      <w:r>
        <w:rPr>
          <w:rFonts w:hint="eastAsia" w:eastAsia="仿宋_GB2312"/>
          <w:b/>
          <w:bCs/>
          <w:kern w:val="0"/>
          <w:sz w:val="24"/>
          <w:szCs w:val="24"/>
          <w:lang w:val="en-US" w:eastAsia="zh-CN"/>
        </w:rPr>
        <w:t>2018</w:t>
      </w:r>
      <w:r>
        <w:rPr>
          <w:rFonts w:eastAsia="仿宋_GB2312"/>
          <w:b/>
          <w:bCs/>
          <w:kern w:val="0"/>
          <w:sz w:val="24"/>
          <w:szCs w:val="24"/>
        </w:rPr>
        <w:t>年度部门决算情况说明</w:t>
      </w:r>
    </w:p>
    <w:p>
      <w:pPr>
        <w:pStyle w:val="6"/>
        <w:spacing w:line="600" w:lineRule="exact"/>
        <w:ind w:firstLine="600" w:firstLineChars="2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1、收入支出决算总体情况说明</w:t>
      </w:r>
    </w:p>
    <w:p>
      <w:pPr>
        <w:spacing w:line="600" w:lineRule="exact"/>
        <w:ind w:firstLine="600" w:firstLineChars="250"/>
        <w:jc w:val="lef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2、收入决算情况说明</w:t>
      </w:r>
    </w:p>
    <w:p>
      <w:pPr>
        <w:autoSpaceDE w:val="0"/>
        <w:autoSpaceDN w:val="0"/>
        <w:adjustRightInd w:val="0"/>
        <w:spacing w:line="600" w:lineRule="exact"/>
        <w:ind w:firstLine="600" w:firstLineChars="250"/>
        <w:jc w:val="left"/>
        <w:rPr>
          <w:rFonts w:eastAsia="仿宋_GB2312"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24"/>
          <w:szCs w:val="24"/>
        </w:rPr>
        <w:t>3、支出决算情况说明</w:t>
      </w:r>
    </w:p>
    <w:p>
      <w:pPr>
        <w:autoSpaceDE w:val="0"/>
        <w:autoSpaceDN w:val="0"/>
        <w:adjustRightInd w:val="0"/>
        <w:spacing w:line="600" w:lineRule="exact"/>
        <w:ind w:firstLine="600" w:firstLineChars="250"/>
        <w:jc w:val="left"/>
        <w:rPr>
          <w:rFonts w:eastAsia="仿宋_GB2312"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24"/>
          <w:szCs w:val="24"/>
        </w:rPr>
        <w:t>4、财政拨款收入支出决算总体情况说明</w:t>
      </w:r>
    </w:p>
    <w:p>
      <w:pPr>
        <w:autoSpaceDE w:val="0"/>
        <w:autoSpaceDN w:val="0"/>
        <w:adjustRightInd w:val="0"/>
        <w:spacing w:line="600" w:lineRule="exact"/>
        <w:ind w:firstLine="600" w:firstLineChars="250"/>
        <w:jc w:val="left"/>
        <w:rPr>
          <w:rFonts w:eastAsia="仿宋_GB2312"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24"/>
          <w:szCs w:val="24"/>
        </w:rPr>
        <w:t>5、一般公共预算财政拨款支出决算情况说明</w:t>
      </w:r>
    </w:p>
    <w:p>
      <w:pPr>
        <w:autoSpaceDE w:val="0"/>
        <w:autoSpaceDN w:val="0"/>
        <w:adjustRightInd w:val="0"/>
        <w:spacing w:line="600" w:lineRule="exact"/>
        <w:ind w:firstLine="600" w:firstLineChars="250"/>
        <w:jc w:val="left"/>
        <w:rPr>
          <w:rFonts w:eastAsia="仿宋_GB2312"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24"/>
          <w:szCs w:val="24"/>
        </w:rPr>
        <w:t>6、一般公共预算财政拨款基本支出决算情况说明</w:t>
      </w:r>
    </w:p>
    <w:p>
      <w:pPr>
        <w:autoSpaceDE w:val="0"/>
        <w:autoSpaceDN w:val="0"/>
        <w:adjustRightInd w:val="0"/>
        <w:spacing w:line="600" w:lineRule="exact"/>
        <w:ind w:firstLine="600" w:firstLineChars="250"/>
        <w:jc w:val="left"/>
        <w:rPr>
          <w:rFonts w:eastAsia="仿宋_GB2312"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24"/>
          <w:szCs w:val="24"/>
        </w:rPr>
        <w:t>7、一般公共预算财政拨款三公经费支出决算情况说明</w:t>
      </w:r>
    </w:p>
    <w:p>
      <w:pPr>
        <w:autoSpaceDE w:val="0"/>
        <w:autoSpaceDN w:val="0"/>
        <w:adjustRightInd w:val="0"/>
        <w:spacing w:line="600" w:lineRule="exact"/>
        <w:ind w:firstLine="600" w:firstLineChars="250"/>
        <w:jc w:val="left"/>
        <w:rPr>
          <w:rFonts w:eastAsia="仿宋_GB2312"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24"/>
          <w:szCs w:val="24"/>
        </w:rPr>
        <w:t>8、政府性基金预算收入支出决算情况</w:t>
      </w:r>
    </w:p>
    <w:p>
      <w:pPr>
        <w:autoSpaceDE w:val="0"/>
        <w:autoSpaceDN w:val="0"/>
        <w:adjustRightInd w:val="0"/>
        <w:spacing w:line="600" w:lineRule="exact"/>
        <w:ind w:firstLine="600" w:firstLineChars="250"/>
        <w:jc w:val="left"/>
        <w:rPr>
          <w:rFonts w:eastAsia="仿宋_GB2312"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24"/>
          <w:szCs w:val="24"/>
        </w:rPr>
        <w:t>9、预算绩效情况说明</w:t>
      </w:r>
    </w:p>
    <w:p>
      <w:pPr>
        <w:autoSpaceDE w:val="0"/>
        <w:autoSpaceDN w:val="0"/>
        <w:adjustRightInd w:val="0"/>
        <w:spacing w:line="600" w:lineRule="exact"/>
        <w:ind w:firstLine="600" w:firstLineChars="250"/>
        <w:jc w:val="left"/>
        <w:rPr>
          <w:rFonts w:eastAsia="仿宋_GB2312"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24"/>
          <w:szCs w:val="24"/>
        </w:rPr>
        <w:t>10、其他重要事项情况说明</w:t>
      </w:r>
    </w:p>
    <w:p>
      <w:pPr>
        <w:widowControl/>
        <w:spacing w:line="600" w:lineRule="exact"/>
        <w:ind w:firstLine="482" w:firstLineChars="200"/>
        <w:jc w:val="left"/>
        <w:rPr>
          <w:rFonts w:eastAsia="仿宋_GB2312"/>
          <w:b/>
          <w:bCs/>
          <w:kern w:val="0"/>
          <w:sz w:val="24"/>
          <w:szCs w:val="24"/>
        </w:rPr>
      </w:pPr>
      <w:r>
        <w:rPr>
          <w:rFonts w:eastAsia="仿宋_GB2312"/>
          <w:b/>
          <w:bCs/>
          <w:kern w:val="0"/>
          <w:sz w:val="24"/>
          <w:szCs w:val="24"/>
        </w:rPr>
        <w:t>第四部分</w:t>
      </w:r>
      <w:r>
        <w:rPr>
          <w:rFonts w:hint="eastAsia" w:eastAsia="仿宋_GB2312"/>
          <w:b/>
          <w:bCs/>
          <w:kern w:val="0"/>
          <w:sz w:val="24"/>
          <w:szCs w:val="24"/>
        </w:rPr>
        <w:t xml:space="preserve"> </w:t>
      </w:r>
      <w:r>
        <w:rPr>
          <w:rFonts w:eastAsia="仿宋_GB2312"/>
          <w:b/>
          <w:bCs/>
          <w:kern w:val="0"/>
          <w:sz w:val="24"/>
          <w:szCs w:val="24"/>
        </w:rPr>
        <w:t>名词解释</w:t>
      </w:r>
    </w:p>
    <w:p>
      <w:pPr>
        <w:widowControl/>
        <w:spacing w:line="600" w:lineRule="exact"/>
        <w:ind w:firstLine="482" w:firstLineChars="200"/>
        <w:jc w:val="left"/>
        <w:rPr>
          <w:rFonts w:eastAsia="仿宋_GB2312"/>
          <w:b/>
          <w:bCs/>
          <w:kern w:val="0"/>
          <w:sz w:val="24"/>
          <w:szCs w:val="24"/>
        </w:rPr>
      </w:pPr>
      <w:r>
        <w:rPr>
          <w:rFonts w:eastAsia="仿宋_GB2312"/>
          <w:b/>
          <w:bCs/>
          <w:kern w:val="0"/>
          <w:sz w:val="24"/>
          <w:szCs w:val="24"/>
        </w:rPr>
        <w:t>第五部分</w:t>
      </w:r>
      <w:r>
        <w:rPr>
          <w:rFonts w:hint="eastAsia" w:eastAsia="仿宋_GB2312"/>
          <w:b/>
          <w:bCs/>
          <w:kern w:val="0"/>
          <w:sz w:val="24"/>
          <w:szCs w:val="24"/>
        </w:rPr>
        <w:t xml:space="preserve"> </w:t>
      </w:r>
      <w:r>
        <w:rPr>
          <w:rFonts w:eastAsia="仿宋_GB2312"/>
          <w:b/>
          <w:bCs/>
          <w:kern w:val="0"/>
          <w:sz w:val="24"/>
          <w:szCs w:val="24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jc w:val="center"/>
        <w:rPr>
          <w:rFonts w:hint="eastAsia" w:ascii="黑体" w:hAnsi="黑体" w:eastAsia="黑体"/>
          <w:bCs/>
          <w:kern w:val="0"/>
          <w:sz w:val="28"/>
          <w:szCs w:val="28"/>
        </w:rPr>
      </w:pPr>
      <w:r>
        <w:rPr>
          <w:rFonts w:hint="eastAsia" w:eastAsia="方正小标宋_GBK"/>
          <w:bCs/>
          <w:kern w:val="0"/>
          <w:sz w:val="28"/>
          <w:szCs w:val="28"/>
        </w:rPr>
        <w:t>第一部分</w:t>
      </w:r>
      <w:r>
        <w:rPr>
          <w:rFonts w:hint="eastAsia" w:eastAsia="方正小标宋_GBK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eastAsia="方正小标宋_GBK"/>
          <w:bCs/>
          <w:kern w:val="0"/>
          <w:sz w:val="28"/>
          <w:szCs w:val="28"/>
          <w:lang w:eastAsia="zh-CN"/>
        </w:rPr>
        <w:t>石鼓区角山镇人民政府</w:t>
      </w:r>
      <w:r>
        <w:rPr>
          <w:rFonts w:hint="eastAsia" w:eastAsia="方正小标宋_GBK"/>
          <w:bCs/>
          <w:kern w:val="0"/>
          <w:sz w:val="28"/>
          <w:szCs w:val="28"/>
        </w:rPr>
        <w:t>单位概况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 w:firstLine="480" w:firstLineChars="200"/>
        <w:jc w:val="both"/>
        <w:rPr>
          <w:rFonts w:hint="eastAsia" w:ascii="黑体" w:hAnsi="黑体" w:eastAsia="黑体"/>
          <w:bCs/>
          <w:kern w:val="0"/>
          <w:sz w:val="24"/>
          <w:szCs w:val="24"/>
        </w:rPr>
      </w:pPr>
      <w:r>
        <w:rPr>
          <w:rFonts w:hint="eastAsia" w:ascii="黑体" w:hAnsi="黑体" w:eastAsia="黑体"/>
          <w:bCs/>
          <w:kern w:val="0"/>
          <w:sz w:val="24"/>
          <w:szCs w:val="24"/>
        </w:rPr>
        <w:t>一、部门职责</w:t>
      </w:r>
    </w:p>
    <w:p>
      <w:pPr>
        <w:widowControl/>
        <w:spacing w:line="600" w:lineRule="exact"/>
        <w:ind w:firstLine="482" w:firstLineChars="200"/>
        <w:rPr>
          <w:rFonts w:hint="eastAsia" w:eastAsia="仿宋_GB2312"/>
          <w:bCs/>
          <w:kern w:val="0"/>
          <w:sz w:val="24"/>
          <w:szCs w:val="24"/>
        </w:rPr>
      </w:pPr>
      <w:r>
        <w:rPr>
          <w:rFonts w:hint="eastAsia" w:ascii="楷体_GB2312" w:hAnsi="宋体" w:eastAsia="楷体_GB2312"/>
          <w:b/>
          <w:bCs/>
          <w:kern w:val="0"/>
          <w:sz w:val="24"/>
          <w:szCs w:val="24"/>
        </w:rPr>
        <w:t>（一）</w:t>
      </w:r>
      <w:r>
        <w:rPr>
          <w:rFonts w:hint="eastAsia" w:eastAsia="仿宋_GB2312"/>
          <w:bCs/>
          <w:kern w:val="0"/>
          <w:sz w:val="24"/>
          <w:szCs w:val="24"/>
        </w:rPr>
        <w:t>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</w:r>
    </w:p>
    <w:p>
      <w:pPr>
        <w:widowControl/>
        <w:spacing w:line="600" w:lineRule="exact"/>
        <w:ind w:firstLine="482" w:firstLineChars="200"/>
        <w:rPr>
          <w:rFonts w:hint="eastAsia" w:eastAsia="仿宋_GB2312"/>
          <w:bCs/>
          <w:kern w:val="0"/>
          <w:sz w:val="24"/>
          <w:szCs w:val="24"/>
        </w:rPr>
      </w:pPr>
      <w:r>
        <w:rPr>
          <w:rFonts w:hint="eastAsia" w:ascii="楷体_GB2312" w:hAnsi="宋体" w:eastAsia="楷体_GB2312"/>
          <w:b/>
          <w:bCs/>
          <w:kern w:val="0"/>
          <w:sz w:val="24"/>
          <w:szCs w:val="24"/>
        </w:rPr>
        <w:t>（</w:t>
      </w:r>
      <w:r>
        <w:rPr>
          <w:rFonts w:hint="eastAsia" w:ascii="楷体_GB2312" w:hAnsi="宋体" w:eastAsia="楷体_GB2312"/>
          <w:b/>
          <w:bCs/>
          <w:kern w:val="0"/>
          <w:sz w:val="24"/>
          <w:szCs w:val="24"/>
          <w:lang w:eastAsia="zh-CN"/>
        </w:rPr>
        <w:t>二</w:t>
      </w:r>
      <w:r>
        <w:rPr>
          <w:rFonts w:hint="eastAsia" w:ascii="楷体_GB2312" w:hAnsi="宋体" w:eastAsia="楷体_GB2312"/>
          <w:b/>
          <w:bCs/>
          <w:kern w:val="0"/>
          <w:sz w:val="24"/>
          <w:szCs w:val="24"/>
        </w:rPr>
        <w:t>）</w:t>
      </w:r>
      <w:r>
        <w:rPr>
          <w:rFonts w:hint="eastAsia" w:eastAsia="仿宋_GB2312"/>
          <w:bCs/>
          <w:kern w:val="0"/>
          <w:sz w:val="24"/>
          <w:szCs w:val="24"/>
        </w:rPr>
        <w:t>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widowControl/>
        <w:spacing w:line="600" w:lineRule="exact"/>
        <w:ind w:firstLine="482" w:firstLineChars="200"/>
        <w:rPr>
          <w:rFonts w:hint="eastAsia" w:eastAsia="仿宋_GB2312"/>
          <w:bCs/>
          <w:kern w:val="0"/>
          <w:sz w:val="24"/>
          <w:szCs w:val="24"/>
        </w:rPr>
      </w:pPr>
      <w:r>
        <w:rPr>
          <w:rFonts w:hint="eastAsia" w:ascii="楷体_GB2312" w:hAnsi="宋体" w:eastAsia="楷体_GB2312"/>
          <w:b/>
          <w:bCs/>
          <w:kern w:val="0"/>
          <w:sz w:val="24"/>
          <w:szCs w:val="24"/>
        </w:rPr>
        <w:t>（</w:t>
      </w:r>
      <w:r>
        <w:rPr>
          <w:rFonts w:hint="eastAsia" w:ascii="楷体_GB2312" w:hAnsi="宋体" w:eastAsia="楷体_GB2312"/>
          <w:b/>
          <w:bCs/>
          <w:kern w:val="0"/>
          <w:sz w:val="24"/>
          <w:szCs w:val="24"/>
          <w:lang w:eastAsia="zh-CN"/>
        </w:rPr>
        <w:t>三</w:t>
      </w:r>
      <w:r>
        <w:rPr>
          <w:rFonts w:hint="eastAsia" w:ascii="楷体_GB2312" w:hAnsi="宋体" w:eastAsia="楷体_GB2312"/>
          <w:b/>
          <w:bCs/>
          <w:kern w:val="0"/>
          <w:sz w:val="24"/>
          <w:szCs w:val="24"/>
        </w:rPr>
        <w:t>）</w:t>
      </w:r>
      <w:r>
        <w:rPr>
          <w:rFonts w:hint="eastAsia" w:eastAsia="仿宋_GB2312"/>
          <w:bCs/>
          <w:kern w:val="0"/>
          <w:sz w:val="24"/>
          <w:szCs w:val="24"/>
        </w:rPr>
        <w:t>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>
      <w:pPr>
        <w:widowControl/>
        <w:spacing w:line="600" w:lineRule="exact"/>
        <w:ind w:firstLine="482" w:firstLineChars="200"/>
        <w:rPr>
          <w:rFonts w:hint="eastAsia" w:eastAsia="仿宋_GB2312"/>
          <w:bCs/>
          <w:kern w:val="0"/>
          <w:sz w:val="24"/>
          <w:szCs w:val="24"/>
        </w:rPr>
      </w:pPr>
      <w:r>
        <w:rPr>
          <w:rFonts w:hint="eastAsia" w:ascii="楷体_GB2312" w:hAnsi="宋体" w:eastAsia="楷体_GB2312"/>
          <w:b/>
          <w:bCs/>
          <w:kern w:val="0"/>
          <w:sz w:val="24"/>
          <w:szCs w:val="24"/>
        </w:rPr>
        <w:t>（</w:t>
      </w:r>
      <w:r>
        <w:rPr>
          <w:rFonts w:hint="eastAsia" w:ascii="楷体_GB2312" w:hAnsi="宋体" w:eastAsia="楷体_GB2312"/>
          <w:b/>
          <w:bCs/>
          <w:kern w:val="0"/>
          <w:sz w:val="24"/>
          <w:szCs w:val="24"/>
          <w:lang w:eastAsia="zh-CN"/>
        </w:rPr>
        <w:t>四</w:t>
      </w:r>
      <w:r>
        <w:rPr>
          <w:rFonts w:hint="eastAsia" w:ascii="楷体_GB2312" w:hAnsi="宋体" w:eastAsia="楷体_GB2312"/>
          <w:b/>
          <w:bCs/>
          <w:kern w:val="0"/>
          <w:sz w:val="24"/>
          <w:szCs w:val="24"/>
        </w:rPr>
        <w:t>）</w:t>
      </w:r>
      <w:r>
        <w:rPr>
          <w:rFonts w:hint="eastAsia" w:eastAsia="仿宋_GB2312"/>
          <w:bCs/>
          <w:kern w:val="0"/>
          <w:sz w:val="24"/>
          <w:szCs w:val="24"/>
        </w:rPr>
        <w:t>按计划组织本级财政收入和地方税的征收，完成国家财政计划，不断培植税源，管好财政资金，增强财政实力。</w:t>
      </w:r>
    </w:p>
    <w:p>
      <w:pPr>
        <w:widowControl/>
        <w:spacing w:line="600" w:lineRule="exact"/>
        <w:ind w:firstLine="482" w:firstLineChars="200"/>
        <w:rPr>
          <w:rFonts w:hint="eastAsia" w:eastAsia="仿宋_GB2312"/>
          <w:bCs/>
          <w:kern w:val="0"/>
          <w:sz w:val="24"/>
          <w:szCs w:val="24"/>
        </w:rPr>
      </w:pPr>
      <w:r>
        <w:rPr>
          <w:rFonts w:hint="eastAsia" w:ascii="楷体_GB2312" w:hAnsi="宋体" w:eastAsia="楷体_GB2312"/>
          <w:b/>
          <w:bCs/>
          <w:kern w:val="0"/>
          <w:sz w:val="24"/>
          <w:szCs w:val="24"/>
        </w:rPr>
        <w:t>（</w:t>
      </w:r>
      <w:r>
        <w:rPr>
          <w:rFonts w:hint="eastAsia" w:ascii="楷体_GB2312" w:hAnsi="宋体" w:eastAsia="楷体_GB2312"/>
          <w:b/>
          <w:bCs/>
          <w:kern w:val="0"/>
          <w:sz w:val="24"/>
          <w:szCs w:val="24"/>
          <w:lang w:eastAsia="zh-CN"/>
        </w:rPr>
        <w:t>五</w:t>
      </w:r>
      <w:r>
        <w:rPr>
          <w:rFonts w:hint="eastAsia" w:ascii="楷体_GB2312" w:hAnsi="宋体" w:eastAsia="楷体_GB2312"/>
          <w:b/>
          <w:bCs/>
          <w:kern w:val="0"/>
          <w:sz w:val="24"/>
          <w:szCs w:val="24"/>
        </w:rPr>
        <w:t>）</w:t>
      </w:r>
      <w:r>
        <w:rPr>
          <w:rFonts w:hint="eastAsia" w:eastAsia="仿宋_GB2312"/>
          <w:bCs/>
          <w:kern w:val="0"/>
          <w:sz w:val="24"/>
          <w:szCs w:val="24"/>
        </w:rPr>
        <w:t>抓好精神文明建设，丰富群众文化生活，提倡移风易俗，反对封建迷信，破除陈规陋习，树立社会主义新风尚。</w:t>
      </w:r>
    </w:p>
    <w:p>
      <w:pPr>
        <w:widowControl/>
        <w:spacing w:line="600" w:lineRule="exact"/>
        <w:ind w:firstLine="482" w:firstLineChars="200"/>
        <w:rPr>
          <w:rFonts w:hint="eastAsia" w:eastAsia="仿宋_GB2312"/>
          <w:bCs/>
          <w:kern w:val="0"/>
          <w:sz w:val="24"/>
          <w:szCs w:val="24"/>
        </w:rPr>
      </w:pPr>
      <w:r>
        <w:rPr>
          <w:rFonts w:hint="eastAsia" w:ascii="楷体_GB2312" w:hAnsi="宋体" w:eastAsia="楷体_GB2312"/>
          <w:b/>
          <w:bCs/>
          <w:kern w:val="0"/>
          <w:sz w:val="24"/>
          <w:szCs w:val="24"/>
        </w:rPr>
        <w:t>（</w:t>
      </w:r>
      <w:r>
        <w:rPr>
          <w:rFonts w:hint="eastAsia" w:ascii="楷体_GB2312" w:hAnsi="宋体" w:eastAsia="楷体_GB2312"/>
          <w:b/>
          <w:bCs/>
          <w:kern w:val="0"/>
          <w:sz w:val="24"/>
          <w:szCs w:val="24"/>
          <w:lang w:eastAsia="zh-CN"/>
        </w:rPr>
        <w:t>六</w:t>
      </w:r>
      <w:r>
        <w:rPr>
          <w:rFonts w:hint="eastAsia" w:ascii="楷体_GB2312" w:hAnsi="宋体" w:eastAsia="楷体_GB2312"/>
          <w:b/>
          <w:bCs/>
          <w:kern w:val="0"/>
          <w:sz w:val="24"/>
          <w:szCs w:val="24"/>
        </w:rPr>
        <w:t>）</w:t>
      </w:r>
      <w:r>
        <w:rPr>
          <w:rFonts w:hint="eastAsia" w:eastAsia="仿宋_GB2312"/>
          <w:bCs/>
          <w:kern w:val="0"/>
          <w:sz w:val="24"/>
          <w:szCs w:val="24"/>
        </w:rPr>
        <w:t>完成上级政府交办的其它事项。</w:t>
      </w:r>
    </w:p>
    <w:p>
      <w:pPr>
        <w:widowControl/>
        <w:spacing w:line="600" w:lineRule="exact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黑体" w:hAnsi="黑体" w:eastAsia="黑体"/>
          <w:bCs/>
          <w:kern w:val="0"/>
          <w:sz w:val="24"/>
          <w:szCs w:val="24"/>
        </w:rPr>
        <w:t>二、机构设置及决算单位构成</w:t>
      </w:r>
    </w:p>
    <w:p>
      <w:pPr>
        <w:pStyle w:val="2"/>
        <w:keepNext w:val="0"/>
        <w:keepLines w:val="0"/>
        <w:widowControl/>
        <w:suppressLineNumbers w:val="0"/>
        <w:tabs>
          <w:tab w:val="left" w:pos="0"/>
        </w:tabs>
        <w:spacing w:before="75" w:beforeAutospacing="0" w:after="75" w:afterAutospacing="0"/>
        <w:ind w:left="0" w:right="0" w:firstLine="660"/>
        <w:rPr>
          <w:rFonts w:hint="eastAsia" w:eastAsia="仿宋_GB2312" w:asciiTheme="minorHAnsi" w:hAnsiTheme="minorHAnsi" w:cstheme="minorBidi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/>
          <w:b/>
          <w:bCs/>
          <w:kern w:val="0"/>
          <w:sz w:val="24"/>
          <w:szCs w:val="24"/>
        </w:rPr>
        <w:t>（一）内设机构设置。</w:t>
      </w:r>
      <w:r>
        <w:rPr>
          <w:rFonts w:hint="eastAsia" w:eastAsia="仿宋_GB2312" w:asciiTheme="minorHAnsi" w:hAnsiTheme="minorHAnsi" w:cstheme="minorBidi"/>
          <w:bCs/>
          <w:kern w:val="0"/>
          <w:sz w:val="24"/>
          <w:szCs w:val="24"/>
          <w:lang w:val="en-US" w:eastAsia="zh-CN" w:bidi="ar-SA"/>
        </w:rPr>
        <w:t>角山镇人民政府内设机构包括：党委、政协机关、人大、财政所、农业服务管理中心、计生服务站、敬老院。</w:t>
      </w:r>
    </w:p>
    <w:p>
      <w:pPr>
        <w:pStyle w:val="2"/>
        <w:keepNext w:val="0"/>
        <w:keepLines w:val="0"/>
        <w:widowControl/>
        <w:suppressLineNumbers w:val="0"/>
        <w:tabs>
          <w:tab w:val="left" w:pos="0"/>
        </w:tabs>
        <w:spacing w:before="75" w:beforeAutospacing="0" w:after="75" w:afterAutospacing="0"/>
        <w:ind w:left="0" w:right="0" w:firstLine="660"/>
        <w:rPr>
          <w:rFonts w:hint="eastAsia" w:eastAsia="仿宋_GB2312" w:asciiTheme="minorHAnsi" w:hAnsiTheme="minorHAnsi" w:cstheme="minorBidi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/>
          <w:b/>
          <w:bCs/>
          <w:kern w:val="0"/>
          <w:sz w:val="24"/>
          <w:szCs w:val="24"/>
        </w:rPr>
        <w:t>（二）决算单位构成。</w:t>
      </w:r>
      <w:r>
        <w:rPr>
          <w:rFonts w:hint="eastAsia" w:eastAsia="仿宋_GB2312" w:asciiTheme="minorHAnsi" w:hAnsiTheme="minorHAnsi" w:cstheme="minorBidi"/>
          <w:bCs/>
          <w:kern w:val="0"/>
          <w:sz w:val="24"/>
          <w:szCs w:val="24"/>
          <w:lang w:val="en-US" w:eastAsia="zh-CN" w:bidi="ar-SA"/>
        </w:rPr>
        <w:t>角山镇人民政府2018年部门决算汇总公开单位构成包括：角山镇人民政府本级及计生服务站以及敬老院。</w:t>
      </w:r>
    </w:p>
    <w:p>
      <w:pPr>
        <w:widowControl/>
        <w:spacing w:line="600" w:lineRule="exact"/>
        <w:ind w:left="0" w:leftChars="0" w:firstLine="0" w:firstLineChars="0"/>
        <w:jc w:val="center"/>
        <w:rPr>
          <w:rFonts w:hint="eastAsia" w:eastAsia="方正小标宋_GBK"/>
          <w:bCs/>
          <w:kern w:val="0"/>
          <w:sz w:val="28"/>
          <w:szCs w:val="28"/>
        </w:rPr>
      </w:pPr>
      <w:r>
        <w:rPr>
          <w:rFonts w:hint="eastAsia" w:eastAsia="方正小标宋_GBK"/>
          <w:bCs/>
          <w:kern w:val="0"/>
          <w:sz w:val="28"/>
          <w:szCs w:val="28"/>
        </w:rPr>
        <w:t>第二部分</w:t>
      </w:r>
      <w:r>
        <w:rPr>
          <w:rFonts w:hint="eastAsia" w:eastAsia="方正小标宋_GBK" w:asciiTheme="minorHAnsi" w:hAnsiTheme="minorHAnsi" w:cstheme="minorBidi"/>
          <w:bCs/>
          <w:kern w:val="0"/>
          <w:sz w:val="28"/>
          <w:szCs w:val="28"/>
          <w:lang w:val="en-US" w:eastAsia="zh-CN" w:bidi="ar-SA"/>
        </w:rPr>
        <w:t xml:space="preserve"> 2018</w:t>
      </w:r>
      <w:r>
        <w:rPr>
          <w:rFonts w:eastAsia="方正小标宋_GBK"/>
          <w:bCs/>
          <w:kern w:val="0"/>
          <w:sz w:val="28"/>
          <w:szCs w:val="28"/>
        </w:rPr>
        <w:t>年</w:t>
      </w:r>
      <w:r>
        <w:rPr>
          <w:rFonts w:hint="eastAsia" w:eastAsia="方正小标宋_GBK"/>
          <w:bCs/>
          <w:kern w:val="0"/>
          <w:sz w:val="28"/>
          <w:szCs w:val="28"/>
        </w:rPr>
        <w:t>部门决算表</w:t>
      </w:r>
    </w:p>
    <w:p>
      <w:pPr>
        <w:widowControl/>
        <w:spacing w:line="600" w:lineRule="exact"/>
        <w:ind w:firstLine="480" w:firstLineChars="200"/>
        <w:jc w:val="both"/>
        <w:rPr>
          <w:rFonts w:hint="eastAsia" w:eastAsia="方正小标宋_GBK"/>
          <w:bCs/>
          <w:kern w:val="0"/>
          <w:sz w:val="24"/>
          <w:szCs w:val="24"/>
          <w:lang w:val="en-US" w:eastAsia="zh-CN"/>
        </w:rPr>
      </w:pPr>
      <w:r>
        <w:rPr>
          <w:rFonts w:hint="eastAsia" w:eastAsia="方正小标宋_GBK"/>
          <w:bCs/>
          <w:kern w:val="0"/>
          <w:sz w:val="24"/>
          <w:szCs w:val="24"/>
          <w:lang w:val="en-US" w:eastAsia="zh-CN"/>
        </w:rPr>
        <w:t>2018</w:t>
      </w:r>
      <w:r>
        <w:rPr>
          <w:rFonts w:eastAsia="方正小标宋_GBK"/>
          <w:bCs/>
          <w:kern w:val="0"/>
          <w:sz w:val="24"/>
          <w:szCs w:val="24"/>
        </w:rPr>
        <w:t>年</w:t>
      </w:r>
      <w:r>
        <w:rPr>
          <w:rFonts w:hint="eastAsia" w:eastAsia="方正小标宋_GBK"/>
          <w:bCs/>
          <w:kern w:val="0"/>
          <w:sz w:val="24"/>
          <w:szCs w:val="24"/>
        </w:rPr>
        <w:t>部门决算表</w:t>
      </w:r>
      <w:r>
        <w:rPr>
          <w:rFonts w:hint="eastAsia" w:eastAsia="方正小标宋_GBK"/>
          <w:bCs/>
          <w:kern w:val="0"/>
          <w:sz w:val="24"/>
          <w:szCs w:val="24"/>
          <w:lang w:val="en-US" w:eastAsia="zh-CN"/>
        </w:rPr>
        <w:t>(见附表)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eastAsia="方正小标宋_GBK" w:asciiTheme="minorHAnsi" w:hAnsiTheme="minorHAnsi" w:cstheme="minorBidi"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eastAsia="方正小标宋_GBK" w:asciiTheme="minorHAnsi" w:hAnsiTheme="minorHAnsi" w:cstheme="minorBidi"/>
          <w:bCs/>
          <w:kern w:val="0"/>
          <w:sz w:val="36"/>
          <w:szCs w:val="36"/>
          <w:lang w:val="en-US" w:eastAsia="zh-CN" w:bidi="ar-SA"/>
        </w:rPr>
        <w:t>　　</w:t>
      </w:r>
      <w:r>
        <w:rPr>
          <w:rFonts w:hint="eastAsia" w:eastAsia="方正小标宋_GBK" w:asciiTheme="minorHAnsi" w:hAnsiTheme="minorHAnsi" w:cstheme="minorBidi"/>
          <w:bCs/>
          <w:kern w:val="0"/>
          <w:sz w:val="28"/>
          <w:szCs w:val="28"/>
          <w:lang w:val="en-US" w:eastAsia="zh-CN" w:bidi="ar-SA"/>
        </w:rPr>
        <w:t>第三部分 2018年度部门决算情况说明</w:t>
      </w:r>
    </w:p>
    <w:p>
      <w:pPr>
        <w:pStyle w:val="6"/>
        <w:spacing w:line="600" w:lineRule="exact"/>
        <w:ind w:firstLine="480" w:firstLineChars="200"/>
        <w:rPr>
          <w:rFonts w:hAnsi="黑体" w:cs="Times New Roman"/>
          <w:color w:val="auto"/>
          <w:sz w:val="24"/>
          <w:szCs w:val="24"/>
        </w:rPr>
      </w:pPr>
      <w:r>
        <w:rPr>
          <w:rFonts w:hAnsi="黑体" w:cs="Times New Roman"/>
          <w:color w:val="auto"/>
          <w:sz w:val="24"/>
          <w:szCs w:val="24"/>
        </w:rPr>
        <w:t>一、收入支出决算总体情况说明</w:t>
      </w:r>
    </w:p>
    <w:p>
      <w:pPr>
        <w:pStyle w:val="6"/>
        <w:spacing w:line="60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2018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年度收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入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总计4181.86万元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与201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年相比，增加6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57.55万元，增长18.66%；2018年支出总计3685.96万元，与2017年相比，增加474.26万元，增长14.77%。主要是因为增加环境保护（砖厂及养殖场拆除）支出265万元，增加扶贫专项支出（基础设施建设）211.4万元，增加美丽乡村建设专项收入300万元（已支出150万元）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640" w:leftChars="0" w:right="0" w:firstLine="0" w:firstLineChars="0"/>
        <w:rPr>
          <w:rFonts w:hint="eastAsia" w:ascii="黑体" w:hAnsi="黑体" w:eastAsia="黑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0"/>
          <w:sz w:val="24"/>
          <w:szCs w:val="24"/>
          <w:lang w:val="en-US" w:eastAsia="zh-CN" w:bidi="ar-SA"/>
        </w:rPr>
        <w:t>收入决算情况说明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本年收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入合计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4181.86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万元，其中：财政拨款收入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3156.93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75.5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%；其他收入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1024.93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24.5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</w:t>
      </w:r>
      <w:r>
        <w:rPr>
          <w:rFonts w:hint="eastAsia" w:ascii="黑体" w:hAnsi="黑体" w:eastAsia="黑体" w:cs="Times New Roman"/>
          <w:color w:val="auto"/>
          <w:kern w:val="0"/>
          <w:sz w:val="24"/>
          <w:szCs w:val="24"/>
          <w:lang w:val="en-US" w:eastAsia="zh-CN" w:bidi="ar-SA"/>
        </w:rPr>
        <w:t>三、支出决算情况说明</w:t>
      </w:r>
    </w:p>
    <w:p>
      <w:pPr>
        <w:pStyle w:val="6"/>
        <w:spacing w:line="60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本年支出合计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3685.96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万元，其中：基本支出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1239.27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33.6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%；项目支出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2446.69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66.4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</w:t>
      </w:r>
      <w:r>
        <w:rPr>
          <w:rFonts w:hint="eastAsia" w:ascii="黑体" w:hAnsi="黑体" w:eastAsia="黑体" w:cs="Times New Roman"/>
          <w:color w:val="auto"/>
          <w:kern w:val="0"/>
          <w:sz w:val="24"/>
          <w:szCs w:val="24"/>
          <w:lang w:val="en-US" w:eastAsia="zh-CN" w:bidi="ar-SA"/>
        </w:rPr>
        <w:t>四、财政拨款收入支出决算总体情况说明</w:t>
      </w:r>
    </w:p>
    <w:p>
      <w:pPr>
        <w:pStyle w:val="6"/>
        <w:spacing w:line="60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2018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年度财政拨款收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入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总计3156.93万元，与2017年相比，增加453.27万元,增长16.8%；2018年度财政拨款支出总计2758.48万元，与2017年相比，增加313.05万元，增长12.8%。主要是因为本年扶贫支出、环保支出、房屋改造支出和基础设施建设等项目支出较去年投入加大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75" w:beforeAutospacing="0" w:after="75" w:afterAutospacing="0"/>
        <w:ind w:left="620" w:leftChars="0" w:right="0" w:firstLine="0" w:firstLineChars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黑体" w:hAnsi="黑体" w:eastAsia="黑体" w:cs="Times New Roman"/>
          <w:color w:val="auto"/>
          <w:kern w:val="0"/>
          <w:sz w:val="24"/>
          <w:szCs w:val="24"/>
          <w:lang w:val="en-US" w:eastAsia="zh-CN" w:bidi="ar-SA"/>
        </w:rPr>
        <w:t>一般公共预算财政拨款支出决算情况说明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 w:firstLine="482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color w:val="auto"/>
          <w:sz w:val="24"/>
          <w:szCs w:val="24"/>
        </w:rPr>
        <w:t>（一）财政拨款支出决算总体情况</w:t>
      </w:r>
    </w:p>
    <w:p>
      <w:pPr>
        <w:pStyle w:val="6"/>
        <w:spacing w:line="60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2018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年度财政拨款支出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2758.48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万元，占本年支出合计的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74.8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%，与201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年相比，财政拨款支出增加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313.05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万元，增长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12.8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%，主要是因为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本年扶贫支出、环保支出、房屋改造支出和基础设施建设等项目支出较去年投入加大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。</w:t>
      </w:r>
    </w:p>
    <w:p>
      <w:pPr>
        <w:pStyle w:val="6"/>
        <w:spacing w:line="600" w:lineRule="exact"/>
        <w:ind w:firstLine="482" w:firstLineChars="200"/>
        <w:rPr>
          <w:rFonts w:hint="eastAsia" w:ascii="楷体_GB2312" w:hAnsi="Times New Roman" w:eastAsia="楷体_GB2312" w:cs="Times New Roman"/>
          <w:b/>
          <w:color w:val="auto"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color w:val="auto"/>
          <w:sz w:val="24"/>
          <w:szCs w:val="24"/>
        </w:rPr>
        <w:t>（二）财政拨款支出决算结构情况。</w:t>
      </w:r>
    </w:p>
    <w:p>
      <w:pPr>
        <w:pStyle w:val="6"/>
        <w:spacing w:line="60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2018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年度财政拨款支出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2758.48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万元，主要用于以下方面：一般公共服务（类）支出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900.83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32.7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%；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社会保障和就业（类）支出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91.06万元，占3.3%；医疗卫生与计划生育（类）支出66.82万元，占2.5%；节能环保（类）支出265万元，占9.6%；城乡社区（类）支出123.87万元，占4.5%；农林水（类）支出1015.48万元，占36.8%；交通运输（类）支出6万元。占0.2%；住房保障（类）支出271.42万元，占9.9%；其他（类）支出18万元，占0.7%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</w:t>
      </w:r>
      <w:r>
        <w:rPr>
          <w:rFonts w:hint="eastAsia" w:ascii="楷体_GB2312" w:hAnsi="Times New Roman" w:eastAsia="楷体_GB2312" w:cs="Times New Roman"/>
          <w:b/>
          <w:color w:val="auto"/>
          <w:kern w:val="0"/>
          <w:sz w:val="24"/>
          <w:szCs w:val="24"/>
          <w:lang w:val="en-US" w:eastAsia="zh-CN" w:bidi="ar-SA"/>
        </w:rPr>
        <w:t>（三）财政拨款支出决算具体情况。</w:t>
      </w:r>
    </w:p>
    <w:p>
      <w:pPr>
        <w:pStyle w:val="6"/>
        <w:spacing w:line="600" w:lineRule="exact"/>
        <w:ind w:firstLine="480" w:firstLineChars="2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2018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年度财政拨款支出年初预算数为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939.34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万元，支出决算数为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2758.48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万元，完成年初预算的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328.6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%，其中：</w:t>
      </w:r>
    </w:p>
    <w:p>
      <w:pPr>
        <w:pStyle w:val="6"/>
        <w:spacing w:line="600" w:lineRule="exact"/>
        <w:ind w:firstLine="480" w:firstLineChars="2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1、一般公共服务（类）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政府办公厅（室）及相关机构事务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（款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）行政运行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（项）。</w:t>
      </w:r>
    </w:p>
    <w:p>
      <w:pPr>
        <w:pStyle w:val="6"/>
        <w:spacing w:line="60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年初预算为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495.00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1593.24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万元，完成年初预算的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321.87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%，决算数大于年初预算数的主要原因是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项目增加。</w:t>
      </w:r>
    </w:p>
    <w:p>
      <w:pPr>
        <w:pStyle w:val="6"/>
        <w:spacing w:line="600" w:lineRule="exact"/>
        <w:ind w:firstLine="480" w:firstLineChars="2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社会保障和就业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（类）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民政管理事务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（款）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基层政权和社区建设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（项）。</w:t>
      </w:r>
    </w:p>
    <w:p>
      <w:pPr>
        <w:pStyle w:val="6"/>
        <w:spacing w:line="60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年初预算为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27.00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19.23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万元，完成年初预算的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71.22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%，决算数小于年初预算数的主要原因是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缩减开支。</w:t>
      </w:r>
    </w:p>
    <w:p>
      <w:pPr>
        <w:pStyle w:val="6"/>
        <w:numPr>
          <w:ilvl w:val="0"/>
          <w:numId w:val="0"/>
        </w:numPr>
        <w:spacing w:line="60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社会保障和就业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（类）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行政事业单位离退休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（款）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机关事业单位基本养老保险缴费（项）</w:t>
      </w:r>
    </w:p>
    <w:p>
      <w:pPr>
        <w:pStyle w:val="6"/>
        <w:numPr>
          <w:ilvl w:val="0"/>
          <w:numId w:val="0"/>
        </w:numPr>
        <w:spacing w:line="60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年初预算为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66.63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68.82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万元，完成年初预算的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103.29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%，决算数大于年初预算数的主要原因是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正常增幅。</w:t>
      </w:r>
    </w:p>
    <w:p>
      <w:pPr>
        <w:pStyle w:val="6"/>
        <w:numPr>
          <w:ilvl w:val="0"/>
          <w:numId w:val="0"/>
        </w:numPr>
        <w:spacing w:line="60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医疗卫生与计划生育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（类）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计划生育事务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（款）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其他计划生育事务（项）</w:t>
      </w:r>
    </w:p>
    <w:p>
      <w:pPr>
        <w:pStyle w:val="6"/>
        <w:numPr>
          <w:ilvl w:val="0"/>
          <w:numId w:val="0"/>
        </w:numPr>
        <w:spacing w:line="60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年初预算为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42.64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36.24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万元，完成年初预算的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85.00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%，决算数大于（小于）年初预算数的主要原因是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缩减开支。</w:t>
      </w:r>
    </w:p>
    <w:p>
      <w:pPr>
        <w:pStyle w:val="6"/>
        <w:numPr>
          <w:ilvl w:val="0"/>
          <w:numId w:val="0"/>
        </w:numPr>
        <w:spacing w:line="60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5、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医疗卫生与计划生育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（类）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行政事业单位医疗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（款）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行政单位医疗（项）</w:t>
      </w:r>
    </w:p>
    <w:p>
      <w:pPr>
        <w:pStyle w:val="6"/>
        <w:numPr>
          <w:ilvl w:val="0"/>
          <w:numId w:val="0"/>
        </w:numPr>
        <w:spacing w:line="60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年初预算为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27.67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28.58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万元，完成年初预算的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103.29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%，决算数大于（小于）年初预算数的主要原因是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正常增幅。</w:t>
      </w:r>
    </w:p>
    <w:p>
      <w:pPr>
        <w:pStyle w:val="6"/>
        <w:numPr>
          <w:ilvl w:val="0"/>
          <w:numId w:val="0"/>
        </w:numPr>
        <w:spacing w:line="60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6、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农林水支出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（类）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农村综合改革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（款）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对村民委员会和村党支部的补助（项）</w:t>
      </w:r>
    </w:p>
    <w:p>
      <w:pPr>
        <w:pStyle w:val="6"/>
        <w:numPr>
          <w:ilvl w:val="0"/>
          <w:numId w:val="0"/>
        </w:numPr>
        <w:spacing w:line="60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年初预算为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115.59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59.22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万元，完成年初预算的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51.23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%，决算数大于（小于）年初预算数的主要原因是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缩减开支。</w:t>
      </w:r>
    </w:p>
    <w:p>
      <w:pPr>
        <w:pStyle w:val="6"/>
        <w:numPr>
          <w:ilvl w:val="0"/>
          <w:numId w:val="0"/>
        </w:numPr>
        <w:spacing w:line="60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7、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住房保障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（类）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住房改革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（款）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住房公积金（项）</w:t>
      </w:r>
    </w:p>
    <w:p>
      <w:pPr>
        <w:pStyle w:val="6"/>
        <w:numPr>
          <w:ilvl w:val="0"/>
          <w:numId w:val="0"/>
        </w:numPr>
        <w:spacing w:line="60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年初预算为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38.16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39.42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万元，完成年初预算的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103.30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%，决算数大于（小于）年初预算数的主要原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因是正常增幅。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</w:t>
      </w:r>
      <w:r>
        <w:rPr>
          <w:rFonts w:hint="eastAsia" w:ascii="黑体" w:hAnsi="黑体" w:eastAsia="黑体" w:cs="Times New Roman"/>
          <w:color w:val="auto"/>
          <w:kern w:val="0"/>
          <w:sz w:val="24"/>
          <w:szCs w:val="24"/>
          <w:lang w:val="en-US" w:eastAsia="zh-CN" w:bidi="ar-SA"/>
        </w:rPr>
        <w:t>　六、一般公共预算财政拨款基本支出决算情况说明</w:t>
      </w:r>
    </w:p>
    <w:p>
      <w:pPr>
        <w:pStyle w:val="6"/>
        <w:spacing w:line="600" w:lineRule="exact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2018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年度财政拨款基本支出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1206.07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万元，其中：人员经费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893.85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万元，占基本支出的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74.11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%,主要包括基本工资、津贴补贴、奖金、伙食补助费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等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；公用经费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312.22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万元，占基本支出的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25.89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%，主要包括办公费、印刷费、咨询费、手续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费等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黑体" w:hAnsi="黑体" w:eastAsia="黑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0"/>
          <w:sz w:val="24"/>
          <w:szCs w:val="24"/>
          <w:lang w:val="en-US" w:eastAsia="zh-CN" w:bidi="ar-SA"/>
        </w:rPr>
        <w:t>　　七、一般公共预算财政拨款三公经费支出决算情况说明</w:t>
      </w:r>
    </w:p>
    <w:p>
      <w:pPr>
        <w:pStyle w:val="6"/>
        <w:spacing w:line="600" w:lineRule="exact"/>
        <w:ind w:firstLine="482" w:firstLineChars="200"/>
        <w:rPr>
          <w:rFonts w:hint="eastAsia" w:ascii="楷体_GB2312" w:hAnsi="Times New Roman" w:eastAsia="楷体_GB2312" w:cs="Times New Roman"/>
          <w:b/>
          <w:color w:val="auto"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color w:val="auto"/>
          <w:sz w:val="24"/>
          <w:szCs w:val="24"/>
        </w:rPr>
        <w:t>（一）“三公”经费财政拨款支出决算总体情况说明</w:t>
      </w:r>
    </w:p>
    <w:p>
      <w:pPr>
        <w:pStyle w:val="6"/>
        <w:spacing w:line="600" w:lineRule="exact"/>
        <w:ind w:firstLine="480" w:firstLineChars="2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“三公”经费财政拨款支出预算为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6.44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3.00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万元，完成预算的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46.58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%，其中：</w:t>
      </w:r>
    </w:p>
    <w:p>
      <w:pPr>
        <w:pStyle w:val="6"/>
        <w:spacing w:line="600" w:lineRule="exact"/>
        <w:ind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因公出国（境）费支出预算为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</w:p>
    <w:p>
      <w:pPr>
        <w:pStyle w:val="6"/>
        <w:spacing w:line="600" w:lineRule="exact"/>
        <w:ind w:firstLine="480" w:firstLineChars="2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公务接待费支出预算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4.1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万元，完成预算的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24.39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%，决算数小于年初预算数的主要原因是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2018年实行“三公”经费单位与拆迁项目分开核算，严格区分单位经费支出和项目经费支出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与上年相比减少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3.13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万元，减少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75.79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%,减少的主要原因是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2018年实行“三公”经费单位与拆迁项目分开核算，严格区分单位经费支出和项目经费支出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。</w:t>
      </w:r>
    </w:p>
    <w:p>
      <w:pPr>
        <w:pStyle w:val="6"/>
        <w:spacing w:line="600" w:lineRule="exact"/>
        <w:ind w:firstLine="480" w:firstLineChars="2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公务用车购置费及运行维护费支出预算为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2.34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万元，完成预算的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85.47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%，决算数小于年初预算数的主要原因是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2018年实行“三公”经费单位与拆迁项目分开核算，严格区分单位经费支出和项目经费支出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与上年相比减少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0.34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万元，减少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14.53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%,减少的主要原因是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2018年实行“三公”经费单位与拆迁项目分开核算，严格区分单位经费支出和项目经费支出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。</w:t>
      </w:r>
    </w:p>
    <w:p>
      <w:pPr>
        <w:pStyle w:val="6"/>
        <w:spacing w:line="600" w:lineRule="exact"/>
        <w:ind w:firstLine="482" w:firstLineChars="200"/>
        <w:rPr>
          <w:rFonts w:hint="eastAsia" w:ascii="楷体_GB2312" w:hAnsi="Times New Roman" w:eastAsia="楷体_GB2312" w:cs="Times New Roman"/>
          <w:b/>
          <w:color w:val="auto"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color w:val="auto"/>
          <w:sz w:val="24"/>
          <w:szCs w:val="24"/>
        </w:rPr>
        <w:t>（二）“三公”经费财政拨款支出决算具体情况说明</w:t>
      </w:r>
    </w:p>
    <w:p>
      <w:pPr>
        <w:pStyle w:val="6"/>
        <w:spacing w:line="600" w:lineRule="exact"/>
        <w:ind w:firstLine="480" w:firstLineChars="2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2018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年度“三公”经费财政拨款支出决算中，公务接待费支出决算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1.00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33.3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 xml:space="preserve"> %,因公出国（境）费支出决算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 xml:space="preserve"> %,公务用车购置费及运行维护费支出决算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2.00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66.7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%。其中：</w:t>
      </w:r>
    </w:p>
    <w:p>
      <w:pPr>
        <w:pStyle w:val="6"/>
        <w:spacing w:line="600" w:lineRule="exact"/>
        <w:ind w:firstLine="480" w:firstLineChars="2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、公务接待费支出决算为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1.00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万元，全年共接待来访团组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21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个、来宾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198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人次，主要是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调研活动、审计检查等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发生的接待支出。</w:t>
      </w:r>
    </w:p>
    <w:p>
      <w:pPr>
        <w:spacing w:line="600" w:lineRule="exact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eastAsia="仿宋_GB2312"/>
          <w:sz w:val="24"/>
          <w:szCs w:val="24"/>
        </w:rPr>
        <w:t>3、公务用车购置费及运行维护费支出决算为</w:t>
      </w:r>
      <w:r>
        <w:rPr>
          <w:rFonts w:hint="eastAsia" w:eastAsia="仿宋_GB2312"/>
          <w:sz w:val="24"/>
          <w:szCs w:val="24"/>
          <w:lang w:val="en-US" w:eastAsia="zh-CN"/>
        </w:rPr>
        <w:t>2.00</w:t>
      </w:r>
      <w:r>
        <w:rPr>
          <w:rFonts w:eastAsia="仿宋_GB2312"/>
          <w:sz w:val="24"/>
          <w:szCs w:val="24"/>
        </w:rPr>
        <w:t>万元，其中：公务用车购置费</w:t>
      </w:r>
      <w:r>
        <w:rPr>
          <w:rFonts w:hint="eastAsia" w:eastAsia="仿宋_GB2312"/>
          <w:sz w:val="24"/>
          <w:szCs w:val="24"/>
          <w:lang w:val="en-US" w:eastAsia="zh-CN"/>
        </w:rPr>
        <w:t>0</w:t>
      </w:r>
      <w:r>
        <w:rPr>
          <w:rFonts w:eastAsia="仿宋_GB2312"/>
          <w:sz w:val="24"/>
          <w:szCs w:val="24"/>
        </w:rPr>
        <w:t>万元。公务用车运行维护费</w:t>
      </w:r>
      <w:r>
        <w:rPr>
          <w:rFonts w:hint="eastAsia" w:eastAsia="仿宋_GB2312"/>
          <w:sz w:val="24"/>
          <w:szCs w:val="24"/>
          <w:lang w:val="en-US" w:eastAsia="zh-CN"/>
        </w:rPr>
        <w:t>2.00</w:t>
      </w:r>
      <w:r>
        <w:rPr>
          <w:rFonts w:eastAsia="仿宋_GB2312"/>
          <w:sz w:val="24"/>
          <w:szCs w:val="24"/>
        </w:rPr>
        <w:t>万元，主要是</w:t>
      </w:r>
      <w:r>
        <w:rPr>
          <w:rFonts w:hint="eastAsia" w:eastAsia="仿宋_GB2312"/>
          <w:sz w:val="24"/>
          <w:szCs w:val="24"/>
          <w:lang w:eastAsia="zh-CN"/>
        </w:rPr>
        <w:t>公务用车维修及保养</w:t>
      </w:r>
      <w:r>
        <w:rPr>
          <w:rFonts w:eastAsia="仿宋_GB2312"/>
          <w:sz w:val="24"/>
          <w:szCs w:val="24"/>
        </w:rPr>
        <w:t>支出，截止</w:t>
      </w:r>
      <w:r>
        <w:rPr>
          <w:rFonts w:hint="eastAsia" w:eastAsia="仿宋_GB2312"/>
          <w:sz w:val="24"/>
          <w:szCs w:val="24"/>
          <w:lang w:val="en-US" w:eastAsia="zh-CN"/>
        </w:rPr>
        <w:t>2018</w:t>
      </w:r>
      <w:r>
        <w:rPr>
          <w:rFonts w:eastAsia="仿宋_GB2312"/>
          <w:sz w:val="24"/>
          <w:szCs w:val="24"/>
        </w:rPr>
        <w:t>年 12月31日，我单位开支财政拨款的公务用车保有量为</w:t>
      </w:r>
      <w:r>
        <w:rPr>
          <w:rFonts w:hint="eastAsia" w:eastAsia="仿宋_GB2312"/>
          <w:sz w:val="24"/>
          <w:szCs w:val="24"/>
          <w:lang w:val="en-US" w:eastAsia="zh-CN"/>
        </w:rPr>
        <w:t>1</w:t>
      </w:r>
      <w:r>
        <w:rPr>
          <w:rFonts w:eastAsia="仿宋_GB2312"/>
          <w:sz w:val="24"/>
          <w:szCs w:val="24"/>
        </w:rPr>
        <w:t>辆。</w:t>
      </w:r>
      <w:r>
        <w:rPr>
          <w:rFonts w:eastAsia="仿宋_GB2312"/>
          <w:kern w:val="0"/>
          <w:sz w:val="24"/>
          <w:szCs w:val="24"/>
        </w:rPr>
        <w:t>（三公经费支出口径应在专业名词解释中予以说明）</w:t>
      </w:r>
    </w:p>
    <w:p>
      <w:pPr>
        <w:pStyle w:val="6"/>
        <w:spacing w:line="600" w:lineRule="exact"/>
        <w:ind w:firstLine="480" w:firstLineChars="200"/>
        <w:rPr>
          <w:rFonts w:hAnsi="黑体" w:cs="Times New Roman"/>
          <w:color w:val="auto"/>
          <w:sz w:val="24"/>
          <w:szCs w:val="24"/>
        </w:rPr>
      </w:pPr>
      <w:r>
        <w:rPr>
          <w:rFonts w:hAnsi="黑体" w:cs="Times New Roman"/>
          <w:color w:val="auto"/>
          <w:sz w:val="24"/>
          <w:szCs w:val="24"/>
        </w:rPr>
        <w:t>八、政府性基金预算收入支出决算情况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2018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年度政府性基金预算财政拨款收入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269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万元；年初结转和结余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56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万元；支出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46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万元，其中基本支出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15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万元，项目支出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31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万元；年末结转和结余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279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万元。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楷体_GB2312" w:hAnsi="Times New Roman" w:eastAsia="楷体_GB2312" w:cs="Times New Roman"/>
          <w:b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0"/>
          <w:sz w:val="24"/>
          <w:szCs w:val="24"/>
          <w:lang w:val="en-US" w:eastAsia="zh-CN" w:bidi="ar-SA"/>
        </w:rPr>
        <w:t>关于2018年度预算绩效情况说明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 w:firstLine="482" w:firstLineChars="200"/>
        <w:rPr>
          <w:rFonts w:hint="eastAsia" w:ascii="楷体_GB2312" w:hAnsi="Times New Roman" w:eastAsia="楷体_GB2312" w:cs="Times New Roman"/>
          <w:b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b/>
          <w:color w:val="auto"/>
          <w:kern w:val="0"/>
          <w:sz w:val="24"/>
          <w:szCs w:val="24"/>
          <w:lang w:val="en-US" w:eastAsia="zh-CN" w:bidi="ar-SA"/>
        </w:rPr>
        <w:t>（一）绩效管理工作开展情况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480" w:firstLineChars="200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本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单位已开展2018年部门预算整体支出和专项支出绩效评价工作，涉及一般公共预算支出3685.936万元，其中：基本支出1239.27万元，项目支出2446.69万元。评价结果显示我局2018年绩效目标完成较好，在区委区政府的领导下较好的完成了本职工作。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75" w:beforeAutospacing="0" w:after="75" w:afterAutospacing="0"/>
        <w:ind w:right="0" w:firstLine="482" w:firstLineChars="200"/>
        <w:rPr>
          <w:rFonts w:hint="eastAsia" w:ascii="楷体_GB2312" w:hAnsi="Times New Roman" w:eastAsia="楷体_GB2312" w:cs="Times New Roman"/>
          <w:b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b/>
          <w:color w:val="auto"/>
          <w:kern w:val="0"/>
          <w:sz w:val="24"/>
          <w:szCs w:val="24"/>
          <w:lang w:val="en-US" w:eastAsia="zh-CN" w:bidi="ar-SA"/>
        </w:rPr>
        <w:t>扶贫项目资金绩效自评情况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Chars="0" w:right="0" w:rightChars="0" w:firstLine="48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本次绩效自评工作开展范围是2018年财政专项扶贫资金项目，本单位扶贫项目为农村公路提质改造和产业委托帮扶。本单位对扶贫资金项目开展自评，并负责同类项目汇总自评。项目实施的单位对各自的项目开展自评，本单位对项目单位打分考核，并上报区财政扶贫小组考核计分，对不达标的责令限期整改并达到验收要求。对本年度考核情况纳入2018年单位考核。考核形式为自查和抽查相结合，整个工作于2018年11月底完成。自评表与年度总结详见附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75" w:beforeAutospacing="0" w:after="75" w:afterAutospacing="0"/>
        <w:ind w:left="0" w:leftChars="0" w:right="0" w:firstLine="480" w:firstLineChars="200"/>
        <w:rPr>
          <w:rFonts w:hint="eastAsia" w:ascii="楷体_GB2312" w:eastAsia="楷体_GB2312"/>
          <w:b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color w:val="auto"/>
          <w:kern w:val="0"/>
          <w:sz w:val="24"/>
          <w:szCs w:val="24"/>
          <w:lang w:val="en-US" w:eastAsia="zh-CN" w:bidi="ar-SA"/>
        </w:rPr>
        <w:t>其他重要事项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 w:firstLine="482" w:firstLineChars="200"/>
        <w:rPr>
          <w:rFonts w:hint="eastAsia" w:ascii="楷体_GB2312" w:eastAsia="楷体_GB2312"/>
          <w:b/>
          <w:kern w:val="0"/>
          <w:sz w:val="24"/>
          <w:szCs w:val="24"/>
        </w:rPr>
      </w:pPr>
      <w:r>
        <w:rPr>
          <w:rFonts w:hint="eastAsia" w:ascii="楷体_GB2312" w:eastAsia="楷体_GB2312"/>
          <w:b/>
          <w:kern w:val="0"/>
          <w:sz w:val="24"/>
          <w:szCs w:val="24"/>
        </w:rPr>
        <w:t>（一）机关运行经费支出情况</w:t>
      </w:r>
    </w:p>
    <w:p>
      <w:pPr>
        <w:spacing w:line="600" w:lineRule="exact"/>
        <w:ind w:firstLine="480" w:firstLineChars="200"/>
        <w:rPr>
          <w:rFonts w:hint="eastAsia" w:eastAsia="仿宋_GB2312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本部门2018年度机关运行经费支出344.20万元，比年初预算数增加207.50万元，增长151.80%。主要原因是：部分支出未在年初预算中列支。</w:t>
      </w:r>
    </w:p>
    <w:p>
      <w:pPr>
        <w:spacing w:line="600" w:lineRule="exact"/>
        <w:ind w:firstLine="482" w:firstLineChars="200"/>
        <w:rPr>
          <w:rFonts w:eastAsia="仿宋_GB2312"/>
          <w:kern w:val="0"/>
          <w:sz w:val="24"/>
          <w:szCs w:val="24"/>
        </w:rPr>
      </w:pPr>
      <w:r>
        <w:rPr>
          <w:rFonts w:hint="eastAsia" w:ascii="楷体_GB2312" w:eastAsia="楷体_GB2312" w:cstheme="minorBidi"/>
          <w:b/>
          <w:kern w:val="0"/>
          <w:sz w:val="24"/>
          <w:szCs w:val="24"/>
          <w:lang w:val="en-US" w:eastAsia="zh-CN" w:bidi="ar"/>
        </w:rPr>
        <w:t>（二）</w:t>
      </w:r>
      <w:r>
        <w:rPr>
          <w:rFonts w:hint="eastAsia" w:ascii="楷体_GB2312" w:eastAsia="楷体_GB2312" w:hAnsiTheme="minorHAnsi" w:cstheme="minorBidi"/>
          <w:b/>
          <w:kern w:val="0"/>
          <w:sz w:val="24"/>
          <w:szCs w:val="24"/>
          <w:lang w:val="en-US" w:eastAsia="zh-CN" w:bidi="ar"/>
        </w:rPr>
        <w:t>一般性支出情</w:t>
      </w:r>
      <w:r>
        <w:rPr>
          <w:rFonts w:hint="eastAsia" w:ascii="楷体_GB2312" w:eastAsia="楷体_GB2312"/>
          <w:b/>
          <w:kern w:val="0"/>
          <w:sz w:val="24"/>
          <w:szCs w:val="24"/>
        </w:rPr>
        <w:t>况</w:t>
      </w:r>
    </w:p>
    <w:p>
      <w:pPr>
        <w:spacing w:line="600" w:lineRule="exact"/>
        <w:ind w:firstLine="480" w:firstLineChars="200"/>
        <w:rPr>
          <w:rFonts w:hint="eastAsia" w:eastAsia="仿宋_GB2312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2018年本部门开支会议费10.5万元，用于召开党代会，人数165人，内容为选举中国共产党党员代表；开支培训费0.2万元，用于开展职工培训，人数26人，内容为综合素质培训。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 w:firstLine="482" w:firstLineChars="200"/>
        <w:rPr>
          <w:rFonts w:hint="eastAsia" w:ascii="楷体_GB2312" w:eastAsia="楷体_GB2312"/>
          <w:b/>
          <w:kern w:val="0"/>
          <w:sz w:val="24"/>
          <w:szCs w:val="24"/>
        </w:rPr>
      </w:pPr>
      <w:r>
        <w:rPr>
          <w:rFonts w:hint="eastAsia" w:ascii="楷体_GB2312" w:eastAsia="楷体_GB2312"/>
          <w:b/>
          <w:kern w:val="0"/>
          <w:sz w:val="24"/>
          <w:szCs w:val="24"/>
          <w:lang w:eastAsia="zh-CN"/>
        </w:rPr>
        <w:t>（三）</w:t>
      </w:r>
      <w:r>
        <w:rPr>
          <w:rFonts w:hint="eastAsia" w:ascii="楷体_GB2312" w:eastAsia="楷体_GB2312"/>
          <w:b/>
          <w:kern w:val="0"/>
          <w:sz w:val="24"/>
          <w:szCs w:val="24"/>
        </w:rPr>
        <w:t>政府采购支出情况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 w:firstLine="480" w:firstLineChars="200"/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2018年本单位无政府采购支出。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75" w:beforeAutospacing="0" w:after="75" w:afterAutospacing="0"/>
        <w:ind w:left="0" w:leftChars="0" w:right="0" w:firstLine="482" w:firstLineChars="200"/>
        <w:rPr>
          <w:rFonts w:hint="eastAsia" w:ascii="楷体_GB2312" w:eastAsia="楷体_GB2312"/>
          <w:b/>
          <w:kern w:val="0"/>
          <w:sz w:val="24"/>
          <w:szCs w:val="24"/>
        </w:rPr>
      </w:pPr>
      <w:r>
        <w:rPr>
          <w:rFonts w:hint="eastAsia" w:ascii="楷体_GB2312" w:eastAsia="楷体_GB2312"/>
          <w:b/>
          <w:kern w:val="0"/>
          <w:sz w:val="24"/>
          <w:szCs w:val="24"/>
        </w:rPr>
        <w:t>国有资产占用情况。</w:t>
      </w:r>
    </w:p>
    <w:p>
      <w:pPr>
        <w:spacing w:line="600" w:lineRule="exact"/>
        <w:ind w:firstLine="480" w:firstLineChars="200"/>
        <w:rPr>
          <w:rFonts w:hint="eastAsia" w:eastAsia="方正小标宋_GBK"/>
          <w:bCs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截至</w:t>
      </w:r>
      <w:r>
        <w:rPr>
          <w:rFonts w:hint="eastAsia" w:eastAsia="仿宋_GB2312"/>
          <w:kern w:val="0"/>
          <w:sz w:val="24"/>
          <w:szCs w:val="24"/>
          <w:lang w:val="en-US" w:eastAsia="zh-CN"/>
        </w:rPr>
        <w:t>2018</w:t>
      </w:r>
      <w:r>
        <w:rPr>
          <w:rFonts w:eastAsia="仿宋_GB2312"/>
          <w:kern w:val="0"/>
          <w:sz w:val="24"/>
          <w:szCs w:val="24"/>
        </w:rPr>
        <w:t>年12月31日，本单位共有车辆</w:t>
      </w:r>
      <w:r>
        <w:rPr>
          <w:rFonts w:hint="eastAsia" w:eastAsia="仿宋_GB2312"/>
          <w:kern w:val="0"/>
          <w:sz w:val="24"/>
          <w:szCs w:val="24"/>
          <w:lang w:val="en-US" w:eastAsia="zh-CN"/>
        </w:rPr>
        <w:t>1</w:t>
      </w:r>
      <w:r>
        <w:rPr>
          <w:rFonts w:eastAsia="仿宋_GB2312"/>
          <w:kern w:val="0"/>
          <w:sz w:val="24"/>
          <w:szCs w:val="24"/>
        </w:rPr>
        <w:t>辆，其中，机要通信用车</w:t>
      </w:r>
      <w:r>
        <w:rPr>
          <w:rFonts w:hint="eastAsia" w:eastAsia="仿宋_GB2312"/>
          <w:kern w:val="0"/>
          <w:sz w:val="24"/>
          <w:szCs w:val="24"/>
          <w:lang w:val="en-US" w:eastAsia="zh-CN"/>
        </w:rPr>
        <w:t>1</w:t>
      </w:r>
      <w:r>
        <w:rPr>
          <w:rFonts w:eastAsia="仿宋_GB2312"/>
          <w:kern w:val="0"/>
          <w:sz w:val="24"/>
          <w:szCs w:val="24"/>
        </w:rPr>
        <w:t>辆</w:t>
      </w:r>
      <w:r>
        <w:rPr>
          <w:rFonts w:hint="eastAsia" w:eastAsia="仿宋_GB2312"/>
          <w:kern w:val="0"/>
          <w:sz w:val="24"/>
          <w:szCs w:val="24"/>
          <w:lang w:eastAsia="zh-CN"/>
        </w:rPr>
        <w:t>；</w:t>
      </w:r>
      <w:r>
        <w:rPr>
          <w:rFonts w:eastAsia="仿宋_GB2312"/>
          <w:kern w:val="0"/>
          <w:sz w:val="24"/>
          <w:szCs w:val="24"/>
        </w:rPr>
        <w:t>单位价值50万元以上通用设备</w:t>
      </w:r>
      <w:r>
        <w:rPr>
          <w:rFonts w:hint="eastAsia" w:eastAsia="仿宋_GB2312"/>
          <w:kern w:val="0"/>
          <w:sz w:val="24"/>
          <w:szCs w:val="24"/>
          <w:lang w:val="en-US" w:eastAsia="zh-CN"/>
        </w:rPr>
        <w:t>0</w:t>
      </w:r>
      <w:r>
        <w:rPr>
          <w:rFonts w:eastAsia="仿宋_GB2312"/>
          <w:kern w:val="0"/>
          <w:sz w:val="24"/>
          <w:szCs w:val="24"/>
        </w:rPr>
        <w:t>台（套）；单位价值100万元以上专用设备</w:t>
      </w:r>
      <w:r>
        <w:rPr>
          <w:rFonts w:hint="eastAsia" w:eastAsia="仿宋_GB2312"/>
          <w:kern w:val="0"/>
          <w:sz w:val="24"/>
          <w:szCs w:val="24"/>
          <w:lang w:val="en-US" w:eastAsia="zh-CN"/>
        </w:rPr>
        <w:t>0</w:t>
      </w:r>
      <w:r>
        <w:rPr>
          <w:rFonts w:eastAsia="仿宋_GB2312"/>
          <w:kern w:val="0"/>
          <w:sz w:val="24"/>
          <w:szCs w:val="24"/>
        </w:rPr>
        <w:t>台（套）。</w:t>
      </w:r>
    </w:p>
    <w:p>
      <w:pPr>
        <w:widowControl/>
        <w:spacing w:line="600" w:lineRule="exact"/>
        <w:jc w:val="both"/>
        <w:rPr>
          <w:rFonts w:hint="eastAsia" w:eastAsia="方正小标宋_GBK"/>
          <w:bCs/>
          <w:kern w:val="0"/>
          <w:sz w:val="24"/>
          <w:szCs w:val="24"/>
        </w:rPr>
      </w:pPr>
    </w:p>
    <w:p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28"/>
          <w:szCs w:val="28"/>
        </w:rPr>
      </w:pPr>
      <w:r>
        <w:rPr>
          <w:rFonts w:hint="eastAsia" w:eastAsia="方正小标宋_GBK"/>
          <w:bCs/>
          <w:kern w:val="0"/>
          <w:sz w:val="28"/>
          <w:szCs w:val="28"/>
        </w:rPr>
        <w:t>第四部分 名词解释</w:t>
      </w:r>
    </w:p>
    <w:p>
      <w:pPr>
        <w:widowControl/>
        <w:jc w:val="left"/>
        <w:rPr>
          <w:rFonts w:hint="eastAsia" w:ascii="宋体" w:hAnsi="宋体" w:cs="黑体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420"/>
        <w:jc w:val="both"/>
        <w:rPr>
          <w:rFonts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  <w:t>1、财政拨款收入：指财政部门当年拨付的资金。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  <w:t>2、上级补助收入：指从主管部门和上级单位取得的非财政补助收入。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  <w:t>3、基本支出：指为保障机构正常运转、完成日常工作任务而发生的人员支出和公用支出。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  <w:t>4、"三公"经费：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  <w:t>5、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E64888"/>
    <w:multiLevelType w:val="singleLevel"/>
    <w:tmpl w:val="88E64888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E2DFF6C9"/>
    <w:multiLevelType w:val="singleLevel"/>
    <w:tmpl w:val="E2DFF6C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92AF1B"/>
    <w:multiLevelType w:val="singleLevel"/>
    <w:tmpl w:val="0092AF1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8B03270"/>
    <w:multiLevelType w:val="singleLevel"/>
    <w:tmpl w:val="08B03270"/>
    <w:lvl w:ilvl="0" w:tentative="0">
      <w:start w:val="5"/>
      <w:numFmt w:val="chineseCounting"/>
      <w:suff w:val="nothing"/>
      <w:lvlText w:val="%1、"/>
      <w:lvlJc w:val="left"/>
      <w:pPr>
        <w:ind w:left="62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D2810"/>
    <w:rsid w:val="06EF2C76"/>
    <w:rsid w:val="0F430235"/>
    <w:rsid w:val="0FBD1FFF"/>
    <w:rsid w:val="1095796F"/>
    <w:rsid w:val="146A3D48"/>
    <w:rsid w:val="15C91AC6"/>
    <w:rsid w:val="1F421F6E"/>
    <w:rsid w:val="237F0D99"/>
    <w:rsid w:val="27494B70"/>
    <w:rsid w:val="278236F7"/>
    <w:rsid w:val="2A7836E3"/>
    <w:rsid w:val="2F316985"/>
    <w:rsid w:val="414964FE"/>
    <w:rsid w:val="4218094E"/>
    <w:rsid w:val="43947AE5"/>
    <w:rsid w:val="471F070C"/>
    <w:rsid w:val="52307E33"/>
    <w:rsid w:val="543E34FE"/>
    <w:rsid w:val="5DC5438A"/>
    <w:rsid w:val="61DE515A"/>
    <w:rsid w:val="64895E2D"/>
    <w:rsid w:val="68840416"/>
    <w:rsid w:val="72301E4B"/>
    <w:rsid w:val="78402D4B"/>
    <w:rsid w:val="7CCB18BF"/>
    <w:rsid w:val="7F5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2021-06-02T07:00:00Z</dcterms:created>
  <dc:creator>Administrator</dc:creator>
  <cp:lastModifiedBy>Administrator</cp:lastModifiedBy>
  <dcterms:modified xsi:type="dcterms:W3CDTF">2021-06-03T08:50:43Z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