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B8" w:rsidRDefault="00447BA9" w:rsidP="00447BA9"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634BB8" w:rsidRDefault="00447BA9">
      <w:pPr>
        <w:spacing w:line="360" w:lineRule="auto"/>
        <w:ind w:leftChars="-200" w:left="-420"/>
        <w:rPr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填报单位（盖章）</w:t>
      </w:r>
      <w:r>
        <w:rPr>
          <w:rFonts w:eastAsia="黑体" w:cs="黑体" w:hint="eastAsia"/>
          <w:kern w:val="0"/>
          <w:sz w:val="24"/>
        </w:rPr>
        <w:t xml:space="preserve">：石鼓区人力资源和社会保障局　</w:t>
      </w:r>
      <w:r>
        <w:rPr>
          <w:rFonts w:eastAsia="黑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单位负责人（签名）：李阳武</w:t>
      </w:r>
    </w:p>
    <w:tbl>
      <w:tblPr>
        <w:tblpPr w:leftFromText="180" w:rightFromText="180" w:vertAnchor="text" w:horzAnchor="page" w:tblpX="1242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1418"/>
        <w:gridCol w:w="3685"/>
        <w:gridCol w:w="3728"/>
      </w:tblGrid>
      <w:tr w:rsidR="00634BB8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cs="黑体" w:hint="eastAsia"/>
                <w:kern w:val="0"/>
                <w:sz w:val="24"/>
              </w:rPr>
              <w:t>石鼓区人力资源和社会保障局</w:t>
            </w:r>
            <w:r>
              <w:rPr>
                <w:rFonts w:eastAsia="黑体" w:cs="黑体" w:hint="eastAsia"/>
                <w:kern w:val="0"/>
                <w:sz w:val="24"/>
              </w:rPr>
              <w:t xml:space="preserve">　</w:t>
            </w:r>
          </w:p>
        </w:tc>
      </w:tr>
      <w:tr w:rsidR="00634BB8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资金总额：</w:t>
            </w:r>
            <w:r>
              <w:rPr>
                <w:rFonts w:ascii="宋体" w:hAnsi="宋体" w:cs="宋体" w:hint="eastAsia"/>
                <w:kern w:val="0"/>
                <w:sz w:val="24"/>
              </w:rPr>
              <w:t>1718346.11</w:t>
            </w:r>
          </w:p>
        </w:tc>
      </w:tr>
      <w:tr w:rsidR="00634BB8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634BB8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按支出性质分</w:t>
            </w:r>
          </w:p>
        </w:tc>
      </w:tr>
      <w:tr w:rsidR="00634BB8">
        <w:trPr>
          <w:trHeight w:val="226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634BB8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公共财政拨款：</w:t>
            </w:r>
            <w:r>
              <w:rPr>
                <w:rFonts w:ascii="宋体" w:hAnsi="宋体" w:cs="宋体" w:hint="eastAsia"/>
                <w:kern w:val="0"/>
                <w:sz w:val="24"/>
              </w:rPr>
              <w:t>171.83</w:t>
            </w:r>
          </w:p>
          <w:p w:rsidR="00634BB8" w:rsidRDefault="00447BA9">
            <w:pPr>
              <w:widowControl/>
              <w:ind w:firstLineChars="600" w:firstLine="14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政府性基金拨款：</w:t>
            </w:r>
          </w:p>
          <w:p w:rsidR="00634BB8" w:rsidRDefault="00634BB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634BB8" w:rsidRDefault="00447BA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纳入专户管理的非税收入拨款：</w:t>
            </w:r>
          </w:p>
          <w:p w:rsidR="00634BB8" w:rsidRDefault="00634BB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634BB8" w:rsidRDefault="00447BA9">
            <w:pPr>
              <w:ind w:firstLineChars="900" w:firstLine="21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其中：基本支出：</w:t>
            </w:r>
            <w:r>
              <w:rPr>
                <w:rFonts w:ascii="宋体" w:hAnsi="宋体" w:cs="宋体" w:hint="eastAsia"/>
                <w:kern w:val="0"/>
                <w:sz w:val="24"/>
              </w:rPr>
              <w:t>153.83</w:t>
            </w:r>
          </w:p>
          <w:p w:rsidR="00634BB8" w:rsidRDefault="00634BB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634BB8" w:rsidRDefault="00634BB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634BB8" w:rsidRDefault="00447BA9">
            <w:pPr>
              <w:widowControl/>
              <w:ind w:firstLineChars="300" w:firstLine="7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项目支出：</w:t>
            </w: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bookmarkStart w:id="0" w:name="_GoBack"/>
            <w:bookmarkEnd w:id="0"/>
          </w:p>
          <w:p w:rsidR="00634BB8" w:rsidRDefault="00634BB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634BB8" w:rsidRDefault="00447BA9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 w:rsidR="00634BB8">
        <w:trPr>
          <w:trHeight w:val="10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  <w:r>
              <w:rPr>
                <w:rFonts w:ascii="宋体" w:hAnsi="宋体" w:cs="宋体" w:hint="eastAsia"/>
                <w:kern w:val="0"/>
                <w:sz w:val="24"/>
              </w:rPr>
              <w:t>彻</w:t>
            </w:r>
            <w:r>
              <w:rPr>
                <w:rFonts w:ascii="宋体" w:hAnsi="宋体" w:cs="宋体" w:hint="eastAsia"/>
                <w:kern w:val="0"/>
                <w:sz w:val="24"/>
              </w:rPr>
              <w:t>执行国家和省有关人力资源和社会保障方面的方针政策和法律法规，拟订全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人力资源和社会保障事业发展规划和年度工作计划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并组织实施和监督检查其执行情况。对全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人力资源和社会保障工作进行综合管理、监督指导、协调服务。</w:t>
            </w:r>
          </w:p>
          <w:p w:rsidR="00634BB8" w:rsidRDefault="00634BB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34BB8">
        <w:trPr>
          <w:trHeight w:val="11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：</w:t>
            </w:r>
            <w:r>
              <w:rPr>
                <w:rFonts w:cs="宋体" w:hint="eastAsia"/>
                <w:kern w:val="0"/>
                <w:sz w:val="24"/>
              </w:rPr>
              <w:t>保质保量完成区委区政府安排的工作任务</w:t>
            </w:r>
            <w:r>
              <w:rPr>
                <w:kern w:val="0"/>
                <w:sz w:val="24"/>
              </w:rPr>
              <w:br/>
            </w:r>
          </w:p>
        </w:tc>
      </w:tr>
      <w:tr w:rsidR="00634BB8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部门整体支出</w:t>
            </w:r>
          </w:p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：贯彻落实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事业单位工作人员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和机关工勤人员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工资收入分配、福利、离退休政策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634BB8" w:rsidRDefault="00447B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对各项社会保险基金实施监督；指导监督社会保险经办机构，加强内部控制制度的建设和实施；</w:t>
            </w:r>
          </w:p>
          <w:p w:rsidR="00634BB8" w:rsidRDefault="00447B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：组织仲裁庭审工作；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劳动法律、政策咨询服务工作</w:t>
            </w:r>
          </w:p>
          <w:p w:rsidR="00634BB8" w:rsidRDefault="00447B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事业单位人事制度改革和人事管理工作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634BB8" w:rsidRDefault="00447BA9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负责局域网络设备的管理、调整、升级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、信息安全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工作，做好全局信息综合报道和政务公开事项，承办上级业务部门的工作事项。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负责辖区内社会保障卡的审核制作、发行、管理、统计等工作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34BB8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634BB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执行国家和省有关人力资源和社会保障方面的方针政策和法律法规，拟订全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人力资源和社会保障事业发展规划和年度工作计划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并组织实施和监督检查其执行情况。对全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人力资源和社会保障工作进行综合管理、监督指导、协调服务。</w:t>
            </w:r>
          </w:p>
          <w:p w:rsidR="00634BB8" w:rsidRDefault="00634BB8">
            <w:pPr>
              <w:rPr>
                <w:kern w:val="0"/>
                <w:sz w:val="24"/>
              </w:rPr>
            </w:pPr>
          </w:p>
          <w:p w:rsidR="00634BB8" w:rsidRDefault="00634BB8">
            <w:pPr>
              <w:widowControl/>
              <w:rPr>
                <w:kern w:val="0"/>
                <w:sz w:val="24"/>
              </w:rPr>
            </w:pPr>
          </w:p>
        </w:tc>
      </w:tr>
      <w:tr w:rsidR="00634BB8">
        <w:trPr>
          <w:trHeight w:val="10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财政部门审核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BB8" w:rsidRDefault="00447BA9">
            <w:pPr>
              <w:jc w:val="righ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634BB8">
        <w:trPr>
          <w:trHeight w:val="12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634BB8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BB8" w:rsidRDefault="00447B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BB8" w:rsidRDefault="00447BA9">
            <w:pPr>
              <w:jc w:val="right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634BB8" w:rsidRDefault="00634BB8"/>
    <w:sectPr w:rsidR="00634BB8" w:rsidSect="0063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DE06ED2"/>
    <w:rsid w:val="00447BA9"/>
    <w:rsid w:val="00634BB8"/>
    <w:rsid w:val="119011AA"/>
    <w:rsid w:val="2DE06ED2"/>
    <w:rsid w:val="620B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B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</dc:creator>
  <cp:lastModifiedBy>Administrator</cp:lastModifiedBy>
  <cp:revision>2</cp:revision>
  <dcterms:created xsi:type="dcterms:W3CDTF">2021-06-03T10:04:00Z</dcterms:created>
  <dcterms:modified xsi:type="dcterms:W3CDTF">2021-06-05T08:11:00Z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892B9B393EDB48CEAA3D83ECF6E5AD29</vt:lpwstr>
  </property>
</Properties>
</file>