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2018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石鼓区信访局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决算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说明</w:t>
      </w: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ind w:firstLine="643" w:firstLineChars="2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2018</w:t>
      </w:r>
      <w:r>
        <w:rPr>
          <w:rFonts w:eastAsia="仿宋_GB2312"/>
          <w:b/>
          <w:bCs/>
          <w:kern w:val="0"/>
          <w:sz w:val="32"/>
          <w:szCs w:val="32"/>
        </w:rPr>
        <w:t>部门概况</w:t>
      </w:r>
    </w:p>
    <w:p>
      <w:pPr>
        <w:pStyle w:val="9"/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1、部门职责</w:t>
      </w:r>
    </w:p>
    <w:p>
      <w:pPr>
        <w:pStyle w:val="9"/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2、机构设置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</w:t>
      </w:r>
      <w:r>
        <w:rPr>
          <w:rFonts w:eastAsia="仿宋_GB2312"/>
          <w:b/>
          <w:bCs/>
          <w:kern w:val="0"/>
          <w:sz w:val="32"/>
          <w:szCs w:val="32"/>
        </w:rPr>
        <w:t>部门决算表</w:t>
      </w:r>
    </w:p>
    <w:p>
      <w:pPr>
        <w:pStyle w:val="9"/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部门收支</w:t>
      </w:r>
      <w:r>
        <w:rPr>
          <w:rFonts w:ascii="Times New Roman" w:hAnsi="Times New Roman" w:eastAsia="仿宋_GB2312" w:cs="Times New Roman"/>
          <w:sz w:val="32"/>
          <w:szCs w:val="32"/>
        </w:rPr>
        <w:t>决算总表</w:t>
      </w:r>
    </w:p>
    <w:p>
      <w:pPr>
        <w:pStyle w:val="9"/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部门</w:t>
      </w:r>
      <w:r>
        <w:rPr>
          <w:rFonts w:ascii="Times New Roman" w:hAnsi="Times New Roman" w:eastAsia="仿宋_GB2312" w:cs="Times New Roman"/>
          <w:sz w:val="32"/>
          <w:szCs w:val="32"/>
        </w:rPr>
        <w:t>收入决算表</w:t>
      </w:r>
    </w:p>
    <w:p>
      <w:pPr>
        <w:pStyle w:val="9"/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部门</w:t>
      </w:r>
      <w:r>
        <w:rPr>
          <w:rFonts w:ascii="Times New Roman" w:hAnsi="Times New Roman" w:eastAsia="仿宋_GB2312" w:cs="Times New Roman"/>
          <w:sz w:val="32"/>
          <w:szCs w:val="32"/>
        </w:rPr>
        <w:t>支出决算表</w:t>
      </w:r>
    </w:p>
    <w:p>
      <w:pPr>
        <w:pStyle w:val="9"/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4、财政拨款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收支</w:t>
      </w:r>
      <w:r>
        <w:rPr>
          <w:rFonts w:ascii="Times New Roman" w:hAnsi="Times New Roman" w:eastAsia="仿宋_GB2312" w:cs="Times New Roman"/>
          <w:sz w:val="32"/>
          <w:szCs w:val="32"/>
        </w:rPr>
        <w:t>决算总表</w:t>
      </w:r>
    </w:p>
    <w:p>
      <w:pPr>
        <w:pStyle w:val="9"/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5、一般公共预算财政拨款支出决算表</w:t>
      </w:r>
    </w:p>
    <w:p>
      <w:pPr>
        <w:pStyle w:val="9"/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6、一般公共预算财政拨款基本支出决算表</w:t>
      </w:r>
    </w:p>
    <w:p>
      <w:pPr>
        <w:pStyle w:val="9"/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7、一般公共预算财政拨款“三公”经费支出决算表</w:t>
      </w:r>
    </w:p>
    <w:p>
      <w:pPr>
        <w:pStyle w:val="9"/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8、政府性基金预算财政拨款收入支出决算表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第三部分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2018</w:t>
      </w:r>
      <w:r>
        <w:rPr>
          <w:rFonts w:eastAsia="仿宋_GB2312"/>
          <w:b/>
          <w:bCs/>
          <w:kern w:val="0"/>
          <w:sz w:val="32"/>
          <w:szCs w:val="32"/>
        </w:rPr>
        <w:t>年度部门决算情况说明</w:t>
      </w:r>
    </w:p>
    <w:p>
      <w:pPr>
        <w:pStyle w:val="9"/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1、收入支出决算总体情况说明</w:t>
      </w:r>
    </w:p>
    <w:p>
      <w:pPr>
        <w:spacing w:line="600" w:lineRule="exact"/>
        <w:ind w:firstLine="800" w:firstLineChars="2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2、收入决算情况说明</w:t>
      </w:r>
    </w:p>
    <w:p>
      <w:pPr>
        <w:autoSpaceDE w:val="0"/>
        <w:autoSpaceDN w:val="0"/>
        <w:adjustRightInd w:val="0"/>
        <w:spacing w:line="600" w:lineRule="exact"/>
        <w:ind w:firstLine="800" w:firstLineChars="2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3、支出决算情况说明</w:t>
      </w:r>
    </w:p>
    <w:p>
      <w:pPr>
        <w:autoSpaceDE w:val="0"/>
        <w:autoSpaceDN w:val="0"/>
        <w:adjustRightInd w:val="0"/>
        <w:spacing w:line="600" w:lineRule="exact"/>
        <w:ind w:firstLine="800" w:firstLineChars="2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4、财政拨款收入支出决算总体情况说明</w:t>
      </w:r>
    </w:p>
    <w:p>
      <w:pPr>
        <w:autoSpaceDE w:val="0"/>
        <w:autoSpaceDN w:val="0"/>
        <w:adjustRightInd w:val="0"/>
        <w:spacing w:line="600" w:lineRule="exact"/>
        <w:ind w:firstLine="800" w:firstLineChars="2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5、一般公共预算财政拨款支出决算情况说明</w:t>
      </w:r>
    </w:p>
    <w:p>
      <w:pPr>
        <w:autoSpaceDE w:val="0"/>
        <w:autoSpaceDN w:val="0"/>
        <w:adjustRightInd w:val="0"/>
        <w:spacing w:line="600" w:lineRule="exact"/>
        <w:ind w:firstLine="800" w:firstLineChars="2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6、一般公共预算财政拨款基本支出决算情况说明</w:t>
      </w:r>
    </w:p>
    <w:p>
      <w:pPr>
        <w:autoSpaceDE w:val="0"/>
        <w:autoSpaceDN w:val="0"/>
        <w:adjustRightInd w:val="0"/>
        <w:spacing w:line="600" w:lineRule="exact"/>
        <w:ind w:firstLine="800" w:firstLineChars="2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7、一般公共预算财政拨款三公经费支出决算情况说明</w:t>
      </w:r>
    </w:p>
    <w:p>
      <w:pPr>
        <w:autoSpaceDE w:val="0"/>
        <w:autoSpaceDN w:val="0"/>
        <w:adjustRightInd w:val="0"/>
        <w:spacing w:line="600" w:lineRule="exact"/>
        <w:ind w:firstLine="800" w:firstLineChars="2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8、政府性基金预算收入支出决算情况</w:t>
      </w:r>
    </w:p>
    <w:p>
      <w:pPr>
        <w:autoSpaceDE w:val="0"/>
        <w:autoSpaceDN w:val="0"/>
        <w:adjustRightInd w:val="0"/>
        <w:spacing w:line="600" w:lineRule="exact"/>
        <w:ind w:firstLine="800" w:firstLineChars="2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9、预算绩效情况说明</w:t>
      </w:r>
    </w:p>
    <w:p>
      <w:pPr>
        <w:autoSpaceDE w:val="0"/>
        <w:autoSpaceDN w:val="0"/>
        <w:adjustRightInd w:val="0"/>
        <w:spacing w:line="600" w:lineRule="exact"/>
        <w:ind w:firstLine="800" w:firstLineChars="2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10、其他重要事项情况说明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第四部分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</w:t>
      </w:r>
      <w:r>
        <w:rPr>
          <w:rFonts w:eastAsia="仿宋_GB2312"/>
          <w:b/>
          <w:bCs/>
          <w:kern w:val="0"/>
          <w:sz w:val="32"/>
          <w:szCs w:val="32"/>
        </w:rPr>
        <w:t>名词解释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第五部分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</w:t>
      </w:r>
      <w:r>
        <w:rPr>
          <w:rFonts w:eastAsia="仿宋_GB2312"/>
          <w:b/>
          <w:bCs/>
          <w:kern w:val="0"/>
          <w:sz w:val="32"/>
          <w:szCs w:val="32"/>
        </w:rPr>
        <w:t>附件</w:t>
      </w:r>
    </w:p>
    <w:p>
      <w:pPr>
        <w:widowControl/>
        <w:spacing w:line="600" w:lineRule="exact"/>
        <w:ind w:firstLine="643" w:firstLineChars="200"/>
        <w:jc w:val="left"/>
        <w:rPr>
          <w:rFonts w:hint="eastAsia" w:eastAsia="仿宋_GB2312"/>
          <w:b/>
          <w:bCs/>
          <w:kern w:val="0"/>
          <w:sz w:val="32"/>
          <w:szCs w:val="3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rFonts w:hint="eastAsia"/>
          <w:sz w:val="72"/>
          <w:szCs w:val="72"/>
        </w:rPr>
      </w:pPr>
    </w:p>
    <w:p>
      <w:pPr>
        <w:rPr>
          <w:rFonts w:hint="eastAsia"/>
          <w:sz w:val="72"/>
          <w:szCs w:val="72"/>
        </w:rPr>
      </w:pPr>
    </w:p>
    <w:p>
      <w:pPr>
        <w:rPr>
          <w:rFonts w:hint="eastAsia"/>
          <w:sz w:val="72"/>
          <w:szCs w:val="72"/>
        </w:rPr>
      </w:pPr>
    </w:p>
    <w:p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 xml:space="preserve">第一部分 </w:t>
      </w: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石鼓区信访局</w:t>
      </w:r>
      <w:r>
        <w:rPr>
          <w:rFonts w:hint="eastAsia" w:eastAsia="方正小标宋_GBK"/>
          <w:bCs/>
          <w:kern w:val="0"/>
          <w:sz w:val="36"/>
          <w:szCs w:val="36"/>
        </w:rPr>
        <w:t>概况</w:t>
      </w:r>
    </w:p>
    <w:p>
      <w:pPr>
        <w:pStyle w:val="10"/>
        <w:ind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一、部门职责</w:t>
      </w:r>
    </w:p>
    <w:p>
      <w:pPr>
        <w:widowControl/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承担中央和省、市颁发的各项信访工作法律、法规及规章制度贯彻执行的责任，并根据我区实际制定具体实施意见。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承担受理、交办、转送信访人向区委、区政府提出的信访事项的责任; 负责做好区委、区政府领导同志接待上访群众的组织服务工作。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3.承办上级和区委、区政府交由处理的信访事项，并按要求及时报告、反馈承办结果。根据区委、区政府领导批示，牵头、会同相关职能部门协调处理信访事项。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4.综合反映来信来访中的重要情况和带政策性、倾向性、苗头性的问题和社会动态，研究、统计、分析信访情况，及时向区委、区政府提出完善政策和改进工作的建议。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5.承担受理、办理应由区人民政府复查复核的信访事项的责任。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6.承担组织和安排赴省进京上访人员的接待、处置和劝返工作的责任。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7.维护信访工作正常秩序。对违反国务院《信访条例》和《湖南省信访条例》规定的单位，工作人员或信访人，予以批评教育直至提请有关部门，单位依法依纪处理。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8.总结推广信访工作经验，提出改进和加强信访工作的意见: 开展对信访工作的宣传和理论研讨; 对本区各单位的信访工作进行指导、督促、协调、检查、考核，组织对信访工作人员进行业务培训。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9.承担全国信访信息系统内本区相关网络信访工作职责。</w:t>
      </w:r>
    </w:p>
    <w:p>
      <w:pPr>
        <w:widowControl/>
        <w:spacing w:line="600" w:lineRule="exact"/>
        <w:ind w:firstLine="640" w:firstLineChars="200"/>
        <w:rPr>
          <w:rFonts w:hint="eastAsia"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10.承办区委、区人民政府交办的其他事项。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="643" w:firstLineChars="200"/>
        <w:rPr>
          <w:rFonts w:hint="eastAsia" w:ascii="楷体_GB2312" w:hAnsi="宋体" w:eastAsia="楷体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bCs/>
          <w:kern w:val="0"/>
          <w:sz w:val="32"/>
          <w:szCs w:val="32"/>
        </w:rPr>
        <w:t>（一）内设机构设置</w:t>
      </w:r>
      <w:r>
        <w:rPr>
          <w:rFonts w:hint="eastAsia" w:ascii="楷体_GB2312" w:hAnsi="宋体" w:eastAsia="楷体_GB2312"/>
          <w:b/>
          <w:bCs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hint="eastAsia" w:ascii="楷体_GB2312" w:hAnsi="宋体" w:eastAsia="楷体_GB2312"/>
          <w:b/>
          <w:bCs/>
          <w:kern w:val="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石鼓区信访局</w:t>
      </w:r>
      <w:r>
        <w:rPr>
          <w:rFonts w:eastAsia="仿宋_GB2312"/>
          <w:bCs/>
          <w:kern w:val="0"/>
          <w:sz w:val="32"/>
          <w:szCs w:val="32"/>
        </w:rPr>
        <w:t>单位内设机构包括：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办公室、复查复核督查股、来访办信股，以及二级机构人民来访接待中心。</w:t>
      </w:r>
    </w:p>
    <w:p>
      <w:pPr>
        <w:numPr>
          <w:ilvl w:val="0"/>
          <w:numId w:val="0"/>
        </w:numPr>
        <w:jc w:val="left"/>
        <w:rPr>
          <w:rFonts w:hint="eastAsia"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kern w:val="0"/>
          <w:sz w:val="32"/>
          <w:szCs w:val="32"/>
          <w:lang w:val="en-US" w:eastAsia="zh-CN"/>
        </w:rPr>
        <w:t xml:space="preserve">    （二）</w:t>
      </w:r>
      <w:r>
        <w:rPr>
          <w:rFonts w:hint="eastAsia" w:ascii="楷体_GB2312" w:hAnsi="宋体" w:eastAsia="楷体_GB2312"/>
          <w:b/>
          <w:bCs/>
          <w:kern w:val="0"/>
          <w:sz w:val="32"/>
          <w:szCs w:val="32"/>
        </w:rPr>
        <w:t>决算单位构成。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bCs/>
          <w:kern w:val="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石鼓区信访局</w:t>
      </w:r>
      <w:r>
        <w:rPr>
          <w:rFonts w:eastAsia="仿宋_GB2312"/>
          <w:bCs/>
          <w:kern w:val="0"/>
          <w:sz w:val="32"/>
          <w:szCs w:val="32"/>
        </w:rPr>
        <w:t>单位201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bCs/>
          <w:kern w:val="0"/>
          <w:sz w:val="32"/>
          <w:szCs w:val="32"/>
        </w:rPr>
        <w:t>年部门决算汇总公开单位构成包括：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石鼓区信访局</w:t>
      </w:r>
      <w:r>
        <w:rPr>
          <w:rFonts w:eastAsia="仿宋_GB2312"/>
          <w:bCs/>
          <w:kern w:val="0"/>
          <w:sz w:val="32"/>
          <w:szCs w:val="32"/>
        </w:rPr>
        <w:t>单位本级以及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二级机构人民来访接待中心。</w:t>
      </w:r>
    </w:p>
    <w:p>
      <w:pPr>
        <w:jc w:val="both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widowControl/>
        <w:spacing w:line="600" w:lineRule="exact"/>
        <w:ind w:firstLine="1440" w:firstLineChars="400"/>
        <w:jc w:val="both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 xml:space="preserve">第二部分 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2018</w:t>
      </w:r>
      <w:r>
        <w:rPr>
          <w:rFonts w:eastAsia="方正小标宋_GBK"/>
          <w:bCs/>
          <w:kern w:val="0"/>
          <w:sz w:val="36"/>
          <w:szCs w:val="36"/>
        </w:rPr>
        <w:t>年</w:t>
      </w:r>
      <w:r>
        <w:rPr>
          <w:rFonts w:hint="eastAsia" w:eastAsia="方正小标宋_GBK"/>
          <w:bCs/>
          <w:kern w:val="0"/>
          <w:sz w:val="36"/>
          <w:szCs w:val="36"/>
        </w:rPr>
        <w:t>部门决算表</w:t>
      </w:r>
    </w:p>
    <w:p>
      <w:pPr>
        <w:widowControl/>
        <w:spacing w:line="600" w:lineRule="exact"/>
        <w:jc w:val="center"/>
        <w:rPr>
          <w:rFonts w:hint="default" w:eastAsia="方正小标宋_GBK"/>
          <w:bCs/>
          <w:kern w:val="0"/>
          <w:sz w:val="36"/>
          <w:szCs w:val="36"/>
          <w:lang w:val="en-US" w:eastAsia="zh-CN"/>
        </w:rPr>
      </w:pPr>
      <w:r>
        <w:rPr>
          <w:rFonts w:hint="eastAsia" w:eastAsia="方正小标宋_GBK"/>
          <w:bCs/>
          <w:kern w:val="0"/>
          <w:sz w:val="32"/>
          <w:szCs w:val="32"/>
          <w:lang w:val="en-US" w:eastAsia="zh-CN"/>
        </w:rPr>
        <w:t>2018</w:t>
      </w:r>
      <w:r>
        <w:rPr>
          <w:rFonts w:eastAsia="方正小标宋_GBK"/>
          <w:bCs/>
          <w:kern w:val="0"/>
          <w:sz w:val="32"/>
          <w:szCs w:val="32"/>
        </w:rPr>
        <w:t>年</w:t>
      </w:r>
      <w:r>
        <w:rPr>
          <w:rFonts w:hint="eastAsia" w:eastAsia="方正小标宋_GBK"/>
          <w:bCs/>
          <w:kern w:val="0"/>
          <w:sz w:val="32"/>
          <w:szCs w:val="32"/>
        </w:rPr>
        <w:t>部门决算表</w:t>
      </w:r>
      <w:r>
        <w:rPr>
          <w:rFonts w:hint="eastAsia" w:eastAsia="方正小标宋_GBK"/>
          <w:bCs/>
          <w:kern w:val="0"/>
          <w:sz w:val="32"/>
          <w:szCs w:val="32"/>
          <w:lang w:val="en-US" w:eastAsia="zh-CN"/>
        </w:rPr>
        <w:t>(见附表)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widowControl/>
        <w:jc w:val="left"/>
        <w:rPr>
          <w:rFonts w:ascii="宋体" w:hAnsi="宋体"/>
          <w:kern w:val="0"/>
          <w:sz w:val="32"/>
          <w:szCs w:val="32"/>
        </w:rPr>
        <w:sectPr>
          <w:pgSz w:w="11906" w:h="16838"/>
          <w:pgMar w:top="1440" w:right="1558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 xml:space="preserve">第三部分 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2018</w:t>
      </w:r>
      <w:r>
        <w:rPr>
          <w:rFonts w:hint="eastAsia" w:eastAsia="方正小标宋_GBK"/>
          <w:bCs/>
          <w:kern w:val="0"/>
          <w:sz w:val="36"/>
          <w:szCs w:val="36"/>
        </w:rPr>
        <w:t>年度部门决算情况说明</w:t>
      </w:r>
    </w:p>
    <w:p>
      <w:pPr>
        <w:widowControl/>
        <w:jc w:val="left"/>
        <w:rPr>
          <w:rFonts w:hint="eastAsia" w:ascii="黑体" w:eastAsia="黑体" w:cs="黑体"/>
          <w:color w:val="000000"/>
          <w:kern w:val="0"/>
          <w:sz w:val="70"/>
          <w:szCs w:val="70"/>
        </w:rPr>
      </w:pPr>
    </w:p>
    <w:p>
      <w:pPr>
        <w:pStyle w:val="9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/>
          <w:color w:val="auto"/>
          <w:sz w:val="32"/>
          <w:szCs w:val="32"/>
        </w:rPr>
        <w:t>一、收入支出决算总体情况说明</w:t>
      </w:r>
    </w:p>
    <w:p>
      <w:pPr>
        <w:pStyle w:val="9"/>
        <w:spacing w:line="60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2018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年度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收、支总计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299.53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万元。与201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年相比，增加（减少）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万元，增长（减少）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%，主要是因为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2017年度财务未独立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9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/>
          <w:color w:val="auto"/>
          <w:sz w:val="32"/>
          <w:szCs w:val="32"/>
        </w:rPr>
        <w:t>二、收入决算情况说明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本年收入合计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299.53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万元，其中：财政拨款收入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262.01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87.14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%；上级补助收入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%；事业收入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%；经营收入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%；附属单位上缴收入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%；其他收入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37.52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12.52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pStyle w:val="9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/>
          <w:color w:val="auto"/>
          <w:sz w:val="32"/>
          <w:szCs w:val="32"/>
        </w:rPr>
        <w:t>三、支出决算情况说明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本年支出合计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232.19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万元，其中：基本支出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232.19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%；项目支出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%；上缴上级支出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%；经营支出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%；对附属单位补助支出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pStyle w:val="9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/>
          <w:color w:val="auto"/>
          <w:sz w:val="32"/>
          <w:szCs w:val="32"/>
        </w:rPr>
        <w:t>四、财政拨款收入支出决算总体情况说明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年度财政拨款收、支总计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262.01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万元，与201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年相比，增加（减少）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万元,增长（减少）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%，主要是因为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2017年财务未独立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9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/>
          <w:color w:val="auto"/>
          <w:sz w:val="32"/>
          <w:szCs w:val="32"/>
        </w:rPr>
        <w:t>五、一般公共预算财政拨款支出决算情况说明</w:t>
      </w:r>
    </w:p>
    <w:p>
      <w:pPr>
        <w:pStyle w:val="9"/>
        <w:spacing w:line="600" w:lineRule="exact"/>
        <w:ind w:firstLine="643" w:firstLineChars="200"/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（一）财政拨款支出决算总体情况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年度财政拨款支出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197.68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万元，占本年支出合计的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%，与201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年相比，财政拨款支出增加（减少）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万元，增长（减少）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%，主要是因为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2017年财务未独立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9"/>
        <w:spacing w:line="600" w:lineRule="exact"/>
        <w:ind w:firstLine="643" w:firstLineChars="200"/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（二）财政拨款支出决算结构情况</w:t>
      </w:r>
    </w:p>
    <w:p>
      <w:pPr>
        <w:pStyle w:val="9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年度财政拨款支出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197.68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万元，主要用于以下方面：一般公共服务（类）支出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187.9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95.052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%；教育（类）支出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%;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社会保障类支出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4.26万元，占1.4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；卫生健康（类）支出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2.32万元，占0.78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；住房保障类支出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3.2万元，占1.06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9"/>
        <w:spacing w:line="600" w:lineRule="exact"/>
        <w:ind w:firstLine="643" w:firstLineChars="200"/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（三）财政拨款支出决算具体情况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年度财政拨款支出年初预算数为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92.1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万元，支出决算数为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197.68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万元，完成年初预算的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214.6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%，其中：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1、一般公共服务（类）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（款）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（项）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9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年初预算为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78.77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万元，支出决算为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184.59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万元，完成年初预算的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243.3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%，决算数大于年初预算数的主要原因是：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2018年财务独立，接收石鼓区政府办转结资金支付。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2、一般公共服务（类）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（款）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（项）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9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年初预算为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5.58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万元，支出决算为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4.26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万元，完成年初预算的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76.34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%，决算数小于年初预算数的主要原因是：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机关事业养老保险跨年缴纳。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、一般公共服务（类）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（款）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（项）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9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年初预算为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2.32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万元，支出决算为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2.32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万元，完成年初预算的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%，决算数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等于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年初预算数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、一般公共服务（类）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（款）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（项）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9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年初预算为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3.2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万元，支出决算为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3.2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万元，完成年初预算的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%，决算数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等于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年初预算数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、一般公共服务（类）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（款）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9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年初预算为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2.23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万元，支出决算为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3.31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万元，完成年初预算的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补缴前年职业年金。</w:t>
      </w:r>
    </w:p>
    <w:p>
      <w:pPr>
        <w:pStyle w:val="9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/>
          <w:color w:val="auto"/>
          <w:sz w:val="32"/>
          <w:szCs w:val="32"/>
        </w:rPr>
        <w:t>六、一般公共预算财政拨款基本支出决算情况说明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年度财政拨款基本支出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197.68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万元，其中：人员经费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53.26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万元，占基本支出的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26.94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%,主要包括基本工资、津贴补贴、奖金、伙食补助费；公用经费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144.42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万元，占基本支出的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73.057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%，主要包括办公费、印刷费、咨询费、手续费。</w:t>
      </w:r>
    </w:p>
    <w:p>
      <w:pPr>
        <w:pStyle w:val="9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/>
          <w:color w:val="auto"/>
          <w:sz w:val="32"/>
          <w:szCs w:val="32"/>
        </w:rPr>
        <w:t>七、一般公共预算财政拨款三公经费支出决算情况说明</w:t>
      </w:r>
    </w:p>
    <w:p>
      <w:pPr>
        <w:pStyle w:val="9"/>
        <w:spacing w:line="600" w:lineRule="exact"/>
        <w:ind w:firstLine="643" w:firstLineChars="200"/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（一）“三公”经费财政拨款支出决算总体情况说明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“三公”经费财政拨款支出预算为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0.5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万元，支出决算为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万元，完成预算的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%，其中：</w:t>
      </w:r>
    </w:p>
    <w:p>
      <w:pPr>
        <w:pStyle w:val="9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因公出国（境）费支出预算为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万元，支出决算为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万元，完成预算的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公务接待费支出预算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0.5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万元，支出决算为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万元，完成预算的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%，决算数小于年初预算数的主要原因是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未开展公务接待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公务用车购置费及运行维护费支出预算为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万元，支出决算为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万元，完成预算的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pStyle w:val="9"/>
        <w:spacing w:line="600" w:lineRule="exact"/>
        <w:ind w:firstLine="643" w:firstLineChars="200"/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</w:rPr>
        <w:t>（二）“三公”经费财政拨款支出决算具体情况说明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年度“三公”经费财政拨款支出决算中，公务接待费支出决算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%,因公出国（境）费支出决算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%,公务用车购置费及运行维护费支出决算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%。其中：</w:t>
      </w:r>
    </w:p>
    <w:p>
      <w:pPr>
        <w:pStyle w:val="9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1、因公出国（境）费支出决算为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万元，全年安排因公出国（境）团组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个，累计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人次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9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2、公务接待费支出决算为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万元，全年共接待来访团组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个、来宾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人次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3、公务用车购置费及运行维护费支出决算为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万元，其中：公务用车购置费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万元，更新公务用车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辆。公务用车运行维护费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万元，截止</w:t>
      </w:r>
      <w:r>
        <w:rPr>
          <w:rFonts w:hint="eastAsia" w:eastAsia="仿宋_GB2312"/>
          <w:sz w:val="32"/>
          <w:szCs w:val="32"/>
          <w:lang w:val="en-US" w:eastAsia="zh-CN"/>
        </w:rPr>
        <w:t>2018</w:t>
      </w:r>
      <w:r>
        <w:rPr>
          <w:rFonts w:eastAsia="仿宋_GB2312"/>
          <w:sz w:val="32"/>
          <w:szCs w:val="32"/>
        </w:rPr>
        <w:t>年 12月31日，我单位开支财政拨款的公务用车保有量为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辆。</w:t>
      </w:r>
    </w:p>
    <w:p>
      <w:pPr>
        <w:pStyle w:val="9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/>
          <w:color w:val="auto"/>
          <w:sz w:val="32"/>
          <w:szCs w:val="32"/>
        </w:rPr>
        <w:t>八、政府性基金预算收入支出决算情况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年度政府性基金预算财政拨款收入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万元；年初结转和结余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万元；支出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万元，其中基本支出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万元，项目支出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万元；年末结转和结余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万元。本单位无政府性基金收支</w:t>
      </w:r>
    </w:p>
    <w:p>
      <w:pPr>
        <w:pStyle w:val="9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/>
          <w:color w:val="auto"/>
          <w:sz w:val="32"/>
          <w:szCs w:val="32"/>
        </w:rPr>
        <w:t>九、关于</w:t>
      </w:r>
      <w:r>
        <w:rPr>
          <w:rFonts w:hint="eastAsia" w:hAnsi="黑体" w:cs="Times New Roman"/>
          <w:color w:val="auto"/>
          <w:sz w:val="32"/>
          <w:szCs w:val="32"/>
          <w:lang w:val="en-US" w:eastAsia="zh-CN"/>
        </w:rPr>
        <w:t>2018</w:t>
      </w:r>
      <w:r>
        <w:rPr>
          <w:rFonts w:hAnsi="黑体" w:cs="Times New Roman"/>
          <w:color w:val="auto"/>
          <w:sz w:val="32"/>
          <w:szCs w:val="32"/>
        </w:rPr>
        <w:t>年度预算绩效情况说明</w:t>
      </w:r>
    </w:p>
    <w:p>
      <w:pPr>
        <w:pStyle w:val="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本单位已开展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2018年度部门预算项目和专项支出开展绩效自评工作，涉及一般公共预算支出43.1万，其中：基本支出3.1万，项目支出40万。本单位无重点项目及绩效目标。</w:t>
      </w:r>
    </w:p>
    <w:p>
      <w:pPr>
        <w:pStyle w:val="9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</w:rPr>
      </w:pPr>
      <w:r>
        <w:rPr>
          <w:rFonts w:hAnsi="黑体" w:cs="Times New Roman"/>
          <w:color w:val="auto"/>
          <w:sz w:val="32"/>
          <w:szCs w:val="32"/>
        </w:rPr>
        <w:t>十、其他重要事项情况说明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（一）机关运行经费支出情况</w:t>
      </w:r>
    </w:p>
    <w:p>
      <w:p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</w:rPr>
        <w:t>本部门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2018</w:t>
      </w:r>
      <w:r>
        <w:rPr>
          <w:rFonts w:eastAsia="仿宋_GB2312"/>
          <w:kern w:val="0"/>
          <w:sz w:val="32"/>
          <w:szCs w:val="32"/>
        </w:rPr>
        <w:t>年度机关运行经费支出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144.42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eastAsia="仿宋_GB2312"/>
          <w:kern w:val="0"/>
          <w:sz w:val="32"/>
          <w:szCs w:val="32"/>
        </w:rPr>
        <w:t>比年初预算数增加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51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万元，增长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35.31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%。主要原因是：</w:t>
      </w:r>
      <w:r>
        <w:rPr>
          <w:rFonts w:hint="eastAsia" w:eastAsia="仿宋_GB2312"/>
          <w:kern w:val="0"/>
          <w:sz w:val="32"/>
          <w:szCs w:val="32"/>
          <w:lang w:eastAsia="zh-CN"/>
        </w:rPr>
        <w:t>单位人员增加。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（二）一般性支出情况</w:t>
      </w:r>
    </w:p>
    <w:p>
      <w:p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20181</w:t>
      </w:r>
      <w:r>
        <w:rPr>
          <w:rFonts w:eastAsia="仿宋_GB2312"/>
          <w:kern w:val="0"/>
          <w:sz w:val="32"/>
          <w:szCs w:val="32"/>
        </w:rPr>
        <w:t>年 本部门开支会议费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万元；开支培训费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万元，；举办节庆、晚会、论坛、赛事活动，开支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（三）政府采购支出情况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本部门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2018</w:t>
      </w:r>
      <w:r>
        <w:rPr>
          <w:rFonts w:eastAsia="仿宋_GB2312"/>
          <w:kern w:val="0"/>
          <w:sz w:val="32"/>
          <w:szCs w:val="32"/>
        </w:rPr>
        <w:t>年度政府采购支出总额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3.1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万元，其中：政府采购货物支出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万元、政府采购工程支出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万元、政府采购服务支出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3.1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万元。授予中小企业合同金额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万元，占政府采购支出总额的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%，其中：授予小微企业合同金额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kern w:val="0"/>
          <w:sz w:val="32"/>
          <w:szCs w:val="32"/>
        </w:rPr>
        <w:t>万元，占政府采购支出总额的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 xml:space="preserve"> %。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（四）国有资产占用情况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截至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2018</w:t>
      </w:r>
      <w:r>
        <w:rPr>
          <w:rFonts w:eastAsia="仿宋_GB2312"/>
          <w:kern w:val="0"/>
          <w:sz w:val="32"/>
          <w:szCs w:val="32"/>
        </w:rPr>
        <w:t>年12月31日，本单位共有车辆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辆，其中，领导干部用车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辆、机要通信用车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辆、应急保障用车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kern w:val="0"/>
          <w:sz w:val="32"/>
          <w:szCs w:val="32"/>
        </w:rPr>
        <w:t>辆、执法执勤用车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辆、特种专业技术用车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辆、其他用车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辆；单位价值50万元以上通用设备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台（套）；单位价值100万元以上专用设备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台（套）。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9"/>
        <w:jc w:val="both"/>
        <w:rPr>
          <w:rFonts w:hint="eastAsia"/>
          <w:sz w:val="72"/>
          <w:szCs w:val="72"/>
        </w:rPr>
      </w:pPr>
    </w:p>
    <w:p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第四部分 名词解释</w:t>
      </w:r>
    </w:p>
    <w:p>
      <w:pPr>
        <w:widowControl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420"/>
        <w:jc w:val="both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1、财政拨款收入：指财政部门当年拨付的资金。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2、上级补助收入：指从主管部门和上级单位取得的非财政补助收入。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3、基本支出：指为保障机构正常运转、完成日常工作任务而发生的人员支出和公用支出。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、"三公"经费：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5、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1800" w:firstLineChars="500"/>
        <w:jc w:val="both"/>
        <w:rPr>
          <w:rFonts w:hint="eastAsia"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eastAsia="方正小标宋_GBK"/>
          <w:bCs/>
          <w:kern w:val="0"/>
          <w:sz w:val="36"/>
          <w:szCs w:val="36"/>
        </w:rPr>
        <w:t>第五部分 附件</w:t>
      </w:r>
    </w:p>
    <w:p>
      <w:pPr>
        <w:ind w:firstLine="640" w:firstLineChars="200"/>
        <w:jc w:val="both"/>
        <w:rPr>
          <w:rFonts w:hint="eastAsi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年度部门整体支出绩效评价报告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 w:firstLine="360"/>
      <w:jc w:val="right"/>
      <w:rPr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A7C49"/>
    <w:rsid w:val="208B5DB2"/>
    <w:rsid w:val="25331C52"/>
    <w:rsid w:val="28D12C1C"/>
    <w:rsid w:val="2B3454DC"/>
    <w:rsid w:val="34FA7C49"/>
    <w:rsid w:val="3BDC2A80"/>
    <w:rsid w:val="77BF58C4"/>
    <w:rsid w:val="79794961"/>
    <w:rsid w:val="7E25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2021-05-21T00:39:00Z</dcterms:created>
  <dc:creator>Administrator</dc:creator>
  <cp:lastModifiedBy>鱿鱼口味的虾米</cp:lastModifiedBy>
  <dcterms:modified xsi:type="dcterms:W3CDTF">2021-06-04T08:21:30Z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64C188B2C7974B519DCE97C55EFAF902</vt:lpwstr>
  </property>
</Properties>
</file>