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2019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 w:firstLine="720" w:firstLineChars="3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/>
          <w:kern w:val="0"/>
          <w:sz w:val="24"/>
        </w:rPr>
        <w:t>石鼓区城市管理</w:t>
      </w:r>
      <w:r>
        <w:rPr>
          <w:rFonts w:hint="eastAsia" w:eastAsia="黑体"/>
          <w:kern w:val="0"/>
          <w:sz w:val="24"/>
          <w:lang w:eastAsia="zh-CN"/>
        </w:rPr>
        <w:t>委员会办公室</w:t>
      </w:r>
      <w:r>
        <w:rPr>
          <w:rFonts w:eastAsia="黑体"/>
          <w:kern w:val="0"/>
          <w:sz w:val="24"/>
        </w:rPr>
        <w:t xml:space="preserve">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7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石鼓区城市管理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        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640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640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600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负责调查研究城市管理工作中的重点、难点和热点问题，提出解决问题的对策和措施，起草城市管理办法，拟定城市环境综合整治工作方案。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负责制定城市管理工作标准、检查内容、考核办法、奖惩制度，并组织指导开展城市管理工作检查考核，提出奖惩意见。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负责组织开展城市管理工作交流和研讨活动，定期分析和通报城市管理工作情况。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完成区委、区政府交办的其它工作。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目标1：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控违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拆违工作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负责对全区国有、集体土地上控违、拆违工作的统筹、协调、督查、督办、考核，对接上级部门认真复核违法建设面积存量，做好拆除统计工作。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目标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国土卫片督查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一年以来，区委区政府高度重视国土卫片督查工作，多次召开关于国土卫片督查工作会议。进一步加大国土资源违法行为的查处和打击力度，规范国土资源管理秩序，在村民建房、临时用地审查、申报、闲置土地和安置用地清查、矿山安全管理、控违拆违等专项整治工作，着眼长效管理和科学谋划，有效将违法行为消灭在萌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目标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示范社区建设工作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学先创优，力争打造样板中的样板。“三清三建”试点社区与城管示范社区“捆绑开展”，高标准打造样板社区。各示范社区全面推行居民自治化管理模式，组织社区党员群众召开多次召开“三清三建”升级版征求意见会议，鼓励居民积极表达想法、说出想法；将按照先易后难、先急后缓的原则，选定居民最关心、最贴近生活的路灯不亮、污水横流、常年堆积的垃圾死角等民生工程项目逐项整改，使民生工程更加贴近民心，满足和服务居民意愿，赢得群众支持，使“三清三建”升级版工程打造成一项民心工程、惠民工程，确保各项工作能长效化、规范化、标准化发展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目标4：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为增强控违拆违力度，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我办联系各部门采用了一系列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工作措施，加强制度建设、明确工作职责、完善防控网络、确保管控到位。开展不间断、全方位、高频度的巡查，对新增的违章建筑做到“第一时间发现、第一时间查处、第一时间拆除”做到诉控并举、以控为主、已拆促控。全年控违拆违形势良好，取得了很好的成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指标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通过日常开展拆违工作及控违拆违“利剑行动”行动，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全年共拆除124宗，拆除面积 56278 ㎡。（其中：国有土地38宗、总拆除面积 6108 ㎡；集体土地86宗、总拆除 面积50170㎡。）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  <w:t>逐步实现违法用地、违规建设“零增长、零存量”的目标。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指标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预算管理科室审核意见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填报人：</w:t>
      </w:r>
      <w:r>
        <w:rPr>
          <w:rFonts w:hint="eastAsia" w:cs="宋体"/>
          <w:kern w:val="0"/>
          <w:sz w:val="24"/>
          <w:lang w:eastAsia="zh-CN"/>
        </w:rPr>
        <w:t>李彦青</w:t>
      </w:r>
      <w:r>
        <w:rPr>
          <w:rFonts w:hint="eastAsia" w:cs="宋体"/>
          <w:kern w:val="0"/>
          <w:sz w:val="24"/>
        </w:rPr>
        <w:tab/>
      </w:r>
      <w:r>
        <w:rPr>
          <w:rFonts w:hint="eastAsia" w:cs="宋体"/>
          <w:kern w:val="0"/>
          <w:sz w:val="24"/>
        </w:rPr>
        <w:t xml:space="preserve">         联系电话：8226355</w:t>
      </w:r>
      <w:r>
        <w:rPr>
          <w:rFonts w:hint="eastAsia" w:cs="宋体"/>
          <w:kern w:val="0"/>
          <w:sz w:val="24"/>
        </w:rPr>
        <w:tab/>
      </w:r>
      <w:r>
        <w:rPr>
          <w:rFonts w:hint="eastAsia" w:cs="宋体"/>
          <w:kern w:val="0"/>
          <w:sz w:val="24"/>
        </w:rPr>
        <w:t xml:space="preserve">       填报日期：2019-06-03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134" w:bottom="1440" w:left="1134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PAGE  </w:instrText>
    </w:r>
    <w:r>
      <w:rPr>
        <w:rStyle w:val="6"/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Style w:val="6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E27EF"/>
    <w:rsid w:val="00153CCB"/>
    <w:rsid w:val="001B3C08"/>
    <w:rsid w:val="001F4522"/>
    <w:rsid w:val="0030651C"/>
    <w:rsid w:val="003628A8"/>
    <w:rsid w:val="00456386"/>
    <w:rsid w:val="00541DD1"/>
    <w:rsid w:val="005663D7"/>
    <w:rsid w:val="00621A9A"/>
    <w:rsid w:val="006742BA"/>
    <w:rsid w:val="006B3E47"/>
    <w:rsid w:val="00721329"/>
    <w:rsid w:val="00735873"/>
    <w:rsid w:val="00762CE1"/>
    <w:rsid w:val="007B3C43"/>
    <w:rsid w:val="008E5A04"/>
    <w:rsid w:val="00931DB7"/>
    <w:rsid w:val="009A1299"/>
    <w:rsid w:val="00A9656C"/>
    <w:rsid w:val="00AD1D94"/>
    <w:rsid w:val="00AF097C"/>
    <w:rsid w:val="00BB5ABE"/>
    <w:rsid w:val="00C30BB8"/>
    <w:rsid w:val="00C7318D"/>
    <w:rsid w:val="00D462C1"/>
    <w:rsid w:val="00E22621"/>
    <w:rsid w:val="00EC258A"/>
    <w:rsid w:val="00ED0281"/>
    <w:rsid w:val="00ED090A"/>
    <w:rsid w:val="08B826EB"/>
    <w:rsid w:val="0CEB2D60"/>
    <w:rsid w:val="148C3E62"/>
    <w:rsid w:val="148E631E"/>
    <w:rsid w:val="149D39FA"/>
    <w:rsid w:val="14BE03CD"/>
    <w:rsid w:val="18705ECB"/>
    <w:rsid w:val="19E81CBC"/>
    <w:rsid w:val="25C20790"/>
    <w:rsid w:val="27DB44C8"/>
    <w:rsid w:val="312B5386"/>
    <w:rsid w:val="33302C9F"/>
    <w:rsid w:val="444F3A5A"/>
    <w:rsid w:val="45BE0569"/>
    <w:rsid w:val="4FD3004C"/>
    <w:rsid w:val="56E14A7B"/>
    <w:rsid w:val="5BDE27EF"/>
    <w:rsid w:val="5E9F13F1"/>
    <w:rsid w:val="61DE6D37"/>
    <w:rsid w:val="64AC5FA7"/>
    <w:rsid w:val="64C62B4C"/>
    <w:rsid w:val="66382478"/>
    <w:rsid w:val="6CDD315C"/>
    <w:rsid w:val="6D0401B5"/>
    <w:rsid w:val="78036A66"/>
    <w:rsid w:val="7FCC64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Header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[Normal]"/>
    <w:qFormat/>
    <w:uiPriority w:val="99"/>
    <w:rPr>
      <w:rFonts w:ascii="宋体" w:hAnsi="宋体" w:eastAsia="宋体" w:cs="Times New Roman"/>
      <w:kern w:val="0"/>
      <w:sz w:val="24"/>
      <w:szCs w:val="22"/>
      <w:lang w:val="en-US" w:eastAsia="en-US" w:bidi="ar-SA"/>
    </w:rPr>
  </w:style>
  <w:style w:type="paragraph" w:customStyle="1" w:styleId="11">
    <w:name w:val="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132</Words>
  <Characters>759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2020-06-08T09:11:00Z</dcterms:created>
  <dc:creator>Administrator</dc:creator>
  <cp:lastModifiedBy>Administrator</cp:lastModifiedBy>
  <cp:lastPrinted>2020-05-27T09:38:00Z</cp:lastPrinted>
  <dcterms:modified xsi:type="dcterms:W3CDTF">2021-06-07T03:20:35Z</dcterms:modified>
  <dc:title>部门整体支出绩效目标申报表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867BAB0796CE4454B541FD0945EE13F4</vt:lpwstr>
  </property>
</Properties>
</file>